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8DF158C" w14:textId="77777777" w:rsidR="00241A63" w:rsidRDefault="00241A63">
      <w:pPr>
        <w:rPr>
          <w:rFonts w:ascii="宋体" w:hAnsi="宋体" w:hint="eastAsia"/>
          <w:sz w:val="28"/>
        </w:rPr>
      </w:pPr>
    </w:p>
    <w:p w14:paraId="014A9373" w14:textId="77777777" w:rsidR="00241A63" w:rsidRDefault="00241A63">
      <w:pPr>
        <w:jc w:val="center"/>
        <w:rPr>
          <w:rFonts w:hint="eastAsia"/>
          <w:sz w:val="32"/>
        </w:rPr>
      </w:pPr>
    </w:p>
    <w:p w14:paraId="2507525C" w14:textId="77777777" w:rsidR="00241A63" w:rsidRDefault="00241A63">
      <w:pPr>
        <w:jc w:val="center"/>
        <w:rPr>
          <w:rFonts w:ascii="楷体_GB2312" w:eastAsia="楷体_GB2312" w:hAnsi="新宋体" w:hint="eastAsia"/>
          <w:b/>
          <w:sz w:val="48"/>
        </w:rPr>
      </w:pPr>
      <w:r>
        <w:rPr>
          <w:rFonts w:ascii="楷体_GB2312" w:eastAsia="楷体_GB2312" w:hAnsi="新宋体" w:hint="eastAsia"/>
          <w:b/>
          <w:sz w:val="48"/>
        </w:rPr>
        <w:t>重庆理工大学毕业设计（论文）</w:t>
      </w:r>
    </w:p>
    <w:p w14:paraId="24EF5403" w14:textId="77777777" w:rsidR="00241A63" w:rsidRDefault="00241A63">
      <w:pPr>
        <w:jc w:val="center"/>
        <w:rPr>
          <w:rFonts w:hint="eastAsia"/>
          <w:color w:val="FF0000"/>
          <w:sz w:val="32"/>
        </w:rPr>
      </w:pPr>
    </w:p>
    <w:p w14:paraId="0C76CC19" w14:textId="77777777" w:rsidR="00241A63" w:rsidRDefault="00241A63">
      <w:pPr>
        <w:rPr>
          <w:rFonts w:hint="eastAsia"/>
        </w:rPr>
      </w:pPr>
    </w:p>
    <w:p w14:paraId="4480A479" w14:textId="77777777" w:rsidR="00241A63" w:rsidRDefault="00241A63">
      <w:pPr>
        <w:jc w:val="center"/>
        <w:rPr>
          <w:rFonts w:eastAsia="黑体"/>
          <w:sz w:val="72"/>
        </w:rPr>
      </w:pPr>
      <w:r>
        <w:rPr>
          <w:rFonts w:eastAsia="黑体" w:hint="eastAsia"/>
          <w:sz w:val="72"/>
        </w:rPr>
        <w:t>文</w:t>
      </w:r>
      <w:r>
        <w:rPr>
          <w:rFonts w:eastAsia="黑体" w:hint="eastAsia"/>
          <w:sz w:val="72"/>
        </w:rPr>
        <w:t xml:space="preserve">   </w:t>
      </w:r>
      <w:r>
        <w:rPr>
          <w:rFonts w:eastAsia="黑体" w:hint="eastAsia"/>
          <w:sz w:val="72"/>
        </w:rPr>
        <w:t>献</w:t>
      </w:r>
      <w:r>
        <w:rPr>
          <w:rFonts w:eastAsia="黑体" w:hint="eastAsia"/>
          <w:sz w:val="72"/>
        </w:rPr>
        <w:t xml:space="preserve">   </w:t>
      </w:r>
      <w:r>
        <w:rPr>
          <w:rFonts w:eastAsia="黑体" w:hint="eastAsia"/>
          <w:sz w:val="72"/>
        </w:rPr>
        <w:t>综</w:t>
      </w:r>
      <w:r>
        <w:rPr>
          <w:rFonts w:eastAsia="黑体" w:hint="eastAsia"/>
          <w:sz w:val="72"/>
        </w:rPr>
        <w:t xml:space="preserve">   </w:t>
      </w:r>
      <w:r>
        <w:rPr>
          <w:rFonts w:eastAsia="黑体" w:hint="eastAsia"/>
          <w:sz w:val="72"/>
        </w:rPr>
        <w:t>述</w:t>
      </w:r>
    </w:p>
    <w:p w14:paraId="16329FCC" w14:textId="77777777" w:rsidR="00241A63" w:rsidRDefault="00241A63">
      <w:pPr>
        <w:rPr>
          <w:rFonts w:hint="eastAsia"/>
          <w:color w:val="FF0000"/>
          <w:sz w:val="32"/>
        </w:rPr>
      </w:pPr>
    </w:p>
    <w:p w14:paraId="2F290B35" w14:textId="77777777" w:rsidR="00241A63" w:rsidRDefault="00241A63">
      <w:pPr>
        <w:rPr>
          <w:rFonts w:hint="eastAsia"/>
          <w:color w:val="FF0000"/>
          <w:sz w:val="32"/>
        </w:rPr>
      </w:pPr>
    </w:p>
    <w:tbl>
      <w:tblPr>
        <w:tblW w:w="0" w:type="auto"/>
        <w:tblInd w:w="0" w:type="dxa"/>
        <w:tblLook w:val="0000" w:firstRow="0" w:lastRow="0" w:firstColumn="0" w:lastColumn="0" w:noHBand="0" w:noVBand="0"/>
      </w:tblPr>
      <w:tblGrid>
        <w:gridCol w:w="1626"/>
        <w:gridCol w:w="7377"/>
      </w:tblGrid>
      <w:tr w:rsidR="00000000" w14:paraId="5FC08DA0" w14:textId="77777777">
        <w:tc>
          <w:tcPr>
            <w:tcW w:w="1626" w:type="dxa"/>
            <w:tcBorders>
              <w:top w:val="nil"/>
              <w:bottom w:val="nil"/>
            </w:tcBorders>
            <w:shd w:val="clear" w:color="auto" w:fill="FFFFFF"/>
          </w:tcPr>
          <w:p w14:paraId="549FCFA3" w14:textId="77777777" w:rsidR="00241A63" w:rsidRDefault="00241A63">
            <w:pPr>
              <w:rPr>
                <w:rFonts w:ascii="黑体" w:eastAsia="黑体" w:hAnsi="黑体" w:cs="黑体" w:hint="eastAsia"/>
                <w:color w:val="000000"/>
                <w:sz w:val="32"/>
              </w:rPr>
            </w:pPr>
            <w:r>
              <w:rPr>
                <w:rFonts w:ascii="黑体" w:eastAsia="黑体" w:hAnsi="黑体" w:cs="黑体" w:hint="eastAsia"/>
                <w:color w:val="000000"/>
                <w:sz w:val="32"/>
              </w:rPr>
              <w:t>题</w:t>
            </w:r>
            <w:r>
              <w:rPr>
                <w:rFonts w:ascii="黑体" w:eastAsia="黑体" w:hAnsi="黑体" w:cs="黑体" w:hint="eastAsia"/>
                <w:color w:val="000000"/>
                <w:sz w:val="32"/>
              </w:rPr>
              <w:t xml:space="preserve">    </w:t>
            </w:r>
            <w:r>
              <w:rPr>
                <w:rFonts w:ascii="黑体" w:eastAsia="黑体" w:hAnsi="黑体" w:cs="黑体" w:hint="eastAsia"/>
                <w:color w:val="000000"/>
                <w:sz w:val="32"/>
              </w:rPr>
              <w:t>目</w:t>
            </w:r>
          </w:p>
        </w:tc>
        <w:tc>
          <w:tcPr>
            <w:tcW w:w="7378" w:type="dxa"/>
            <w:tcBorders>
              <w:top w:val="nil"/>
              <w:bottom w:val="single" w:sz="4" w:space="0" w:color="auto"/>
            </w:tcBorders>
            <w:shd w:val="clear" w:color="auto" w:fill="FFFFFF"/>
          </w:tcPr>
          <w:p w14:paraId="11ED82D3" w14:textId="77777777" w:rsidR="00241A63" w:rsidRDefault="00241A63">
            <w:pPr>
              <w:spacing w:line="240" w:lineRule="auto" w:before="0" w:after="0"/>
              <w:jc w:val="center"/>
              <w:rPr>
                <w:rFonts w:ascii="黑体" w:eastAsia="黑体" w:hAnsi="黑体" w:cs="黑体" w:hint="eastAsia"/>
                <w:color w:val="000000"/>
                <w:sz w:val="32"/>
                <w:u w:val="single"/>
              </w:rPr>
            </w:pPr>
            <w:r>
              <w:rPr>
                <w:rFonts w:ascii="Times New Roman" w:hAnsi="Times New Roman" w:eastAsia="宋体"/>
                <w:b w:val="0"/>
                <w:sz w:val="28"/>
              </w:rPr>
              <w:t>网络流量检测管理系统</w:t>
            </w:r>
          </w:p>
        </w:tc>
      </w:tr>
      <w:tr w:rsidR="00000000" w14:paraId="6F93045F" w14:textId="77777777">
        <w:tc>
          <w:tcPr>
            <w:tcW w:w="1626" w:type="dxa"/>
            <w:tcBorders>
              <w:top w:val="nil"/>
              <w:bottom w:val="nil"/>
            </w:tcBorders>
            <w:shd w:val="clear" w:color="auto" w:fill="FFFFFF"/>
          </w:tcPr>
          <w:p w14:paraId="79061D12" w14:textId="77777777" w:rsidR="00241A63" w:rsidRDefault="00241A63">
            <w:pPr>
              <w:rPr>
                <w:rFonts w:ascii="黑体" w:eastAsia="黑体" w:hAnsi="黑体" w:cs="黑体" w:hint="eastAsia"/>
                <w:color w:val="000000"/>
                <w:sz w:val="32"/>
              </w:rPr>
            </w:pPr>
          </w:p>
        </w:tc>
        <w:tc>
          <w:tcPr>
            <w:tcW w:w="7378" w:type="dxa"/>
            <w:tcBorders>
              <w:top w:val="single" w:sz="4" w:space="0" w:color="auto"/>
              <w:bottom w:val="single" w:sz="4" w:space="0" w:color="auto"/>
            </w:tcBorders>
            <w:shd w:val="clear" w:color="auto" w:fill="FFFFFF"/>
          </w:tcPr>
          <w:p w14:paraId="7A963598" w14:textId="77777777" w:rsidR="00241A63" w:rsidRDefault="00241A63">
            <w:pPr>
              <w:spacing w:line="240" w:lineRule="auto" w:before="0" w:after="0"/>
              <w:jc w:val="center"/>
              <w:rPr>
                <w:rFonts w:ascii="黑体" w:eastAsia="黑体" w:hAnsi="黑体" w:cs="黑体" w:hint="eastAsia"/>
                <w:color w:val="000000"/>
                <w:sz w:val="32"/>
              </w:rPr>
            </w:pPr>
            <w:r>
              <w:rPr>
                <w:rFonts w:ascii="Times New Roman" w:hAnsi="Times New Roman" w:eastAsia="宋体"/>
                <w:b w:val="0"/>
                <w:sz w:val="28"/>
              </w:rPr>
              <w:t>的设计与开发</w:t>
            </w:r>
          </w:p>
        </w:tc>
      </w:tr>
    </w:tbl>
    <w:p w14:paraId="761BAFF6" w14:textId="77777777" w:rsidR="00241A63" w:rsidRDefault="00241A63">
      <w:pPr>
        <w:spacing w:line="720" w:lineRule="auto"/>
        <w:ind w:firstLineChars="400" w:firstLine="1280"/>
        <w:rPr>
          <w:rFonts w:hint="eastAsia"/>
          <w:color w:val="FF0000"/>
          <w:sz w:val="32"/>
        </w:rPr>
      </w:pPr>
    </w:p>
    <w:p w14:paraId="1F3A6F86" w14:textId="77777777" w:rsidR="00241A63" w:rsidRDefault="00241A63">
      <w:pPr>
        <w:spacing w:line="720" w:lineRule="auto"/>
        <w:ind w:firstLineChars="850" w:firstLine="2720"/>
        <w:rPr>
          <w:rFonts w:hint="eastAsia"/>
          <w:color w:val="FF0000"/>
          <w:sz w:val="32"/>
        </w:rPr>
      </w:pPr>
    </w:p>
    <w:p w14:paraId="1FD52499" w14:textId="77777777" w:rsidR="00241A63" w:rsidRDefault="00241A63">
      <w:pPr>
        <w:tabs>
          <w:tab w:val="left" w:pos="2196"/>
        </w:tabs>
        <w:rPr>
          <w:rFonts w:hint="eastAsia"/>
          <w:sz w:val="32"/>
        </w:rPr>
      </w:pPr>
    </w:p>
    <w:tbl>
      <w:tblPr>
        <w:tblW w:w="0" w:type="auto"/>
        <w:tblInd w:w="816" w:type="dxa"/>
        <w:tblLook w:val="0000" w:firstRow="0" w:lastRow="0" w:firstColumn="0" w:lastColumn="0" w:noHBand="0" w:noVBand="0"/>
      </w:tblPr>
      <w:tblGrid>
        <w:gridCol w:w="1549"/>
        <w:gridCol w:w="2563"/>
        <w:gridCol w:w="1649"/>
        <w:gridCol w:w="2426"/>
      </w:tblGrid>
      <w:tr w:rsidR="00000000" w14:paraId="54157CEE" w14:textId="77777777">
        <w:tc>
          <w:tcPr>
            <w:tcW w:w="1596" w:type="dxa"/>
            <w:tcBorders>
              <w:top w:val="single" w:sz="4" w:space="0" w:color="auto"/>
              <w:left w:val="single" w:sz="4" w:space="0" w:color="auto"/>
              <w:bottom w:val="single" w:sz="4" w:space="0" w:color="auto"/>
              <w:right w:val="single" w:sz="4" w:space="0" w:color="auto"/>
            </w:tcBorders>
          </w:tcPr>
          <w:p w14:paraId="4EE9CEE8" w14:textId="77777777" w:rsidR="00241A63" w:rsidRDefault="00241A63">
            <w:pPr>
              <w:rPr>
                <w:rFonts w:ascii="仿宋" w:eastAsia="仿宋" w:hAnsi="仿宋" w:cs="仿宋" w:hint="eastAsia"/>
                <w:sz w:val="32"/>
              </w:rPr>
            </w:pPr>
            <w:r>
              <w:rPr>
                <w:rFonts w:ascii="仿宋" w:eastAsia="仿宋" w:hAnsi="仿宋" w:cs="仿宋" w:hint="eastAsia"/>
                <w:sz w:val="32"/>
              </w:rPr>
              <w:t>学</w:t>
            </w:r>
            <w:r>
              <w:rPr>
                <w:rFonts w:ascii="仿宋" w:eastAsia="仿宋" w:hAnsi="仿宋" w:cs="仿宋" w:hint="eastAsia"/>
                <w:sz w:val="32"/>
              </w:rPr>
              <w:t xml:space="preserve">    </w:t>
            </w:r>
            <w:r>
              <w:rPr>
                <w:rFonts w:ascii="仿宋" w:eastAsia="仿宋" w:hAnsi="仿宋" w:cs="仿宋" w:hint="eastAsia"/>
                <w:sz w:val="32"/>
              </w:rPr>
              <w:t>院</w:t>
            </w:r>
          </w:p>
        </w:tc>
        <w:tc>
          <w:tcPr>
            <w:tcW w:w="6591" w:type="dxa"/>
            <w:gridSpan w:val="3"/>
            <w:tcBorders>
              <w:top w:val="single" w:sz="4" w:space="0" w:color="auto"/>
              <w:left w:val="single" w:sz="4" w:space="0" w:color="auto"/>
              <w:bottom w:val="single" w:sz="4" w:space="0" w:color="auto"/>
              <w:right w:val="single" w:sz="4" w:space="0" w:color="auto"/>
            </w:tcBorders>
          </w:tcPr>
          <w:p w14:paraId="7AB38580" w14:textId="77777777" w:rsidR="00241A63" w:rsidRDefault="00241A63">
            <w:pPr>
              <w:spacing w:line="240" w:lineRule="auto" w:before="0" w:after="0"/>
              <w:jc w:val="center"/>
              <w:rPr>
                <w:rFonts w:ascii="仿宋" w:eastAsia="仿宋" w:hAnsi="仿宋" w:cs="仿宋" w:hint="eastAsia"/>
                <w:sz w:val="32"/>
              </w:rPr>
            </w:pPr>
            <w:r>
              <w:rPr>
                <w:rFonts w:ascii="Times New Roman" w:hAnsi="Times New Roman" w:eastAsia="宋体"/>
                <w:b w:val="0"/>
                <w:sz w:val="24"/>
              </w:rPr>
              <w:t>计算机科学与工程学院</w:t>
            </w:r>
          </w:p>
        </w:tc>
      </w:tr>
      <w:tr w:rsidR="00000000" w14:paraId="15DD61D9" w14:textId="77777777">
        <w:tc>
          <w:tcPr>
            <w:tcW w:w="1596" w:type="dxa"/>
            <w:tcBorders>
              <w:top w:val="single" w:sz="4" w:space="0" w:color="auto"/>
              <w:left w:val="single" w:sz="4" w:space="0" w:color="auto"/>
              <w:bottom w:val="single" w:sz="4" w:space="0" w:color="auto"/>
              <w:right w:val="single" w:sz="4" w:space="0" w:color="auto"/>
            </w:tcBorders>
          </w:tcPr>
          <w:p w14:paraId="576692FF" w14:textId="77777777" w:rsidR="00241A63" w:rsidRDefault="00241A63">
            <w:pPr>
              <w:rPr>
                <w:rFonts w:ascii="仿宋" w:eastAsia="仿宋" w:hAnsi="仿宋" w:cs="仿宋" w:hint="eastAsia"/>
                <w:sz w:val="32"/>
              </w:rPr>
            </w:pPr>
            <w:r>
              <w:rPr>
                <w:rFonts w:ascii="仿宋" w:eastAsia="仿宋" w:hAnsi="仿宋" w:cs="仿宋" w:hint="eastAsia"/>
                <w:sz w:val="32"/>
              </w:rPr>
              <w:t>专</w:t>
            </w:r>
            <w:r>
              <w:rPr>
                <w:rFonts w:ascii="仿宋" w:eastAsia="仿宋" w:hAnsi="仿宋" w:cs="仿宋" w:hint="eastAsia"/>
                <w:sz w:val="32"/>
              </w:rPr>
              <w:t xml:space="preserve">    </w:t>
            </w:r>
            <w:r>
              <w:rPr>
                <w:rFonts w:ascii="仿宋" w:eastAsia="仿宋" w:hAnsi="仿宋" w:cs="仿宋" w:hint="eastAsia"/>
                <w:sz w:val="32"/>
              </w:rPr>
              <w:t>业</w:t>
            </w:r>
          </w:p>
        </w:tc>
        <w:tc>
          <w:tcPr>
            <w:tcW w:w="2658" w:type="dxa"/>
            <w:tcBorders>
              <w:top w:val="single" w:sz="4" w:space="0" w:color="auto"/>
              <w:left w:val="single" w:sz="4" w:space="0" w:color="auto"/>
              <w:bottom w:val="single" w:sz="4" w:space="0" w:color="auto"/>
              <w:right w:val="single" w:sz="4" w:space="0" w:color="auto"/>
            </w:tcBorders>
          </w:tcPr>
          <w:p w14:paraId="152226FE" w14:textId="77777777" w:rsidR="00241A63" w:rsidRDefault="00241A63">
            <w:pPr>
              <w:spacing w:line="240" w:lineRule="auto" w:before="0" w:after="0"/>
              <w:jc w:val="center"/>
              <w:rPr>
                <w:rFonts w:ascii="仿宋" w:eastAsia="仿宋" w:hAnsi="仿宋" w:cs="仿宋" w:hint="eastAsia"/>
                <w:sz w:val="32"/>
              </w:rPr>
            </w:pPr>
            <w:r>
              <w:rPr>
                <w:rFonts w:ascii="Times New Roman" w:hAnsi="Times New Roman" w:eastAsia="宋体"/>
                <w:b w:val="0"/>
                <w:sz w:val="24"/>
              </w:rPr>
              <w:t>计算机科学与技术</w:t>
            </w:r>
          </w:p>
        </w:tc>
        <w:tc>
          <w:tcPr>
            <w:tcW w:w="1701" w:type="dxa"/>
            <w:tcBorders>
              <w:top w:val="single" w:sz="4" w:space="0" w:color="auto"/>
              <w:left w:val="single" w:sz="4" w:space="0" w:color="auto"/>
              <w:bottom w:val="single" w:sz="4" w:space="0" w:color="auto"/>
              <w:right w:val="single" w:sz="4" w:space="0" w:color="auto"/>
            </w:tcBorders>
          </w:tcPr>
          <w:p w14:paraId="5A3E9665" w14:textId="77777777" w:rsidR="00241A63" w:rsidRDefault="00241A63">
            <w:pPr>
              <w:rPr>
                <w:rFonts w:ascii="仿宋" w:eastAsia="仿宋" w:hAnsi="仿宋" w:cs="仿宋" w:hint="eastAsia"/>
                <w:sz w:val="32"/>
              </w:rPr>
            </w:pPr>
            <w:r>
              <w:rPr>
                <w:rFonts w:ascii="仿宋" w:eastAsia="仿宋" w:hAnsi="仿宋" w:cs="仿宋" w:hint="eastAsia"/>
                <w:sz w:val="32"/>
              </w:rPr>
              <w:t>班</w:t>
            </w:r>
            <w:r>
              <w:rPr>
                <w:rFonts w:ascii="仿宋" w:eastAsia="仿宋" w:hAnsi="仿宋" w:cs="仿宋" w:hint="eastAsia"/>
                <w:sz w:val="32"/>
              </w:rPr>
              <w:t xml:space="preserve">    </w:t>
            </w:r>
            <w:r>
              <w:rPr>
                <w:rFonts w:ascii="仿宋" w:eastAsia="仿宋" w:hAnsi="仿宋" w:cs="仿宋" w:hint="eastAsia"/>
                <w:sz w:val="32"/>
              </w:rPr>
              <w:t>级</w:t>
            </w:r>
          </w:p>
        </w:tc>
        <w:tc>
          <w:tcPr>
            <w:tcW w:w="2232" w:type="dxa"/>
            <w:tcBorders>
              <w:top w:val="single" w:sz="4" w:space="0" w:color="auto"/>
              <w:left w:val="single" w:sz="4" w:space="0" w:color="auto"/>
              <w:bottom w:val="single" w:sz="4" w:space="0" w:color="auto"/>
              <w:right w:val="single" w:sz="4" w:space="0" w:color="auto"/>
            </w:tcBorders>
          </w:tcPr>
          <w:p w14:paraId="2E1C7C68" w14:textId="77777777" w:rsidR="00241A63" w:rsidRDefault="00241A63">
            <w:pPr>
              <w:spacing w:line="240" w:lineRule="auto" w:before="0" w:after="0"/>
              <w:jc w:val="center"/>
              <w:rPr>
                <w:rFonts w:ascii="仿宋" w:eastAsia="仿宋" w:hAnsi="仿宋" w:cs="仿宋" w:hint="eastAsia"/>
                <w:sz w:val="32"/>
              </w:rPr>
            </w:pPr>
            <w:r>
              <w:rPr>
                <w:rFonts w:ascii="Times New Roman" w:hAnsi="Times New Roman" w:eastAsia="宋体"/>
                <w:b w:val="0"/>
                <w:sz w:val="24"/>
              </w:rPr>
              <w:t>122030701</w:t>
            </w:r>
          </w:p>
        </w:tc>
      </w:tr>
    </w:tbl>
    <w:p w14:paraId="68FF80EB" w14:textId="77777777" w:rsidR="00241A63" w:rsidRDefault="00241A63">
      <w:pPr>
        <w:rPr>
          <w:rFonts w:ascii="仿宋" w:eastAsia="仿宋" w:hAnsi="仿宋" w:cs="仿宋" w:hint="eastAsia"/>
          <w:sz w:val="32"/>
        </w:rPr>
      </w:pPr>
    </w:p>
    <w:tbl>
      <w:tblPr>
        <w:tblW w:w="0" w:type="auto"/>
        <w:tblInd w:w="816" w:type="dxa"/>
        <w:tblLook w:val="0000" w:firstRow="0" w:lastRow="0" w:firstColumn="0" w:lastColumn="0" w:noHBand="0" w:noVBand="0"/>
      </w:tblPr>
      <w:tblGrid>
        <w:gridCol w:w="1769"/>
        <w:gridCol w:w="2485"/>
        <w:gridCol w:w="1701"/>
        <w:gridCol w:w="2232"/>
      </w:tblGrid>
      <w:tr w:rsidR="00000000" w14:paraId="4C9E15A4" w14:textId="77777777">
        <w:tc>
          <w:tcPr>
            <w:tcW w:w="1769" w:type="dxa"/>
            <w:tcBorders>
              <w:top w:val="single" w:sz="4" w:space="0" w:color="auto"/>
              <w:left w:val="single" w:sz="4" w:space="0" w:color="auto"/>
              <w:bottom w:val="single" w:sz="4" w:space="0" w:color="auto"/>
              <w:right w:val="single" w:sz="4" w:space="0" w:color="auto"/>
            </w:tcBorders>
          </w:tcPr>
          <w:p w14:paraId="2D01B554" w14:textId="77777777" w:rsidR="00241A63" w:rsidRDefault="00241A63">
            <w:pPr>
              <w:rPr>
                <w:rFonts w:ascii="仿宋" w:eastAsia="仿宋" w:hAnsi="仿宋" w:cs="仿宋" w:hint="eastAsia"/>
                <w:sz w:val="32"/>
              </w:rPr>
            </w:pPr>
            <w:r>
              <w:rPr>
                <w:rFonts w:ascii="仿宋" w:eastAsia="仿宋" w:hAnsi="仿宋" w:cs="仿宋" w:hint="eastAsia"/>
                <w:sz w:val="32"/>
              </w:rPr>
              <w:t>学生姓名</w:t>
            </w:r>
          </w:p>
        </w:tc>
        <w:tc>
          <w:tcPr>
            <w:tcW w:w="2485" w:type="dxa"/>
            <w:tcBorders>
              <w:top w:val="single" w:sz="4" w:space="0" w:color="auto"/>
              <w:left w:val="single" w:sz="4" w:space="0" w:color="auto"/>
              <w:bottom w:val="single" w:sz="4" w:space="0" w:color="auto"/>
              <w:right w:val="single" w:sz="4" w:space="0" w:color="auto"/>
            </w:tcBorders>
          </w:tcPr>
          <w:p w14:paraId="359617F4" w14:textId="77777777" w:rsidR="00241A63" w:rsidRDefault="00241A63">
            <w:pPr>
              <w:spacing w:line="240" w:lineRule="auto" w:before="0" w:after="0"/>
              <w:jc w:val="center"/>
              <w:rPr>
                <w:rFonts w:ascii="仿宋" w:eastAsia="仿宋" w:hAnsi="仿宋" w:cs="仿宋" w:hint="eastAsia"/>
                <w:sz w:val="32"/>
              </w:rPr>
            </w:pPr>
            <w:r>
              <w:rPr>
                <w:rFonts w:ascii="Times New Roman" w:hAnsi="Times New Roman" w:eastAsia="宋体"/>
                <w:b w:val="0"/>
                <w:sz w:val="24"/>
              </w:rPr>
              <w:t>郭子谊</w:t>
            </w:r>
          </w:p>
        </w:tc>
        <w:tc>
          <w:tcPr>
            <w:tcW w:w="1701" w:type="dxa"/>
            <w:tcBorders>
              <w:top w:val="single" w:sz="4" w:space="0" w:color="auto"/>
              <w:left w:val="single" w:sz="4" w:space="0" w:color="auto"/>
              <w:bottom w:val="single" w:sz="4" w:space="0" w:color="auto"/>
              <w:right w:val="single" w:sz="4" w:space="0" w:color="auto"/>
            </w:tcBorders>
          </w:tcPr>
          <w:p w14:paraId="5A21CD92" w14:textId="77777777" w:rsidR="00241A63" w:rsidRDefault="00241A63">
            <w:pPr>
              <w:rPr>
                <w:rFonts w:ascii="仿宋" w:eastAsia="仿宋" w:hAnsi="仿宋" w:cs="仿宋" w:hint="eastAsia"/>
                <w:sz w:val="32"/>
              </w:rPr>
            </w:pPr>
            <w:r>
              <w:rPr>
                <w:rFonts w:ascii="仿宋" w:eastAsia="仿宋" w:hAnsi="仿宋" w:cs="仿宋" w:hint="eastAsia"/>
                <w:sz w:val="32"/>
              </w:rPr>
              <w:t>学</w:t>
            </w:r>
            <w:r>
              <w:rPr>
                <w:rFonts w:ascii="仿宋" w:eastAsia="仿宋" w:hAnsi="仿宋" w:cs="仿宋" w:hint="eastAsia"/>
                <w:sz w:val="32"/>
              </w:rPr>
              <w:t xml:space="preserve">    </w:t>
            </w:r>
            <w:r>
              <w:rPr>
                <w:rFonts w:ascii="仿宋" w:eastAsia="仿宋" w:hAnsi="仿宋" w:cs="仿宋" w:hint="eastAsia"/>
                <w:sz w:val="32"/>
              </w:rPr>
              <w:t>号</w:t>
            </w:r>
          </w:p>
        </w:tc>
        <w:tc>
          <w:tcPr>
            <w:tcW w:w="2232" w:type="dxa"/>
            <w:tcBorders>
              <w:top w:val="single" w:sz="4" w:space="0" w:color="auto"/>
              <w:left w:val="single" w:sz="4" w:space="0" w:color="auto"/>
              <w:bottom w:val="single" w:sz="4" w:space="0" w:color="auto"/>
              <w:right w:val="single" w:sz="4" w:space="0" w:color="auto"/>
            </w:tcBorders>
          </w:tcPr>
          <w:p w14:paraId="5DD84363" w14:textId="77777777" w:rsidR="00241A63" w:rsidRDefault="00241A63">
            <w:pPr>
              <w:spacing w:line="240" w:lineRule="auto" w:before="0" w:after="0"/>
              <w:jc w:val="center"/>
              <w:rPr>
                <w:rFonts w:ascii="仿宋" w:eastAsia="仿宋" w:hAnsi="仿宋" w:cs="仿宋" w:hint="eastAsia"/>
                <w:sz w:val="32"/>
              </w:rPr>
            </w:pPr>
            <w:r>
              <w:rPr>
                <w:rFonts w:ascii="Times New Roman" w:hAnsi="Times New Roman" w:eastAsia="宋体"/>
                <w:b w:val="0"/>
                <w:sz w:val="24"/>
              </w:rPr>
              <w:t>11912060207</w:t>
            </w:r>
          </w:p>
        </w:tc>
      </w:tr>
      <w:tr w:rsidR="00000000" w14:paraId="1B6455C6" w14:textId="77777777">
        <w:tc>
          <w:tcPr>
            <w:tcW w:w="1769" w:type="dxa"/>
            <w:tcBorders>
              <w:top w:val="single" w:sz="4" w:space="0" w:color="auto"/>
              <w:left w:val="single" w:sz="4" w:space="0" w:color="auto"/>
              <w:bottom w:val="single" w:sz="4" w:space="0" w:color="auto"/>
              <w:right w:val="single" w:sz="4" w:space="0" w:color="auto"/>
            </w:tcBorders>
          </w:tcPr>
          <w:p w14:paraId="67B104E6" w14:textId="77777777" w:rsidR="00241A63" w:rsidRDefault="00241A63">
            <w:pPr>
              <w:rPr>
                <w:rFonts w:ascii="仿宋" w:eastAsia="仿宋" w:hAnsi="仿宋" w:cs="仿宋" w:hint="eastAsia"/>
                <w:sz w:val="32"/>
              </w:rPr>
            </w:pPr>
            <w:r>
              <w:rPr>
                <w:rFonts w:ascii="仿宋" w:eastAsia="仿宋" w:hAnsi="仿宋" w:cs="仿宋" w:hint="eastAsia"/>
                <w:sz w:val="32"/>
              </w:rPr>
              <w:t>指导教师</w:t>
            </w:r>
          </w:p>
        </w:tc>
        <w:tc>
          <w:tcPr>
            <w:tcW w:w="6418" w:type="dxa"/>
            <w:gridSpan w:val="3"/>
            <w:tcBorders>
              <w:top w:val="single" w:sz="4" w:space="0" w:color="auto"/>
              <w:left w:val="single" w:sz="4" w:space="0" w:color="auto"/>
              <w:bottom w:val="single" w:sz="4" w:space="0" w:color="auto"/>
              <w:right w:val="single" w:sz="4" w:space="0" w:color="auto"/>
            </w:tcBorders>
          </w:tcPr>
          <w:p w14:paraId="0D15E0F9" w14:textId="77777777" w:rsidR="00241A63" w:rsidRDefault="00241A63">
            <w:pPr>
              <w:spacing w:line="240" w:lineRule="auto" w:before="0" w:after="0"/>
              <w:jc w:val="center"/>
              <w:rPr>
                <w:rFonts w:ascii="仿宋" w:eastAsia="仿宋" w:hAnsi="仿宋" w:cs="仿宋" w:hint="eastAsia"/>
                <w:sz w:val="32"/>
              </w:rPr>
            </w:pPr>
            <w:r>
              <w:rPr>
                <w:rFonts w:ascii="Times New Roman" w:hAnsi="Times New Roman" w:eastAsia="宋体"/>
                <w:b w:val="0"/>
                <w:sz w:val="24"/>
              </w:rPr>
              <w:t>范伟</w:t>
            </w:r>
          </w:p>
        </w:tc>
      </w:tr>
    </w:tbl>
    <w:p w14:paraId="733B51F0" w14:textId="77777777" w:rsidR="00241A63" w:rsidRDefault="00241A63">
      <w:pPr>
        <w:spacing w:line="720" w:lineRule="auto"/>
        <w:ind w:firstLineChars="400" w:firstLine="1280"/>
        <w:rPr>
          <w:rFonts w:hint="eastAsia"/>
          <w:color w:val="FF0000"/>
          <w:sz w:val="32"/>
        </w:rPr>
      </w:pPr>
    </w:p>
    <w:p w14:paraId="45C34931" w14:textId="77777777" w:rsidR="00241A63" w:rsidRDefault="00241A63">
      <w:pPr>
        <w:spacing w:line="720" w:lineRule="auto"/>
        <w:ind w:firstLineChars="200" w:firstLine="640"/>
        <w:rPr>
          <w:rFonts w:hint="eastAsia"/>
          <w:color w:val="FF0000"/>
          <w:sz w:val="32"/>
        </w:rPr>
      </w:pPr>
    </w:p>
    <w:p w14:paraId="6FDBB0F1" w14:textId="77777777" w:rsidR="00241A63" w:rsidRDefault="00241A63">
      <w:pPr>
        <w:jc w:val="center"/>
        <w:rPr>
          <w:rFonts w:hint="eastAsia"/>
          <w:b/>
          <w:bCs/>
          <w:sz w:val="36"/>
          <w:szCs w:val="36"/>
        </w:rPr>
        <w:sectPr w:rsidR="00000000">
          <w:pgSz w:w="11906" w:h="16838"/>
          <w:pgMar w:top="1418" w:right="1418" w:bottom="1418" w:left="1701" w:header="851" w:footer="992" w:gutter="0"/>
          <w:cols w:space="720"/>
          <w:docGrid w:type="lines" w:linePitch="312"/>
        </w:sectPr>
      </w:pPr>
    </w:p>
    <w:p w14:paraId="5A200D14" w14:textId="77777777" w:rsidR="00241A63" w:rsidRDefault="00241A63">
      <w:pPr>
        <w:jc w:val="center"/>
        <w:rPr>
          <w:rFonts w:hint="eastAsia"/>
          <w:b/>
          <w:bCs/>
          <w:sz w:val="36"/>
          <w:szCs w:val="36"/>
        </w:rPr>
      </w:pPr>
      <w:commentRangeStart w:id="2"/>
      <w:r>
        <w:rPr>
          <w:rFonts w:hint="eastAsia"/>
          <w:b/>
          <w:bCs/>
          <w:sz w:val="36"/>
          <w:szCs w:val="36"/>
        </w:rPr>
        <w:lastRenderedPageBreak/>
        <w:t>文献综述要求</w:t>
      </w:r>
      <w:commentRangeEnd w:id="2"/>
      <w:r>
        <w:commentReference w:id="2"/>
      </w:r>
    </w:p>
    <w:p w14:paraId="1AA2981A" w14:textId="77777777" w:rsidR="00241A63" w:rsidRDefault="00241A63">
      <w:pPr>
        <w:spacing w:line="360" w:lineRule="auto"/>
        <w:ind w:firstLineChars="200" w:firstLine="560"/>
        <w:rPr>
          <w:rFonts w:ascii="宋体" w:hAnsi="宋体" w:hint="eastAsia"/>
          <w:sz w:val="28"/>
          <w:szCs w:val="28"/>
        </w:rPr>
      </w:pPr>
      <w:r>
        <w:rPr>
          <w:rFonts w:ascii="宋体" w:hAnsi="宋体" w:hint="eastAsia"/>
          <w:sz w:val="28"/>
          <w:szCs w:val="28"/>
        </w:rPr>
        <w:t>1</w:t>
      </w:r>
      <w:r>
        <w:rPr>
          <w:rFonts w:ascii="宋体" w:hAnsi="宋体" w:hint="eastAsia"/>
          <w:sz w:val="28"/>
          <w:szCs w:val="28"/>
        </w:rPr>
        <w:t>、文献综述中引用的中外文资料，</w:t>
      </w:r>
      <w:r>
        <w:rPr>
          <w:rFonts w:hint="eastAsia"/>
          <w:sz w:val="28"/>
          <w:szCs w:val="28"/>
        </w:rPr>
        <w:t>内容须与课题或专业方向紧密相关</w:t>
      </w:r>
      <w:r>
        <w:rPr>
          <w:rFonts w:ascii="宋体" w:hAnsi="宋体" w:hint="eastAsia"/>
          <w:sz w:val="28"/>
          <w:szCs w:val="28"/>
        </w:rPr>
        <w:t>，以最新文献为主，理工类不得少于</w:t>
      </w:r>
      <w:r>
        <w:rPr>
          <w:rFonts w:ascii="宋体" w:hAnsi="宋体" w:hint="eastAsia"/>
          <w:sz w:val="28"/>
          <w:szCs w:val="28"/>
        </w:rPr>
        <w:t>10</w:t>
      </w:r>
      <w:r>
        <w:rPr>
          <w:rFonts w:ascii="宋体" w:hAnsi="宋体" w:hint="eastAsia"/>
          <w:sz w:val="28"/>
          <w:szCs w:val="28"/>
        </w:rPr>
        <w:t>篇，非理工类不少于</w:t>
      </w:r>
      <w:r>
        <w:rPr>
          <w:rFonts w:ascii="宋体" w:hAnsi="宋体" w:hint="eastAsia"/>
          <w:sz w:val="28"/>
          <w:szCs w:val="28"/>
        </w:rPr>
        <w:t>12</w:t>
      </w:r>
      <w:r>
        <w:rPr>
          <w:rFonts w:ascii="宋体" w:hAnsi="宋体" w:hint="eastAsia"/>
          <w:sz w:val="28"/>
          <w:szCs w:val="28"/>
        </w:rPr>
        <w:t>篇。</w:t>
      </w:r>
    </w:p>
    <w:p w14:paraId="6AB1DD22" w14:textId="77777777" w:rsidR="00241A63" w:rsidRDefault="00241A63">
      <w:pPr>
        <w:spacing w:line="360" w:lineRule="auto"/>
        <w:ind w:firstLineChars="200" w:firstLine="560"/>
        <w:rPr>
          <w:rFonts w:ascii="宋体" w:hAnsi="宋体" w:hint="eastAsia"/>
          <w:sz w:val="28"/>
          <w:szCs w:val="28"/>
        </w:rPr>
      </w:pPr>
      <w:r>
        <w:rPr>
          <w:rFonts w:ascii="宋体" w:hAnsi="宋体" w:hint="eastAsia"/>
          <w:sz w:val="28"/>
          <w:szCs w:val="28"/>
        </w:rPr>
        <w:t>2</w:t>
      </w:r>
      <w:r>
        <w:rPr>
          <w:rFonts w:ascii="宋体" w:hAnsi="宋体" w:hint="eastAsia"/>
          <w:sz w:val="28"/>
          <w:szCs w:val="28"/>
        </w:rPr>
        <w:t>、文献综述不少于</w:t>
      </w:r>
      <w:r>
        <w:rPr>
          <w:rFonts w:ascii="宋体" w:hAnsi="宋体" w:hint="eastAsia"/>
          <w:sz w:val="28"/>
          <w:szCs w:val="28"/>
        </w:rPr>
        <w:t>2000</w:t>
      </w:r>
      <w:r>
        <w:rPr>
          <w:rFonts w:ascii="宋体" w:hAnsi="宋体" w:hint="eastAsia"/>
          <w:sz w:val="28"/>
          <w:szCs w:val="28"/>
        </w:rPr>
        <w:t>字，其附注释、参考文献格式要求同正文。</w:t>
      </w:r>
    </w:p>
    <w:p w14:paraId="447D4A53" w14:textId="77777777" w:rsidR="00241A63" w:rsidRDefault="00241A63">
      <w:pPr>
        <w:rPr>
          <w:rFonts w:hint="eastAsia"/>
          <w:sz w:val="28"/>
          <w:u w:val="thick"/>
        </w:rPr>
      </w:pPr>
      <w:r>
        <w:rPr>
          <w:rFonts w:hint="eastAsia"/>
          <w:sz w:val="28"/>
          <w:u w:val="thick"/>
        </w:rPr>
        <w:t xml:space="preserve">                                                           </w:t>
      </w:r>
    </w:p>
    <w:p w14:paraId="15993E5A" w14:textId="77777777" w:rsidR="00241A63" w:rsidRDefault="00241A63">
      <w:pPr>
        <w:rPr>
          <w:rFonts w:hint="eastAsia"/>
          <w:b/>
          <w:bCs/>
          <w:sz w:val="32"/>
        </w:rPr>
      </w:pPr>
      <w:r>
        <w:rPr>
          <w:rFonts w:hint="eastAsia"/>
          <w:b/>
          <w:bCs/>
          <w:sz w:val="32"/>
        </w:rPr>
        <w:t xml:space="preserve">                    </w:t>
      </w:r>
      <w:r>
        <w:rPr>
          <w:rFonts w:hint="eastAsia"/>
          <w:b/>
          <w:bCs/>
          <w:sz w:val="32"/>
        </w:rPr>
        <w:t>文献综述评阅</w:t>
      </w:r>
    </w:p>
    <w:p w14:paraId="32F9C143" w14:textId="77777777" w:rsidR="00241A63" w:rsidRDefault="00241A63">
      <w:pPr>
        <w:rPr>
          <w:rFonts w:hint="eastAsia"/>
          <w:color w:val="FF0000"/>
          <w:sz w:val="24"/>
        </w:rPr>
      </w:pPr>
    </w:p>
    <w:tbl>
      <w:tblPr>
        <w:tblW w:w="9028" w:type="dxa"/>
        <w:tblInd w:w="-126" w:type="dxa"/>
        <w:tblBorders>
          <w:top w:val="single" w:sz="6" w:space="0" w:color="DEE0E3"/>
          <w:left w:val="single" w:sz="6" w:space="0" w:color="DEE0E3"/>
          <w:bottom w:val="single" w:sz="6" w:space="0" w:color="DEE0E3"/>
          <w:right w:val="single" w:sz="6" w:space="0" w:color="DEE0E3"/>
          <w:insideH w:val="outset" w:sz="6" w:space="0" w:color="auto"/>
          <w:insideV w:val="outset" w:sz="6" w:space="0" w:color="auto"/>
        </w:tblBorders>
        <w:tblCellMar>
          <w:top w:w="15" w:type="dxa"/>
          <w:left w:w="15" w:type="dxa"/>
          <w:bottom w:w="15" w:type="dxa"/>
          <w:right w:w="15" w:type="dxa"/>
        </w:tblCellMar>
        <w:tblLook w:val="0000" w:firstRow="0" w:lastRow="0" w:firstColumn="0" w:lastColumn="0" w:noHBand="0" w:noVBand="0"/>
      </w:tblPr>
      <w:tblGrid>
        <w:gridCol w:w="2008"/>
        <w:gridCol w:w="7020"/>
      </w:tblGrid>
      <w:tr w:rsidR="00000000" w14:paraId="09C28879" w14:textId="77777777">
        <w:trPr>
          <w:trHeight w:val="90"/>
        </w:trPr>
        <w:tc>
          <w:tcPr>
            <w:tcW w:w="2008"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3277F484" w14:textId="77777777" w:rsidR="00241A63" w:rsidRDefault="00241A63">
            <w:pPr>
              <w:widowControl/>
              <w:snapToGrid w:val="0"/>
              <w:jc w:val="center"/>
              <w:textAlignment w:val="top"/>
              <w:rPr>
                <w:rFonts w:ascii="黑体" w:eastAsia="黑体" w:hAnsi="黑体" w:cs="黑体" w:hint="eastAsia"/>
                <w:sz w:val="28"/>
                <w:szCs w:val="28"/>
              </w:rPr>
            </w:pPr>
            <w:r>
              <w:rPr>
                <w:rFonts w:ascii="黑体" w:eastAsia="黑体" w:hAnsi="黑体" w:cs="黑体" w:hint="eastAsia"/>
                <w:kern w:val="0"/>
                <w:sz w:val="28"/>
                <w:szCs w:val="28"/>
                <w:lang w:bidi="ar"/>
              </w:rPr>
              <w:t>评价维度</w:t>
            </w:r>
          </w:p>
        </w:tc>
        <w:tc>
          <w:tcPr>
            <w:tcW w:w="702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3EEC493D" w14:textId="77777777" w:rsidR="00241A63" w:rsidRDefault="00241A63">
            <w:pPr>
              <w:widowControl/>
              <w:snapToGrid w:val="0"/>
              <w:jc w:val="center"/>
              <w:textAlignment w:val="top"/>
              <w:rPr>
                <w:rFonts w:ascii="黑体" w:eastAsia="黑体" w:hAnsi="黑体" w:cs="黑体" w:hint="eastAsia"/>
                <w:sz w:val="28"/>
                <w:szCs w:val="28"/>
              </w:rPr>
            </w:pPr>
            <w:r>
              <w:rPr>
                <w:rFonts w:ascii="黑体" w:eastAsia="黑体" w:hAnsi="黑体" w:cs="黑体" w:hint="eastAsia"/>
                <w:kern w:val="0"/>
                <w:sz w:val="28"/>
                <w:szCs w:val="28"/>
                <w:lang w:bidi="ar"/>
              </w:rPr>
              <w:t>评价结果</w:t>
            </w:r>
          </w:p>
        </w:tc>
      </w:tr>
      <w:tr w:rsidR="00000000" w14:paraId="6714A966" w14:textId="77777777">
        <w:trPr>
          <w:trHeight w:val="90"/>
        </w:trPr>
        <w:tc>
          <w:tcPr>
            <w:tcW w:w="2008"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06FA3F3C" w14:textId="77777777" w:rsidR="00241A63" w:rsidRDefault="00241A63">
            <w:pPr>
              <w:widowControl/>
              <w:snapToGrid w:val="0"/>
              <w:jc w:val="left"/>
              <w:textAlignment w:val="top"/>
              <w:rPr>
                <w:sz w:val="24"/>
              </w:rPr>
            </w:pPr>
            <w:r>
              <w:rPr>
                <w:rFonts w:ascii="宋体" w:hAnsi="宋体" w:cs="宋体" w:hint="eastAsia"/>
                <w:kern w:val="0"/>
                <w:sz w:val="24"/>
                <w:lang w:bidi="ar"/>
              </w:rPr>
              <w:t>数量及</w:t>
            </w:r>
            <w:r>
              <w:rPr>
                <w:rFonts w:ascii="宋体" w:hAnsi="宋体" w:cs="宋体"/>
                <w:kern w:val="0"/>
                <w:sz w:val="24"/>
                <w:lang w:bidi="ar"/>
              </w:rPr>
              <w:t>代表性</w:t>
            </w:r>
          </w:p>
        </w:tc>
        <w:tc>
          <w:tcPr>
            <w:tcW w:w="702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95899E4" w14:textId="77777777" w:rsidR="00241A63" w:rsidRDefault="00241A63">
            <w:pPr>
              <w:widowControl/>
              <w:snapToGrid w:val="0"/>
              <w:jc w:val="left"/>
              <w:textAlignment w:val="top"/>
              <w:rPr>
                <w:sz w:val="24"/>
              </w:rPr>
            </w:pPr>
            <w:r>
              <w:rPr>
                <w:rFonts w:ascii="宋体" w:hAnsi="宋体" w:cs="宋体"/>
                <w:kern w:val="0"/>
                <w:sz w:val="24"/>
                <w:lang w:bidi="ar"/>
              </w:rPr>
              <w:t xml:space="preserve">□ </w:t>
            </w:r>
            <w:r>
              <w:rPr>
                <w:rFonts w:ascii="宋体" w:hAnsi="宋体" w:cs="宋体"/>
                <w:kern w:val="0"/>
                <w:sz w:val="24"/>
                <w:lang w:bidi="ar"/>
              </w:rPr>
              <w:t>充足且具有代表性</w:t>
            </w:r>
            <w:r>
              <w:rPr>
                <w:rFonts w:ascii="宋体" w:hAnsi="宋体" w:cs="宋体"/>
                <w:kern w:val="0"/>
                <w:sz w:val="24"/>
                <w:lang w:bidi="ar"/>
              </w:rPr>
              <w:t xml:space="preserve"> </w:t>
            </w:r>
            <w:r>
              <w:rPr>
                <w:rFonts w:ascii="宋体" w:hAnsi="宋体" w:cs="宋体" w:hint="eastAsia"/>
                <w:kern w:val="0"/>
                <w:sz w:val="24"/>
                <w:lang w:bidi="ar"/>
              </w:rPr>
              <w:t xml:space="preserve">   </w:t>
            </w:r>
            <w:r>
              <w:rPr>
                <w:rFonts w:ascii="宋体" w:hAnsi="宋体" w:cs="宋体" w:hint="eastAsia"/>
                <w:kern w:val="0"/>
                <w:sz w:val="24"/>
                <w:lang w:bidi="ar"/>
              </w:rPr>
              <w:t>□</w:t>
            </w:r>
            <w:r>
              <w:rPr>
                <w:rFonts w:ascii="宋体" w:hAnsi="宋体" w:cs="宋体"/>
                <w:kern w:val="0"/>
                <w:sz w:val="24"/>
                <w:lang w:bidi="ar"/>
              </w:rPr>
              <w:t xml:space="preserve"> </w:t>
            </w:r>
            <w:r>
              <w:rPr>
                <w:rFonts w:ascii="宋体" w:hAnsi="宋体" w:cs="宋体"/>
                <w:kern w:val="0"/>
                <w:sz w:val="24"/>
                <w:lang w:bidi="ar"/>
              </w:rPr>
              <w:t>基本达标</w:t>
            </w:r>
            <w:r>
              <w:rPr>
                <w:rFonts w:ascii="宋体" w:hAnsi="宋体" w:cs="宋体"/>
                <w:kern w:val="0"/>
                <w:sz w:val="24"/>
                <w:lang w:bidi="ar"/>
              </w:rPr>
              <w:t xml:space="preserve"> </w:t>
            </w:r>
            <w:r>
              <w:rPr>
                <w:rFonts w:ascii="宋体" w:hAnsi="宋体" w:cs="宋体" w:hint="eastAsia"/>
                <w:kern w:val="0"/>
                <w:sz w:val="24"/>
                <w:lang w:bidi="ar"/>
              </w:rPr>
              <w:t xml:space="preserve">    </w:t>
            </w:r>
            <w:r>
              <w:rPr>
                <w:rFonts w:ascii="宋体" w:hAnsi="宋体" w:cs="宋体"/>
                <w:kern w:val="0"/>
                <w:sz w:val="24"/>
                <w:lang w:bidi="ar"/>
              </w:rPr>
              <w:t xml:space="preserve">□ </w:t>
            </w:r>
            <w:r>
              <w:rPr>
                <w:rFonts w:ascii="宋体" w:hAnsi="宋体" w:cs="宋体"/>
                <w:kern w:val="0"/>
                <w:sz w:val="24"/>
                <w:lang w:bidi="ar"/>
              </w:rPr>
              <w:t>不足</w:t>
            </w:r>
          </w:p>
        </w:tc>
      </w:tr>
      <w:tr w:rsidR="00000000" w14:paraId="522C9E85" w14:textId="77777777">
        <w:trPr>
          <w:trHeight w:val="90"/>
        </w:trPr>
        <w:tc>
          <w:tcPr>
            <w:tcW w:w="2008"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1EB3ABA3" w14:textId="77777777" w:rsidR="00241A63" w:rsidRDefault="00241A63">
            <w:pPr>
              <w:widowControl/>
              <w:snapToGrid w:val="0"/>
              <w:jc w:val="left"/>
              <w:textAlignment w:val="top"/>
              <w:rPr>
                <w:sz w:val="24"/>
              </w:rPr>
            </w:pPr>
            <w:r>
              <w:rPr>
                <w:rFonts w:ascii="宋体" w:hAnsi="宋体" w:cs="宋体"/>
                <w:kern w:val="0"/>
                <w:sz w:val="24"/>
                <w:lang w:bidi="ar"/>
              </w:rPr>
              <w:t>文献时效性</w:t>
            </w:r>
          </w:p>
        </w:tc>
        <w:tc>
          <w:tcPr>
            <w:tcW w:w="702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6DCC502C" w14:textId="77777777" w:rsidR="00241A63" w:rsidRDefault="00241A63">
            <w:pPr>
              <w:widowControl/>
              <w:snapToGrid w:val="0"/>
              <w:jc w:val="left"/>
              <w:textAlignment w:val="top"/>
              <w:rPr>
                <w:sz w:val="24"/>
              </w:rPr>
            </w:pPr>
            <w:r>
              <w:rPr>
                <w:rFonts w:ascii="宋体" w:hAnsi="宋体" w:cs="宋体"/>
                <w:kern w:val="0"/>
                <w:sz w:val="24"/>
                <w:lang w:bidi="ar"/>
              </w:rPr>
              <w:t xml:space="preserve">□ </w:t>
            </w:r>
            <w:r>
              <w:rPr>
                <w:rFonts w:ascii="宋体" w:hAnsi="宋体" w:cs="宋体"/>
                <w:kern w:val="0"/>
                <w:sz w:val="24"/>
                <w:lang w:bidi="ar"/>
              </w:rPr>
              <w:t>近五年文献占比</w:t>
            </w:r>
            <w:r>
              <w:rPr>
                <w:rFonts w:ascii="宋体" w:hAnsi="宋体" w:cs="宋体"/>
                <w:kern w:val="0"/>
                <w:sz w:val="24"/>
                <w:lang w:bidi="ar"/>
              </w:rPr>
              <w:t xml:space="preserve">≥70% □ </w:t>
            </w:r>
            <w:r>
              <w:rPr>
                <w:rFonts w:ascii="宋体" w:hAnsi="宋体" w:cs="宋体"/>
                <w:kern w:val="0"/>
                <w:sz w:val="24"/>
                <w:lang w:bidi="ar"/>
              </w:rPr>
              <w:t>占比</w:t>
            </w:r>
            <w:r>
              <w:rPr>
                <w:rFonts w:ascii="宋体" w:hAnsi="宋体" w:cs="宋体"/>
                <w:kern w:val="0"/>
                <w:sz w:val="24"/>
                <w:lang w:bidi="ar"/>
              </w:rPr>
              <w:t xml:space="preserve"> 50%-70% □ </w:t>
            </w:r>
            <w:r>
              <w:rPr>
                <w:rFonts w:ascii="宋体" w:hAnsi="宋体" w:cs="宋体"/>
                <w:kern w:val="0"/>
                <w:sz w:val="24"/>
                <w:lang w:bidi="ar"/>
              </w:rPr>
              <w:t>占比＜</w:t>
            </w:r>
            <w:r>
              <w:rPr>
                <w:rFonts w:ascii="宋体" w:hAnsi="宋体" w:cs="宋体"/>
                <w:kern w:val="0"/>
                <w:sz w:val="24"/>
                <w:lang w:bidi="ar"/>
              </w:rPr>
              <w:t>50%</w:t>
            </w:r>
          </w:p>
        </w:tc>
      </w:tr>
      <w:tr w:rsidR="00000000" w14:paraId="671A6E29" w14:textId="77777777">
        <w:trPr>
          <w:trHeight w:val="90"/>
        </w:trPr>
        <w:tc>
          <w:tcPr>
            <w:tcW w:w="2008"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14CA3BF2" w14:textId="77777777" w:rsidR="00241A63" w:rsidRDefault="00241A63">
            <w:pPr>
              <w:widowControl/>
              <w:snapToGrid w:val="0"/>
              <w:jc w:val="left"/>
              <w:textAlignment w:val="top"/>
              <w:rPr>
                <w:sz w:val="24"/>
              </w:rPr>
            </w:pPr>
            <w:r>
              <w:rPr>
                <w:rFonts w:ascii="宋体" w:hAnsi="宋体" w:cs="宋体"/>
                <w:kern w:val="0"/>
                <w:sz w:val="24"/>
                <w:lang w:bidi="ar"/>
              </w:rPr>
              <w:t>文献权威性</w:t>
            </w:r>
          </w:p>
        </w:tc>
        <w:tc>
          <w:tcPr>
            <w:tcW w:w="702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2D6A6E69" w14:textId="77777777" w:rsidR="00241A63" w:rsidRDefault="00241A63">
            <w:pPr>
              <w:widowControl/>
              <w:snapToGrid w:val="0"/>
              <w:jc w:val="left"/>
              <w:textAlignment w:val="top"/>
              <w:rPr>
                <w:sz w:val="24"/>
              </w:rPr>
            </w:pPr>
            <w:r>
              <w:rPr>
                <w:rFonts w:ascii="宋体" w:hAnsi="宋体" w:cs="宋体"/>
                <w:kern w:val="0"/>
                <w:sz w:val="24"/>
                <w:lang w:bidi="ar"/>
              </w:rPr>
              <w:t xml:space="preserve">□ </w:t>
            </w:r>
            <w:r>
              <w:rPr>
                <w:rFonts w:ascii="宋体" w:hAnsi="宋体" w:cs="宋体"/>
                <w:kern w:val="0"/>
                <w:sz w:val="24"/>
                <w:lang w:bidi="ar"/>
              </w:rPr>
              <w:t>主要引用权威来源</w:t>
            </w:r>
            <w:r>
              <w:rPr>
                <w:rFonts w:ascii="宋体" w:hAnsi="宋体" w:cs="宋体" w:hint="eastAsia"/>
                <w:kern w:val="0"/>
                <w:sz w:val="24"/>
                <w:lang w:bidi="ar"/>
              </w:rPr>
              <w:t xml:space="preserve">   </w:t>
            </w:r>
            <w:r>
              <w:rPr>
                <w:rFonts w:ascii="宋体" w:hAnsi="宋体" w:cs="宋体"/>
                <w:kern w:val="0"/>
                <w:sz w:val="24"/>
                <w:lang w:bidi="ar"/>
              </w:rPr>
              <w:t xml:space="preserve"> □ </w:t>
            </w:r>
            <w:r>
              <w:rPr>
                <w:rFonts w:ascii="宋体" w:hAnsi="宋体" w:cs="宋体"/>
                <w:kern w:val="0"/>
                <w:sz w:val="24"/>
                <w:lang w:bidi="ar"/>
              </w:rPr>
              <w:t>引用较混杂</w:t>
            </w:r>
            <w:r>
              <w:rPr>
                <w:rFonts w:ascii="宋体" w:hAnsi="宋体" w:cs="宋体" w:hint="eastAsia"/>
                <w:kern w:val="0"/>
                <w:sz w:val="24"/>
                <w:lang w:bidi="ar"/>
              </w:rPr>
              <w:t xml:space="preserve">  </w:t>
            </w:r>
            <w:r>
              <w:rPr>
                <w:rFonts w:ascii="宋体" w:hAnsi="宋体" w:cs="宋体"/>
                <w:kern w:val="0"/>
                <w:sz w:val="24"/>
                <w:lang w:bidi="ar"/>
              </w:rPr>
              <w:t xml:space="preserve"> □ </w:t>
            </w:r>
            <w:r>
              <w:rPr>
                <w:rFonts w:ascii="宋体" w:hAnsi="宋体" w:cs="宋体"/>
                <w:kern w:val="0"/>
                <w:sz w:val="24"/>
                <w:lang w:bidi="ar"/>
              </w:rPr>
              <w:t>存在非权威来源</w:t>
            </w:r>
          </w:p>
        </w:tc>
      </w:tr>
      <w:tr w:rsidR="00000000" w14:paraId="271E26E6" w14:textId="77777777">
        <w:trPr>
          <w:trHeight w:val="90"/>
        </w:trPr>
        <w:tc>
          <w:tcPr>
            <w:tcW w:w="2008"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7C0107B0" w14:textId="77777777" w:rsidR="00241A63" w:rsidRDefault="00241A63">
            <w:pPr>
              <w:widowControl/>
              <w:snapToGrid w:val="0"/>
              <w:jc w:val="left"/>
              <w:textAlignment w:val="top"/>
              <w:rPr>
                <w:sz w:val="24"/>
              </w:rPr>
            </w:pPr>
            <w:r>
              <w:rPr>
                <w:rFonts w:ascii="宋体" w:hAnsi="宋体" w:cs="宋体"/>
                <w:kern w:val="0"/>
                <w:sz w:val="24"/>
                <w:lang w:bidi="ar"/>
              </w:rPr>
              <w:t>文献分类合理性</w:t>
            </w:r>
          </w:p>
        </w:tc>
        <w:tc>
          <w:tcPr>
            <w:tcW w:w="702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E90E140" w14:textId="77777777" w:rsidR="00241A63" w:rsidRDefault="00241A63">
            <w:pPr>
              <w:widowControl/>
              <w:snapToGrid w:val="0"/>
              <w:jc w:val="left"/>
              <w:textAlignment w:val="top"/>
              <w:rPr>
                <w:sz w:val="24"/>
              </w:rPr>
            </w:pPr>
            <w:r>
              <w:rPr>
                <w:rFonts w:ascii="宋体" w:hAnsi="宋体" w:cs="宋体"/>
                <w:kern w:val="0"/>
                <w:sz w:val="24"/>
                <w:lang w:bidi="ar"/>
              </w:rPr>
              <w:t xml:space="preserve">□ </w:t>
            </w:r>
            <w:r>
              <w:rPr>
                <w:rFonts w:ascii="宋体" w:hAnsi="宋体" w:cs="宋体"/>
                <w:kern w:val="0"/>
                <w:sz w:val="24"/>
                <w:lang w:bidi="ar"/>
              </w:rPr>
              <w:t>分类科学合理</w:t>
            </w:r>
            <w:r>
              <w:rPr>
                <w:rFonts w:ascii="宋体" w:hAnsi="宋体" w:cs="宋体" w:hint="eastAsia"/>
                <w:kern w:val="0"/>
                <w:sz w:val="24"/>
                <w:lang w:bidi="ar"/>
              </w:rPr>
              <w:t xml:space="preserve">       </w:t>
            </w:r>
            <w:r>
              <w:rPr>
                <w:rFonts w:ascii="宋体" w:hAnsi="宋体" w:cs="宋体"/>
                <w:kern w:val="0"/>
                <w:sz w:val="24"/>
                <w:lang w:bidi="ar"/>
              </w:rPr>
              <w:t xml:space="preserve"> □ </w:t>
            </w:r>
            <w:r>
              <w:rPr>
                <w:rFonts w:ascii="宋体" w:hAnsi="宋体" w:cs="宋体"/>
                <w:kern w:val="0"/>
                <w:sz w:val="24"/>
                <w:lang w:bidi="ar"/>
              </w:rPr>
              <w:t>存在部分交叉</w:t>
            </w:r>
            <w:r>
              <w:rPr>
                <w:rFonts w:ascii="宋体" w:hAnsi="宋体" w:cs="宋体"/>
                <w:kern w:val="0"/>
                <w:sz w:val="24"/>
                <w:lang w:bidi="ar"/>
              </w:rPr>
              <w:t xml:space="preserve"> □ </w:t>
            </w:r>
            <w:r>
              <w:rPr>
                <w:rFonts w:ascii="宋体" w:hAnsi="宋体" w:cs="宋体"/>
                <w:kern w:val="0"/>
                <w:sz w:val="24"/>
                <w:lang w:bidi="ar"/>
              </w:rPr>
              <w:t>分类混乱</w:t>
            </w:r>
          </w:p>
        </w:tc>
      </w:tr>
      <w:tr w:rsidR="00000000" w14:paraId="021D0696" w14:textId="77777777">
        <w:trPr>
          <w:trHeight w:val="90"/>
        </w:trPr>
        <w:tc>
          <w:tcPr>
            <w:tcW w:w="2008"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AC70671" w14:textId="77777777" w:rsidR="00241A63" w:rsidRDefault="00241A63">
            <w:pPr>
              <w:widowControl/>
              <w:snapToGrid w:val="0"/>
              <w:jc w:val="left"/>
              <w:textAlignment w:val="top"/>
              <w:rPr>
                <w:sz w:val="24"/>
              </w:rPr>
            </w:pPr>
            <w:r>
              <w:rPr>
                <w:rFonts w:ascii="宋体" w:hAnsi="宋体" w:cs="宋体"/>
                <w:kern w:val="0"/>
                <w:sz w:val="24"/>
                <w:lang w:bidi="ar"/>
              </w:rPr>
              <w:t>逻辑连贯性</w:t>
            </w:r>
          </w:p>
        </w:tc>
        <w:tc>
          <w:tcPr>
            <w:tcW w:w="702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504F026E" w14:textId="77777777" w:rsidR="00241A63" w:rsidRDefault="00241A63">
            <w:pPr>
              <w:widowControl/>
              <w:snapToGrid w:val="0"/>
              <w:jc w:val="left"/>
              <w:textAlignment w:val="top"/>
              <w:rPr>
                <w:sz w:val="24"/>
              </w:rPr>
            </w:pPr>
            <w:r>
              <w:rPr>
                <w:rFonts w:ascii="宋体" w:hAnsi="宋体" w:cs="宋体"/>
                <w:kern w:val="0"/>
                <w:sz w:val="24"/>
                <w:lang w:bidi="ar"/>
              </w:rPr>
              <w:t xml:space="preserve">□ </w:t>
            </w:r>
            <w:r>
              <w:rPr>
                <w:rFonts w:ascii="宋体" w:hAnsi="宋体" w:cs="宋体"/>
                <w:kern w:val="0"/>
                <w:sz w:val="24"/>
                <w:lang w:bidi="ar"/>
              </w:rPr>
              <w:t>逻辑严密，过渡自然</w:t>
            </w:r>
            <w:r>
              <w:rPr>
                <w:rFonts w:ascii="宋体" w:hAnsi="宋体" w:cs="宋体" w:hint="eastAsia"/>
                <w:kern w:val="0"/>
                <w:sz w:val="24"/>
                <w:lang w:bidi="ar"/>
              </w:rPr>
              <w:t xml:space="preserve"> </w:t>
            </w:r>
            <w:r>
              <w:rPr>
                <w:rFonts w:ascii="宋体" w:hAnsi="宋体" w:cs="宋体"/>
                <w:kern w:val="0"/>
                <w:sz w:val="24"/>
                <w:lang w:bidi="ar"/>
              </w:rPr>
              <w:t xml:space="preserve"> □ </w:t>
            </w:r>
            <w:r>
              <w:rPr>
                <w:rFonts w:ascii="宋体" w:hAnsi="宋体" w:cs="宋体"/>
                <w:kern w:val="0"/>
                <w:sz w:val="24"/>
                <w:lang w:bidi="ar"/>
              </w:rPr>
              <w:t>逻辑较清晰</w:t>
            </w:r>
            <w:r>
              <w:rPr>
                <w:rFonts w:ascii="宋体" w:hAnsi="宋体" w:cs="宋体"/>
                <w:kern w:val="0"/>
                <w:sz w:val="24"/>
                <w:lang w:bidi="ar"/>
              </w:rPr>
              <w:t xml:space="preserve"> </w:t>
            </w:r>
            <w:r>
              <w:rPr>
                <w:rFonts w:ascii="宋体" w:hAnsi="宋体" w:cs="宋体" w:hint="eastAsia"/>
                <w:kern w:val="0"/>
                <w:sz w:val="24"/>
                <w:lang w:bidi="ar"/>
              </w:rPr>
              <w:t xml:space="preserve">  </w:t>
            </w:r>
            <w:r>
              <w:rPr>
                <w:rFonts w:ascii="宋体" w:hAnsi="宋体" w:cs="宋体"/>
                <w:kern w:val="0"/>
                <w:sz w:val="24"/>
                <w:lang w:bidi="ar"/>
              </w:rPr>
              <w:t xml:space="preserve">□ </w:t>
            </w:r>
            <w:r>
              <w:rPr>
                <w:rFonts w:ascii="宋体" w:hAnsi="宋体" w:cs="宋体"/>
                <w:kern w:val="0"/>
                <w:sz w:val="24"/>
                <w:lang w:bidi="ar"/>
              </w:rPr>
              <w:t>逻辑混乱</w:t>
            </w:r>
          </w:p>
        </w:tc>
      </w:tr>
      <w:tr w:rsidR="00000000" w14:paraId="216340AB" w14:textId="77777777">
        <w:trPr>
          <w:trHeight w:val="90"/>
        </w:trPr>
        <w:tc>
          <w:tcPr>
            <w:tcW w:w="2008"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2E926D0E" w14:textId="77777777" w:rsidR="00241A63" w:rsidRDefault="00241A63">
            <w:pPr>
              <w:widowControl/>
              <w:snapToGrid w:val="0"/>
              <w:jc w:val="left"/>
              <w:textAlignment w:val="top"/>
              <w:rPr>
                <w:sz w:val="24"/>
              </w:rPr>
            </w:pPr>
            <w:r>
              <w:rPr>
                <w:rFonts w:ascii="宋体" w:hAnsi="宋体" w:cs="宋体"/>
                <w:kern w:val="0"/>
                <w:sz w:val="24"/>
                <w:lang w:bidi="ar"/>
              </w:rPr>
              <w:t>总结归纳能力</w:t>
            </w:r>
          </w:p>
        </w:tc>
        <w:tc>
          <w:tcPr>
            <w:tcW w:w="702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426E6D48" w14:textId="77777777" w:rsidR="00241A63" w:rsidRDefault="00241A63">
            <w:pPr>
              <w:widowControl/>
              <w:snapToGrid w:val="0"/>
              <w:jc w:val="left"/>
              <w:textAlignment w:val="top"/>
              <w:rPr>
                <w:sz w:val="24"/>
              </w:rPr>
            </w:pPr>
            <w:r>
              <w:rPr>
                <w:rFonts w:ascii="宋体" w:hAnsi="宋体" w:cs="宋体"/>
                <w:kern w:val="0"/>
                <w:sz w:val="24"/>
                <w:lang w:bidi="ar"/>
              </w:rPr>
              <w:t xml:space="preserve">□ </w:t>
            </w:r>
            <w:r>
              <w:rPr>
                <w:rFonts w:ascii="宋体" w:hAnsi="宋体" w:cs="宋体"/>
                <w:kern w:val="0"/>
                <w:sz w:val="24"/>
                <w:lang w:bidi="ar"/>
              </w:rPr>
              <w:t>准确提炼核心观点</w:t>
            </w:r>
            <w:r>
              <w:rPr>
                <w:rFonts w:ascii="宋体" w:hAnsi="宋体" w:cs="宋体"/>
                <w:kern w:val="0"/>
                <w:sz w:val="24"/>
                <w:lang w:bidi="ar"/>
              </w:rPr>
              <w:t xml:space="preserve"> </w:t>
            </w:r>
            <w:r>
              <w:rPr>
                <w:rFonts w:ascii="宋体" w:hAnsi="宋体" w:cs="宋体" w:hint="eastAsia"/>
                <w:kern w:val="0"/>
                <w:sz w:val="24"/>
                <w:lang w:bidi="ar"/>
              </w:rPr>
              <w:t xml:space="preserve">   </w:t>
            </w:r>
            <w:r>
              <w:rPr>
                <w:rFonts w:ascii="宋体" w:hAnsi="宋体" w:cs="宋体" w:hint="eastAsia"/>
                <w:kern w:val="0"/>
                <w:sz w:val="24"/>
                <w:lang w:bidi="ar"/>
              </w:rPr>
              <w:t>□</w:t>
            </w:r>
            <w:r>
              <w:rPr>
                <w:rFonts w:ascii="宋体" w:hAnsi="宋体" w:cs="宋体"/>
                <w:kern w:val="0"/>
                <w:sz w:val="24"/>
                <w:lang w:bidi="ar"/>
              </w:rPr>
              <w:t xml:space="preserve"> </w:t>
            </w:r>
            <w:r>
              <w:rPr>
                <w:rFonts w:ascii="宋体" w:hAnsi="宋体" w:cs="宋体"/>
                <w:kern w:val="0"/>
                <w:sz w:val="24"/>
                <w:lang w:bidi="ar"/>
              </w:rPr>
              <w:t>提炼较笼统</w:t>
            </w:r>
            <w:r>
              <w:rPr>
                <w:rFonts w:ascii="宋体" w:hAnsi="宋体" w:cs="宋体" w:hint="eastAsia"/>
                <w:kern w:val="0"/>
                <w:sz w:val="24"/>
                <w:lang w:bidi="ar"/>
              </w:rPr>
              <w:t xml:space="preserve">   </w:t>
            </w:r>
            <w:r>
              <w:rPr>
                <w:rFonts w:ascii="宋体" w:hAnsi="宋体" w:cs="宋体"/>
                <w:kern w:val="0"/>
                <w:sz w:val="24"/>
                <w:lang w:bidi="ar"/>
              </w:rPr>
              <w:t xml:space="preserve"> □ </w:t>
            </w:r>
            <w:r>
              <w:rPr>
                <w:rFonts w:ascii="宋体" w:hAnsi="宋体" w:cs="宋体"/>
                <w:kern w:val="0"/>
                <w:sz w:val="24"/>
                <w:lang w:bidi="ar"/>
              </w:rPr>
              <w:t>未有效归纳</w:t>
            </w:r>
          </w:p>
        </w:tc>
      </w:tr>
      <w:tr w:rsidR="00000000" w14:paraId="608CFEAA" w14:textId="77777777">
        <w:trPr>
          <w:trHeight w:val="90"/>
        </w:trPr>
        <w:tc>
          <w:tcPr>
            <w:tcW w:w="2008"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77B4ADF8" w14:textId="77777777" w:rsidR="00241A63" w:rsidRDefault="00241A63">
            <w:pPr>
              <w:widowControl/>
              <w:snapToGrid w:val="0"/>
              <w:jc w:val="left"/>
              <w:textAlignment w:val="top"/>
              <w:rPr>
                <w:sz w:val="24"/>
              </w:rPr>
            </w:pPr>
            <w:r>
              <w:rPr>
                <w:rFonts w:ascii="宋体" w:hAnsi="宋体" w:cs="宋体"/>
                <w:kern w:val="0"/>
                <w:sz w:val="24"/>
                <w:lang w:bidi="ar"/>
              </w:rPr>
              <w:t>综合评价等级</w:t>
            </w:r>
          </w:p>
        </w:tc>
        <w:tc>
          <w:tcPr>
            <w:tcW w:w="702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6982F8BB" w14:textId="77777777" w:rsidR="00241A63" w:rsidRDefault="00241A63">
            <w:pPr>
              <w:widowControl/>
              <w:snapToGrid w:val="0"/>
              <w:jc w:val="left"/>
              <w:textAlignment w:val="top"/>
              <w:rPr>
                <w:rFonts w:ascii="宋体" w:hAnsi="宋体" w:cs="宋体"/>
                <w:kern w:val="0"/>
                <w:sz w:val="24"/>
                <w:lang w:bidi="ar"/>
              </w:rPr>
            </w:pPr>
            <w:r>
              <w:rPr>
                <w:rFonts w:ascii="宋体" w:hAnsi="宋体" w:cs="宋体"/>
                <w:kern w:val="0"/>
                <w:sz w:val="24"/>
                <w:lang w:bidi="ar"/>
              </w:rPr>
              <w:t xml:space="preserve">□ </w:t>
            </w:r>
            <w:r>
              <w:rPr>
                <w:rFonts w:ascii="宋体" w:hAnsi="宋体" w:cs="宋体"/>
                <w:kern w:val="0"/>
                <w:sz w:val="24"/>
                <w:lang w:bidi="ar"/>
              </w:rPr>
              <w:t>优秀</w:t>
            </w:r>
            <w:r>
              <w:rPr>
                <w:rFonts w:ascii="宋体" w:hAnsi="宋体" w:cs="宋体" w:hint="eastAsia"/>
                <w:kern w:val="0"/>
                <w:sz w:val="24"/>
                <w:lang w:bidi="ar"/>
              </w:rPr>
              <w:t xml:space="preserve">        </w:t>
            </w:r>
            <w:r>
              <w:rPr>
                <w:rFonts w:ascii="宋体" w:hAnsi="宋体" w:cs="宋体"/>
                <w:kern w:val="0"/>
                <w:sz w:val="24"/>
                <w:lang w:bidi="ar"/>
              </w:rPr>
              <w:t xml:space="preserve">□ </w:t>
            </w:r>
            <w:r>
              <w:rPr>
                <w:rFonts w:ascii="宋体" w:hAnsi="宋体" w:cs="宋体"/>
                <w:kern w:val="0"/>
                <w:sz w:val="24"/>
                <w:lang w:bidi="ar"/>
              </w:rPr>
              <w:t>良好</w:t>
            </w:r>
            <w:r>
              <w:rPr>
                <w:rFonts w:ascii="宋体" w:hAnsi="宋体" w:cs="宋体"/>
                <w:kern w:val="0"/>
                <w:sz w:val="24"/>
                <w:lang w:bidi="ar"/>
              </w:rPr>
              <w:t xml:space="preserve"> </w:t>
            </w:r>
            <w:r>
              <w:rPr>
                <w:rFonts w:ascii="宋体" w:hAnsi="宋体" w:cs="宋体" w:hint="eastAsia"/>
                <w:kern w:val="0"/>
                <w:sz w:val="24"/>
                <w:lang w:bidi="ar"/>
              </w:rPr>
              <w:t xml:space="preserve">      </w:t>
            </w:r>
            <w:r>
              <w:rPr>
                <w:rFonts w:ascii="宋体" w:hAnsi="宋体" w:cs="宋体"/>
                <w:kern w:val="0"/>
                <w:sz w:val="24"/>
                <w:lang w:bidi="ar"/>
              </w:rPr>
              <w:t xml:space="preserve">□ </w:t>
            </w:r>
            <w:r>
              <w:rPr>
                <w:rFonts w:ascii="宋体" w:hAnsi="宋体" w:cs="宋体"/>
                <w:kern w:val="0"/>
                <w:sz w:val="24"/>
                <w:lang w:bidi="ar"/>
              </w:rPr>
              <w:t>合格</w:t>
            </w:r>
            <w:r>
              <w:rPr>
                <w:rFonts w:ascii="宋体" w:hAnsi="宋体" w:cs="宋体" w:hint="eastAsia"/>
                <w:kern w:val="0"/>
                <w:sz w:val="24"/>
                <w:lang w:bidi="ar"/>
              </w:rPr>
              <w:t xml:space="preserve">       </w:t>
            </w:r>
            <w:r>
              <w:rPr>
                <w:rFonts w:ascii="宋体" w:hAnsi="宋体" w:cs="宋体" w:hint="eastAsia"/>
                <w:kern w:val="0"/>
                <w:sz w:val="24"/>
                <w:lang w:bidi="ar"/>
              </w:rPr>
              <w:t>□</w:t>
            </w:r>
            <w:r>
              <w:rPr>
                <w:rFonts w:ascii="宋体" w:hAnsi="宋体" w:cs="宋体"/>
                <w:kern w:val="0"/>
                <w:sz w:val="24"/>
                <w:lang w:bidi="ar"/>
              </w:rPr>
              <w:t xml:space="preserve"> </w:t>
            </w:r>
            <w:r>
              <w:rPr>
                <w:rFonts w:ascii="宋体" w:hAnsi="宋体" w:cs="宋体"/>
                <w:kern w:val="0"/>
                <w:sz w:val="24"/>
                <w:lang w:bidi="ar"/>
              </w:rPr>
              <w:t>不合格</w:t>
            </w:r>
          </w:p>
        </w:tc>
      </w:tr>
      <w:tr w:rsidR="00000000" w14:paraId="589E7F63" w14:textId="77777777">
        <w:trPr>
          <w:trHeight w:val="90"/>
        </w:trPr>
        <w:tc>
          <w:tcPr>
            <w:tcW w:w="2008"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1C12ACB5" w14:textId="77777777" w:rsidR="00241A63" w:rsidRDefault="00241A63">
            <w:pPr>
              <w:widowControl/>
              <w:snapToGrid w:val="0"/>
              <w:jc w:val="left"/>
              <w:textAlignment w:val="top"/>
              <w:rPr>
                <w:sz w:val="24"/>
              </w:rPr>
            </w:pPr>
            <w:r>
              <w:rPr>
                <w:rFonts w:hint="eastAsia"/>
                <w:sz w:val="24"/>
              </w:rPr>
              <w:t>其他意见</w:t>
            </w:r>
          </w:p>
        </w:tc>
        <w:tc>
          <w:tcPr>
            <w:tcW w:w="702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tcPr>
          <w:p w14:paraId="13785347" w14:textId="77777777" w:rsidR="00241A63" w:rsidRDefault="00241A63">
            <w:pPr>
              <w:widowControl/>
              <w:snapToGrid w:val="0"/>
              <w:rPr>
                <w:rFonts w:ascii="宋体" w:hint="eastAsia"/>
                <w:sz w:val="24"/>
              </w:rPr>
            </w:pPr>
          </w:p>
          <w:p w14:paraId="0A1F9520" w14:textId="77777777" w:rsidR="00241A63" w:rsidRDefault="00241A63">
            <w:pPr>
              <w:widowControl/>
              <w:snapToGrid w:val="0"/>
              <w:rPr>
                <w:rFonts w:ascii="宋体" w:hint="eastAsia"/>
                <w:sz w:val="24"/>
              </w:rPr>
            </w:pPr>
          </w:p>
          <w:p w14:paraId="78A8A74A" w14:textId="77777777" w:rsidR="00241A63" w:rsidRDefault="00241A63">
            <w:pPr>
              <w:widowControl/>
              <w:snapToGrid w:val="0"/>
              <w:rPr>
                <w:rFonts w:ascii="宋体" w:hint="eastAsia"/>
                <w:sz w:val="24"/>
              </w:rPr>
            </w:pPr>
          </w:p>
          <w:p w14:paraId="7926CAB3" w14:textId="77777777" w:rsidR="00241A63" w:rsidRDefault="00241A63">
            <w:pPr>
              <w:widowControl/>
              <w:snapToGrid w:val="0"/>
              <w:rPr>
                <w:rFonts w:ascii="宋体" w:hint="eastAsia"/>
                <w:sz w:val="24"/>
              </w:rPr>
            </w:pPr>
          </w:p>
          <w:p w14:paraId="603B28F1" w14:textId="77777777" w:rsidR="00241A63" w:rsidRDefault="00241A63">
            <w:pPr>
              <w:widowControl/>
              <w:snapToGrid w:val="0"/>
              <w:rPr>
                <w:rFonts w:ascii="宋体" w:hint="eastAsia"/>
                <w:sz w:val="24"/>
              </w:rPr>
            </w:pPr>
          </w:p>
        </w:tc>
      </w:tr>
    </w:tbl>
    <w:p w14:paraId="5389F100" w14:textId="77777777" w:rsidR="00241A63" w:rsidRDefault="00241A63">
      <w:pPr>
        <w:rPr>
          <w:rFonts w:hint="eastAsia"/>
          <w:color w:val="FF0000"/>
          <w:sz w:val="24"/>
        </w:rPr>
      </w:pPr>
    </w:p>
    <w:p w14:paraId="6DEF6663" w14:textId="77777777" w:rsidR="00241A63" w:rsidRDefault="00241A63">
      <w:pPr>
        <w:jc w:val="right"/>
        <w:rPr>
          <w:rFonts w:hint="eastAsia"/>
          <w:sz w:val="28"/>
        </w:rPr>
      </w:pPr>
    </w:p>
    <w:p w14:paraId="1437D88E" w14:textId="77777777" w:rsidR="00241A63" w:rsidRDefault="00241A63">
      <w:pPr>
        <w:jc w:val="right"/>
        <w:rPr>
          <w:rFonts w:hint="eastAsia"/>
          <w:sz w:val="28"/>
        </w:rPr>
      </w:pPr>
      <w:r>
        <w:rPr>
          <w:rFonts w:hint="eastAsia"/>
          <w:sz w:val="28"/>
        </w:rPr>
        <w:t>指导教师签字：</w:t>
      </w:r>
      <w:r>
        <w:rPr>
          <w:rFonts w:hint="eastAsia"/>
          <w:sz w:val="28"/>
          <w:u w:val="single"/>
        </w:rPr>
        <w:t xml:space="preserve"> </w:t>
      </w:r>
      <w:r>
        <w:rPr>
          <w:sz w:val="28"/>
          <w:u w:val="single"/>
        </w:rPr>
        <w:t xml:space="preserve"> </w:t>
      </w:r>
      <w:r>
        <w:rPr>
          <w:rFonts w:hint="eastAsia"/>
          <w:sz w:val="28"/>
          <w:u w:val="single"/>
        </w:rPr>
        <w:t xml:space="preserve">  </w:t>
      </w:r>
      <w:r>
        <w:rPr>
          <w:rFonts w:hint="eastAsia"/>
          <w:color w:val="FF0000"/>
          <w:sz w:val="24"/>
          <w:u w:val="single"/>
        </w:rPr>
        <w:t>（手签名）</w:t>
      </w:r>
      <w:r>
        <w:rPr>
          <w:rFonts w:hint="eastAsia"/>
          <w:sz w:val="28"/>
          <w:u w:val="single"/>
        </w:rPr>
        <w:t xml:space="preserve">      </w:t>
      </w:r>
      <w:r>
        <w:rPr>
          <w:rFonts w:hint="eastAsia"/>
          <w:sz w:val="28"/>
        </w:rPr>
        <w:t xml:space="preserve">      </w:t>
      </w:r>
      <w:r>
        <w:rPr>
          <w:rFonts w:hint="eastAsia"/>
          <w:sz w:val="28"/>
          <w:u w:val="single"/>
        </w:rPr>
        <w:t xml:space="preserve">      </w:t>
      </w:r>
      <w:r>
        <w:rPr>
          <w:rFonts w:hint="eastAsia"/>
          <w:sz w:val="28"/>
        </w:rPr>
        <w:t xml:space="preserve"> </w:t>
      </w:r>
      <w:r>
        <w:rPr>
          <w:rFonts w:hint="eastAsia"/>
          <w:sz w:val="28"/>
        </w:rPr>
        <w:t>年</w:t>
      </w:r>
      <w:r>
        <w:rPr>
          <w:rFonts w:hint="eastAsia"/>
          <w:sz w:val="28"/>
          <w:u w:val="single"/>
        </w:rPr>
        <w:t xml:space="preserve">   </w:t>
      </w:r>
      <w:r>
        <w:rPr>
          <w:rFonts w:hint="eastAsia"/>
          <w:sz w:val="28"/>
        </w:rPr>
        <w:t>月</w:t>
      </w:r>
      <w:r>
        <w:rPr>
          <w:rFonts w:hint="eastAsia"/>
          <w:sz w:val="28"/>
          <w:u w:val="single"/>
        </w:rPr>
        <w:t xml:space="preserve">   </w:t>
      </w:r>
      <w:r>
        <w:rPr>
          <w:rFonts w:hint="eastAsia"/>
          <w:sz w:val="28"/>
        </w:rPr>
        <w:t>日</w:t>
      </w:r>
    </w:p>
    <w:p w14:paraId="3D7B8B57" w14:textId="77777777" w:rsidR="00241A63" w:rsidRDefault="00241A63">
      <w:pPr>
        <w:jc w:val="right"/>
        <w:rPr>
          <w:rFonts w:ascii="仿宋" w:eastAsia="仿宋" w:hAnsi="仿宋" w:cs="仿宋" w:hint="eastAsia"/>
          <w:sz w:val="15"/>
          <w:szCs w:val="13"/>
        </w:rPr>
        <w:sectPr w:rsidR="00000000">
          <w:pgSz w:w="11906" w:h="16838"/>
          <w:pgMar w:top="1418" w:right="1418" w:bottom="1418" w:left="1701" w:header="851" w:footer="992" w:gutter="0"/>
          <w:cols w:space="720"/>
          <w:docGrid w:type="lines" w:linePitch="312"/>
        </w:sectPr>
      </w:pPr>
      <w:r>
        <w:rPr>
          <w:rFonts w:ascii="仿宋" w:eastAsia="仿宋" w:hAnsi="仿宋" w:cs="仿宋" w:hint="eastAsia"/>
          <w:sz w:val="16"/>
          <w:szCs w:val="13"/>
        </w:rPr>
        <w:t>【本页不得跨页】</w:t>
      </w:r>
    </w:p>
    <w:p w14:paraId="479D5495" w14:textId="77777777" w:rsidR="00241A63" w:rsidRDefault="00241A63"/>
    <w:p>
      <w:pPr>
        <w:spacing w:line="240" w:lineRule="auto" w:before="0" w:after="0"/>
        <w:jc w:val="center"/>
      </w:pPr>
      <w:r>
        <w:rPr>
          <w:rFonts w:ascii="Times New Roman" w:hAnsi="Times New Roman" w:eastAsia="宋体"/>
          <w:b/>
          <w:sz w:val="44"/>
        </w:rPr>
        <w:t>网络流量检测管理系统的设计与开发</w:t>
      </w:r>
    </w:p>
    <w:p>
      <w:pPr>
        <w:spacing w:line="240" w:lineRule="auto" w:before="0" w:after="0"/>
        <w:jc w:val="center"/>
      </w:pPr>
      <w:r>
        <w:rPr>
          <w:rFonts w:ascii="Times New Roman" w:hAnsi="Times New Roman" w:eastAsia="宋体"/>
          <w:b/>
          <w:sz w:val="44"/>
        </w:rPr>
        <w:t>文 献 综 述</w:t>
      </w:r>
    </w:p>
    <w:p>
      <w:pPr>
        <w:spacing w:line="288" w:lineRule="auto" w:before="0" w:after="0"/>
        <w:jc w:val="left"/>
      </w:pPr>
      <w:r>
        <w:rPr>
          <w:rFonts w:ascii="Times New Roman" w:hAnsi="Times New Roman" w:eastAsia="黑体"/>
          <w:b w:val="0"/>
          <w:sz w:val="32"/>
        </w:rPr>
        <w:t>一、前言</w:t>
      </w:r>
    </w:p>
    <w:p>
      <w:pPr>
        <w:spacing w:line="288" w:lineRule="auto" w:before="0" w:after="0"/>
        <w:jc w:val="left"/>
      </w:pPr>
      <w:r>
        <w:rPr>
          <w:rFonts w:ascii="Times New Roman" w:hAnsi="Times New Roman" w:eastAsia="黑体"/>
          <w:b w:val="0"/>
          <w:sz w:val="30"/>
        </w:rPr>
        <w:t>1.1 研究背景</w:t>
      </w:r>
    </w:p>
    <w:p>
      <w:pPr>
        <w:spacing w:line="288" w:lineRule="auto" w:before="0" w:after="0"/>
        <w:ind w:firstLine="480"/>
        <w:jc w:val="both"/>
      </w:pPr>
      <w:r>
        <w:rPr>
          <w:rFonts w:ascii="Times New Roman" w:hAnsi="Times New Roman" w:eastAsia="宋体"/>
          <w:b w:val="0"/>
          <w:sz w:val="24"/>
        </w:rPr>
        <w:t>随着 Web 应用、移动终端、API 接口和云服务的广泛使用，网络通信从早期以明文 HTTP 和固定端口访问为主，逐步发展为以 HTTPS、长连接、代理链路和多端实时交互并存的复杂形态。网络流量检测管理系统不再只是记录访问日志或统计带宽，而需要在授权范围内完成代理接入、协议兼容、HTTPS 隧道处理、日志采集、异常识别、规则转发和可视化展示等工作。对毕业设计而言，相关文献可以从代理服务器、校园网络管理、SSL/TLS 安全通信、HTTP 隧道、HTTP 异常取证、网络协议流量识别、WebSocket 实时交互和加密流量分析等方面形成支撑。</w:t>
      </w:r>
    </w:p>
    <w:p>
      <w:pPr>
        <w:spacing w:line="288" w:lineRule="auto" w:before="0" w:after="0"/>
        <w:ind w:firstLine="480"/>
        <w:jc w:val="both"/>
      </w:pPr>
      <w:r>
        <w:rPr>
          <w:rFonts w:ascii="Times New Roman" w:hAnsi="Times New Roman" w:eastAsia="宋体"/>
          <w:b w:val="0"/>
          <w:sz w:val="24"/>
        </w:rPr>
        <w:t>从应用场景看，课题“网络流量检测管理系统的设计与开发”与传统代理服务器、网络计费管理和网络安全审计具有连续关系。早期研究关注如何让内部专用 IP 地址主机通过代理服务器接入 Internet，解决局域网访问外网的连通性问题[1]；校园网计费管理研究进一步把代理服务器作为访问控制和计费数据采集的关键环节，强调系统数据结构、功能划分和网络管理能力[2]。这些研究虽然产生于较早的网络环境，但其“代理入口统一化、流量数据结构化、管理策略可配置化”的思想，仍是本课题设计代理核心、审计日志和规则配置模块的重要基础。</w:t>
      </w:r>
    </w:p>
    <w:p>
      <w:pPr>
        <w:spacing w:line="288" w:lineRule="auto" w:before="0" w:after="0"/>
        <w:jc w:val="left"/>
      </w:pPr>
      <w:r>
        <w:rPr>
          <w:rFonts w:ascii="Times New Roman" w:hAnsi="Times New Roman" w:eastAsia="黑体"/>
          <w:b w:val="0"/>
          <w:sz w:val="30"/>
        </w:rPr>
        <w:t>1.2 文献综述思路</w:t>
      </w:r>
    </w:p>
    <w:p>
      <w:pPr>
        <w:spacing w:line="288" w:lineRule="auto" w:before="0" w:after="0"/>
        <w:ind w:firstLine="480"/>
        <w:jc w:val="both"/>
      </w:pPr>
      <w:r>
        <w:rPr>
          <w:rFonts w:ascii="Times New Roman" w:hAnsi="Times New Roman" w:eastAsia="宋体"/>
          <w:b w:val="0"/>
          <w:sz w:val="24"/>
        </w:rPr>
        <w:t>本文献综述严格围绕给定文献展开：首先梳理代理服务器和网络管理系统的基础作用，其次分析 SSL/TLS、HTTPS 与隧道通信对流量检测系统带来的安全边界，再讨论 HTTP 异常活动取证、WebSocket 实时推送和可视化系统设计，最后归纳网络协议识别与加密流量分析的研究进展。通过上述路径，可以把分散的研究成果转化为本课题的系统需求：一是具备 HTTP/HTTPS 代理和转发能力，二是具备合规的 HTTPS 隧道或授权解密处理能力，三是能对请求、响应、连接状态和异常事件进行结构化记录，四是能通过前端界面实时展示网络活动并提供规则管理。</w:t>
      </w:r>
    </w:p>
    <w:p>
      <w:pPr>
        <w:spacing w:line="288" w:lineRule="auto" w:before="0" w:after="0"/>
        <w:jc w:val="left"/>
      </w:pPr>
      <w:r>
        <w:rPr>
          <w:rFonts w:ascii="Times New Roman" w:hAnsi="Times New Roman" w:eastAsia="黑体"/>
          <w:b w:val="0"/>
          <w:sz w:val="32"/>
        </w:rPr>
        <w:t>二、正文</w:t>
      </w:r>
    </w:p>
    <w:p>
      <w:pPr>
        <w:spacing w:line="288" w:lineRule="auto" w:before="0" w:after="0"/>
        <w:jc w:val="left"/>
      </w:pPr>
      <w:r>
        <w:rPr>
          <w:rFonts w:ascii="Times New Roman" w:hAnsi="Times New Roman" w:eastAsia="黑体"/>
          <w:b w:val="0"/>
          <w:sz w:val="30"/>
        </w:rPr>
        <w:t>2.1 代理服务器与网络管理研究</w:t>
      </w:r>
    </w:p>
    <w:p>
      <w:pPr>
        <w:spacing w:line="288" w:lineRule="auto" w:before="0" w:after="0"/>
        <w:ind w:firstLine="480"/>
        <w:jc w:val="both"/>
      </w:pPr>
      <w:r>
        <w:rPr>
          <w:rFonts w:ascii="Times New Roman" w:hAnsi="Times New Roman" w:eastAsia="宋体"/>
          <w:b w:val="0"/>
          <w:sz w:val="24"/>
        </w:rPr>
        <w:t>代理服务器研究为网络流量检测管理系统提供了最直接的技术原型。康金翠、代春敏以 Winroute 配置机房代理服务器为例，指出公用机房大量使用内部地址时，可通过具有公网 IP 的主机和代理服务器实现局域网访问 Internet[1]。这一研究说明代理服务器具有两个基本价值：一是作为内部网络与外部网络之间的统一出口，二是使网络访问行为可以被集中配置和管理。对本课题而言，HTTP 代理模块和上游代理模块均应继承这一思想，把客户端流量统一引入代理核心，再根据规则执行透传、阻断、修改或转发。</w:t>
      </w:r>
    </w:p>
    <w:p>
      <w:pPr>
        <w:spacing w:line="288" w:lineRule="auto" w:before="0" w:after="0"/>
        <w:ind w:firstLine="480"/>
        <w:jc w:val="both"/>
      </w:pPr>
      <w:r>
        <w:rPr>
          <w:rFonts w:ascii="Times New Roman" w:hAnsi="Times New Roman" w:eastAsia="宋体"/>
          <w:b w:val="0"/>
          <w:sz w:val="24"/>
        </w:rPr>
        <w:t>校园网计费管理系统研究则把代理服务器从“连通工具”扩展为“管理平台”。沈庆伟、张霖设计的基于代理服务器的校园网计费管理系统，分析了代理服务器工作原理、计费数据采集方法、数据结构和主要功能[2]。该文献对本课题的启示在于，流量检测系统不能只保存原始文本日志，还应将 URL、请求方法、状态码、耗时、客户端地址、目标主机和规则命中情况等字段结构化保存，形成后续统计、检索、审计和可视化的基础。</w:t>
      </w:r>
    </w:p>
    <w:p>
      <w:pPr>
        <w:spacing w:line="288" w:lineRule="auto" w:before="0" w:after="0"/>
        <w:ind w:firstLine="480"/>
        <w:jc w:val="both"/>
      </w:pPr>
      <w:r>
        <w:rPr>
          <w:rFonts w:ascii="Times New Roman" w:hAnsi="Times New Roman" w:eastAsia="宋体"/>
          <w:b w:val="0"/>
          <w:sz w:val="24"/>
        </w:rPr>
        <w:t>从系统工程角度看，早期代理和计费研究的局限也很明显：其主要面向 HTTP 明文访问和校园局域网管理，尚未充分处理 HTTPS 普及、移动应用加密通信、WebSocket 长连接以及多级代理链路等问题。因此，本课题在吸收其代理入口和数据采集思想的同时，需要结合 SSL/TLS 与加密流量识别研究，补足现代网络环境下的协议处理和安全审计能力。</w:t>
      </w:r>
    </w:p>
    <w:p>
      <w:pPr>
        <w:spacing w:line="288" w:lineRule="auto" w:before="0" w:after="0"/>
        <w:jc w:val="left"/>
      </w:pPr>
      <w:r>
        <w:rPr>
          <w:rFonts w:ascii="Times New Roman" w:hAnsi="Times New Roman" w:eastAsia="黑体"/>
          <w:b w:val="0"/>
          <w:sz w:val="30"/>
        </w:rPr>
        <w:t>2.2 SSL/TLS、HTTPS 与隧道通信研究</w:t>
      </w:r>
    </w:p>
    <w:p>
      <w:pPr>
        <w:spacing w:line="288" w:lineRule="auto" w:before="0" w:after="0"/>
        <w:ind w:firstLine="480"/>
        <w:jc w:val="both"/>
      </w:pPr>
      <w:r>
        <w:rPr>
          <w:rFonts w:ascii="Times New Roman" w:hAnsi="Times New Roman" w:eastAsia="宋体"/>
          <w:b w:val="0"/>
          <w:sz w:val="24"/>
        </w:rPr>
        <w:t>HTTPS 的普及改变了流量检测管理系统的设计边界。李长春在基于 SSL 协议的 Web 服务安全应用实验综述中，通过 Web 通信安全分析和实验数据测试，表明基于 SSL 证书加密的 HTTPS 安全通道能够有效解决客户端浏览器与 Web 服务器之间的安全通信问题[3]。这一结论说明，流量管理系统在处理 HTTPS 时必须尊重加密通信的安全属性，不能把 HTTPS 简单等同于可直接解析的 HTTP 明文流量。</w:t>
      </w:r>
    </w:p>
    <w:p>
      <w:pPr>
        <w:spacing w:line="288" w:lineRule="auto" w:before="0" w:after="0"/>
        <w:ind w:firstLine="480"/>
        <w:jc w:val="both"/>
      </w:pPr>
      <w:r>
        <w:rPr>
          <w:rFonts w:ascii="Times New Roman" w:hAnsi="Times New Roman" w:eastAsia="宋体"/>
          <w:b w:val="0"/>
          <w:sz w:val="24"/>
        </w:rPr>
        <w:t>在 VPN 方向，李长春进一步基于 Linux 环境和 OpenVPN 实现 SSL VPN 系统，并利用 Wireshark 对系统性能进行测试分析，结果表明该系统能够解决数据传输安全性和可靠性问题，同时通过 Web 文件分发系统解决客户端证书、密钥等文件的安全分发问题[4]。这对本课题有两点启示：第一，证书、密钥和信任链是 HTTPS MITM 或代理解密场景的核心安全资产，必须明确生成、保存、分发和撤销流程；第二，系统测试不能只验证功能可用，还应使用抓包工具或日志对连接建立、证书协商、转发延迟和错误处理进行验证。</w:t>
      </w:r>
    </w:p>
    <w:p>
      <w:pPr>
        <w:spacing w:line="288" w:lineRule="auto" w:before="0" w:after="0"/>
        <w:ind w:firstLine="480"/>
        <w:jc w:val="both"/>
      </w:pPr>
      <w:r>
        <w:rPr>
          <w:rFonts w:ascii="Times New Roman" w:hAnsi="Times New Roman" w:eastAsia="宋体"/>
          <w:b w:val="0"/>
          <w:sz w:val="24"/>
        </w:rPr>
        <w:t>HTTP Tunnel 技术研究则揭示了隧道机制在穿透 NAT 和防火墙方面的应用价值。黄伟峰在 VoIP 系统中分析 HTTP Tunnel 技术，指出该技术可用于解决 NAT 和防火墙穿透问题，并通过试验验证了可行性[5]。在本课题中，HTTPS 代理通常需要处理 CONNECT 方法建立的 TCP 隧道：当系统不进行授权解密时，应保证字节流稳定透传；当用户明确安装并信任本系统 CA 证书、且场景符合法律与管理要求时，才可进入 MITM 解析流程。由此可见，隧道透传和授权解密应作为两个边界清晰的工作模式。</w:t>
      </w:r>
    </w:p>
    <w:p>
      <w:pPr>
        <w:spacing w:line="288" w:lineRule="auto" w:before="0" w:after="0"/>
        <w:jc w:val="left"/>
      </w:pPr>
      <w:r>
        <w:rPr>
          <w:rFonts w:ascii="Times New Roman" w:hAnsi="Times New Roman" w:eastAsia="黑体"/>
          <w:b w:val="0"/>
          <w:sz w:val="30"/>
        </w:rPr>
        <w:t>2.3 HTTP 异常取证、可视化与实时交互研究</w:t>
      </w:r>
    </w:p>
    <w:p>
      <w:pPr>
        <w:spacing w:line="288" w:lineRule="auto" w:before="0" w:after="0"/>
        <w:ind w:firstLine="480"/>
        <w:jc w:val="both"/>
      </w:pPr>
      <w:r>
        <w:rPr>
          <w:rFonts w:ascii="Times New Roman" w:hAnsi="Times New Roman" w:eastAsia="宋体"/>
          <w:b w:val="0"/>
          <w:sz w:val="24"/>
        </w:rPr>
        <w:t>网络流量检测系统的价值不仅在于“能转发”，还在于“能发现问题并可解释”。贺一峰等针对基于 HTTP 协议通信的恶意程序提出 HTTP 异常活动取证及可视化系统 HAFVS。该系统通过分析服务器网关日志构建 HTTP 请求图，利用事件分组和频繁项集挖掘算法汇聚事件，借助普遍性过滤器识别正常事件，并在可视化界面中突出显示异常事件；实验结果显示系统可将可视化事件条目缩减 18.9 倍并识别异常访问流量[6]。该研究对本课题的流量监控界面具有直接参考意义：系统不应把所有请求等权展示，而应支持事件聚合、过滤、突出异常和访问轨迹查看。</w:t>
      </w:r>
    </w:p>
    <w:p>
      <w:pPr>
        <w:spacing w:line="288" w:lineRule="auto" w:before="0" w:after="0"/>
        <w:ind w:firstLine="480"/>
        <w:jc w:val="both"/>
      </w:pPr>
      <w:r>
        <w:rPr>
          <w:rFonts w:ascii="Times New Roman" w:hAnsi="Times New Roman" w:eastAsia="宋体"/>
          <w:b w:val="0"/>
          <w:sz w:val="24"/>
        </w:rPr>
        <w:t>在前端实时交互方面，曹思琳设计的基于 WebSocket 服务器的汽车售后服务预约系统，通过 WebSocket 使 Web 后台管理平台、车载终端平台和移动终端平台构成数据共享与交换平台，实现多端业务信息整合[8]。虽然该研究的业务领域不是网络安全，但其技术路线与本课题前端监控子系统高度相关。流量检测管理系统可以通过 WebSocket 将代理核心产生的请求日志、连接状态、速率变化和规则命中事件实时推送给浏览器端，避免前端频繁轮询造成延迟和额外负载。</w:t>
      </w:r>
    </w:p>
    <w:p>
      <w:pPr>
        <w:spacing w:line="288" w:lineRule="auto" w:before="0" w:after="0"/>
        <w:ind w:firstLine="480"/>
        <w:jc w:val="both"/>
      </w:pPr>
      <w:r>
        <w:rPr>
          <w:rFonts w:ascii="Times New Roman" w:hAnsi="Times New Roman" w:eastAsia="宋体"/>
          <w:b w:val="0"/>
          <w:sz w:val="24"/>
        </w:rPr>
        <w:t>综合 HTTP 取证可视化和 WebSocket 研究可知，本课题的前端不宜只做静态表格。更合理的方案是采用“事件流+统计面板+请求详情+规则配置”的组合：事件流用于展示实时请求，统计面板用于呈现上传下载速率、状态码分布和并发连接数，请求详情用于查看 Header、Body 摘要和耗时信息，规则配置用于添加阻断、延迟、修改请求头或转发至上游代理等策略。这样才能把代理系统的底层能力转化为可操作的管理界面。</w:t>
      </w:r>
    </w:p>
    <w:p>
      <w:pPr>
        <w:spacing w:line="288" w:lineRule="auto" w:before="0" w:after="0"/>
        <w:jc w:val="left"/>
      </w:pPr>
      <w:r>
        <w:rPr>
          <w:rFonts w:ascii="Times New Roman" w:hAnsi="Times New Roman" w:eastAsia="黑体"/>
          <w:b w:val="0"/>
          <w:sz w:val="30"/>
        </w:rPr>
        <w:t>2.4 网络协议与加密流量识别研究</w:t>
      </w:r>
    </w:p>
    <w:p>
      <w:pPr>
        <w:spacing w:line="288" w:lineRule="auto" w:before="0" w:after="0"/>
        <w:ind w:firstLine="480"/>
        <w:jc w:val="both"/>
      </w:pPr>
      <w:r>
        <w:rPr>
          <w:rFonts w:ascii="Times New Roman" w:hAnsi="Times New Roman" w:eastAsia="宋体"/>
          <w:b w:val="0"/>
          <w:sz w:val="24"/>
        </w:rPr>
        <w:t>随着加密协议和动态端口应用增多，网络协议流量识别逐渐从端口识别和负载特征识别，转向统计特征、行为特征和机器学习方法。孟博等总结了网络协议流量识别的四类主要方法：基于行为、基于负载随机性、基于有效负载和基于统计学特征的方法，并从在线加密流量、在线非加密流量、离线加密流量和离线非加密流量四类应用场景进行归纳[7]。这一综述为本课题提供了分类框架：对于 HTTP 明文流量，可提取有效负载和字段特征；对于 HTTPS 加密流量，则应更多利用握手信息、连接元数据和统计特征。</w:t>
      </w:r>
    </w:p>
    <w:p>
      <w:pPr>
        <w:spacing w:line="288" w:lineRule="auto" w:before="0" w:after="0"/>
        <w:ind w:firstLine="480"/>
        <w:jc w:val="both"/>
      </w:pPr>
      <w:r>
        <w:rPr>
          <w:rFonts w:ascii="Times New Roman" w:hAnsi="Times New Roman" w:eastAsia="宋体"/>
          <w:b w:val="0"/>
          <w:sz w:val="24"/>
        </w:rPr>
        <w:t>国外关于加密流量分析的研究进一步证明，即使不检查载荷，也能获得有价值的管理和安全信息。Husak 等提出基于被动 SSL/TLS 指纹的 HTTPS 客户端识别方法，利用 SSL/TLS 握手中的协议版本、密码套件列表等信息与 HTTP User-Agent 建立关联，并在实时 HTTPS 流量分类中取得较高覆盖率[9]。该研究说明 TLS 握手阶段仍包含未加密的可观察元数据，本课题可在不触碰明文内容的情况下记录 TLS 版本、SNI、证书摘要、密码套件和连接时序等信息，用于客户端类型估计、异常版本发现和安全统计。</w:t>
      </w:r>
    </w:p>
    <w:p>
      <w:pPr>
        <w:spacing w:line="288" w:lineRule="auto" w:before="0" w:after="0"/>
        <w:ind w:firstLine="480"/>
        <w:jc w:val="both"/>
      </w:pPr>
      <w:r>
        <w:rPr>
          <w:rFonts w:ascii="Times New Roman" w:hAnsi="Times New Roman" w:eastAsia="宋体"/>
          <w:b w:val="0"/>
          <w:sz w:val="24"/>
        </w:rPr>
        <w:t>Alshammari 和 Zincir-Heywood 研究了在不使用端口号、IP 地址和载荷检查的情况下识别加密流量的可能性，采用机器学习方法和包头、流统计特征识别 SSH、Skype 等加密应用，结果表明在不依赖传统端口和深度包检测的情况下仍可对加密隧道进行较高准确度识别[10]。这一成果对本课题具有方法论意义：系统若后续扩展智能分析模块，可以从包长、方向、持续时间、包间隔、上下行字节比例等低侵入特征入手，而不是默认依赖解密全部 HTTPS 内容。</w:t>
      </w:r>
    </w:p>
    <w:p>
      <w:pPr>
        <w:spacing w:line="288" w:lineRule="auto" w:before="0" w:after="0"/>
        <w:ind w:firstLine="480"/>
        <w:jc w:val="both"/>
      </w:pPr>
      <w:r>
        <w:rPr>
          <w:rFonts w:ascii="Times New Roman" w:hAnsi="Times New Roman" w:eastAsia="宋体"/>
          <w:b w:val="0"/>
          <w:sz w:val="24"/>
        </w:rPr>
        <w:t>移动应用加密流量识别研究进一步说明，加密并不等于完全不可分析。Taylor 等提出通过加密网络流量分析识别智能手机应用，利用包大小、方向等侧信道特征和机器学习方法，对热门应用进行指纹化识别，并讨论了跨时间、跨设备和跨版本的稳健性问题[11]。该研究对本课题的启示是，流量特征会随应用版本、设备环境和时间变化而漂移，系统在进行规则判断或模型分析时应保留可更新、可回放、可重新训练的数据结构，避免把一次训练得到的特征视为永久有效。</w:t>
      </w:r>
    </w:p>
    <w:p>
      <w:pPr>
        <w:spacing w:line="288" w:lineRule="auto" w:before="0" w:after="0"/>
        <w:jc w:val="left"/>
      </w:pPr>
      <w:r>
        <w:rPr>
          <w:rFonts w:ascii="Times New Roman" w:hAnsi="Times New Roman" w:eastAsia="黑体"/>
          <w:b w:val="0"/>
          <w:sz w:val="30"/>
        </w:rPr>
        <w:t>2.5 对本课题系统设计的启示</w:t>
      </w:r>
    </w:p>
    <w:p>
      <w:pPr>
        <w:spacing w:line="288" w:lineRule="auto" w:before="0" w:after="0"/>
        <w:ind w:firstLine="480"/>
        <w:jc w:val="both"/>
      </w:pPr>
      <w:r>
        <w:rPr>
          <w:rFonts w:ascii="Times New Roman" w:hAnsi="Times New Roman" w:eastAsia="宋体"/>
          <w:b w:val="0"/>
          <w:sz w:val="24"/>
        </w:rPr>
        <w:t>从上述文献可以归纳出本课题的核心设计原则。第一，代理核心应以稳定转发为前提，支持 HTTP 请求解析、HTTPS CONNECT 隧道、上游代理转发和规则链处理。第二，HTTPS 处理必须区分透明隧道与授权 MITM 两种模式，既要满足调试和审计需求，也要避免破坏合法加密通信的基本安全属性。第三，日志系统需要结构化设计，至少保存请求元数据、连接元数据、规则命中结果和异常事件，便于后续检索、统计和回放。</w:t>
      </w:r>
    </w:p>
    <w:p>
      <w:pPr>
        <w:spacing w:line="288" w:lineRule="auto" w:before="0" w:after="0"/>
        <w:ind w:firstLine="480"/>
        <w:jc w:val="both"/>
      </w:pPr>
      <w:r>
        <w:rPr>
          <w:rFonts w:ascii="Times New Roman" w:hAnsi="Times New Roman" w:eastAsia="宋体"/>
          <w:b w:val="0"/>
          <w:sz w:val="24"/>
        </w:rPr>
        <w:t>第四，可视化界面应面向网络管理者的真实工作流，而不是简单堆叠日志。借鉴 HTTP 异常取证研究中的事件聚合和突出显示思想，界面应支持按主机、域名、状态码、规则、耗时和时间范围过滤；借鉴 WebSocket 系统设计，应实现实时推送，使前端能够即时呈现连接变化和流量曲线。第五，系统可预留加密流量特征分析接口，在不解密载荷的情况下记录 TLS 握手和流统计特征，为异常检测、客户端识别和安全告警提供数据基础。</w:t>
      </w:r>
    </w:p>
    <w:p>
      <w:pPr>
        <w:spacing w:line="288" w:lineRule="auto" w:before="0" w:after="0"/>
        <w:ind w:firstLine="480"/>
        <w:jc w:val="both"/>
      </w:pPr>
      <w:r>
        <w:rPr>
          <w:rFonts w:ascii="Times New Roman" w:hAnsi="Times New Roman" w:eastAsia="宋体"/>
          <w:b w:val="0"/>
          <w:sz w:val="24"/>
        </w:rPr>
        <w:t>因此，本课题的技术路线可以概括为：以 Go 语言代理核心承担高并发连接处理，以过滤器链承载日志、安全防护、流量控制和数据修改等策略，以数据库保存结构化元数据，以 RESTful API 提供规则管理，以 WebSocket 将实时事件推送给前端。该路线既继承了代理服务器和校园网络管理研究的工程经验，又吸收了 SSL/TLS、HTTP 取证、WebSocket 和加密流量识别文献中的现代网络安全思路。</w:t>
      </w:r>
    </w:p>
    <w:p>
      <w:pPr>
        <w:spacing w:line="288" w:lineRule="auto" w:before="0" w:after="0"/>
        <w:jc w:val="left"/>
      </w:pPr>
      <w:r>
        <w:rPr>
          <w:rFonts w:ascii="Times New Roman" w:hAnsi="Times New Roman" w:eastAsia="黑体"/>
          <w:b w:val="0"/>
          <w:sz w:val="32"/>
        </w:rPr>
        <w:t>三、总结</w:t>
      </w:r>
    </w:p>
    <w:p>
      <w:pPr>
        <w:spacing w:line="288" w:lineRule="auto" w:before="0" w:after="0"/>
        <w:ind w:firstLine="480"/>
        <w:jc w:val="both"/>
      </w:pPr>
      <w:r>
        <w:rPr>
          <w:rFonts w:ascii="Times New Roman" w:hAnsi="Times New Roman" w:eastAsia="宋体"/>
          <w:b w:val="0"/>
          <w:sz w:val="24"/>
        </w:rPr>
        <w:t>总体来看，国内早期文献主要围绕代理服务器配置、校园网管理、SSL 应用实验、VPN 实现、HTTP 隧道和 HTTP 异常取证展开，强调网络连通、访问控制、安全通信和可视化取证；近年及国外研究则更关注加密流量环境下的协议识别、TLS 指纹、机器学习分类和移动应用识别。这些研究共同说明，网络流量检测管理系统必须同时具备工程可用性、安全边界意识和数据分析能力。</w:t>
      </w:r>
    </w:p>
    <w:p>
      <w:pPr>
        <w:spacing w:line="288" w:lineRule="auto" w:before="0" w:after="0"/>
        <w:ind w:firstLine="480"/>
        <w:jc w:val="both"/>
      </w:pPr>
      <w:r>
        <w:rPr>
          <w:rFonts w:ascii="Times New Roman" w:hAnsi="Times New Roman" w:eastAsia="宋体"/>
          <w:b w:val="0"/>
          <w:sz w:val="24"/>
        </w:rPr>
        <w:t>现有研究也存在一定不足。传统代理和计费系统对 HTTPS、WebSocket、移动终端和实时可视化支持不足；SSL/TLS 和 VPN 研究偏重安全通信或实验验证，对代理管理系统中的规则配置、前端交互和日志审计覆盖不够；加密流量识别研究虽然证明了统计特征和机器学习方法的有效性，但模型泛化、数据漂移、隐私合规和工程落地仍需谨慎处理。</w:t>
      </w:r>
    </w:p>
    <w:p>
      <w:pPr>
        <w:spacing w:line="288" w:lineRule="auto" w:before="0" w:after="0"/>
        <w:ind w:firstLine="480"/>
        <w:jc w:val="both"/>
      </w:pPr>
      <w:r>
        <w:rPr>
          <w:rFonts w:ascii="Times New Roman" w:hAnsi="Times New Roman" w:eastAsia="宋体"/>
          <w:b w:val="0"/>
          <w:sz w:val="24"/>
        </w:rPr>
        <w:t>面向本课题，后续设计应在三个方向上深化：一是完善 HTTP/HTTPS 代理核心，保证高并发条件下的稳定转发和清晰错误处理；二是构建结构化日志、规则链和实时可视化界面，使系统具备可配置、可追溯、可审计能力；三是在合法授权前提下探索 TLS 元数据和流统计特征分析，为异常检测和安全管理提供扩展空间。这样形成的网络流量检测管理系统，既有明确的工程实现路径，也能与已有文献中的真实研究成果保持一致。</w:t>
      </w:r>
    </w:p>
    <w:p>
      <w:pPr>
        <w:spacing w:line="288" w:lineRule="auto" w:before="0" w:after="0"/>
        <w:jc w:val="left"/>
      </w:pPr>
      <w:r>
        <w:rPr>
          <w:rFonts w:ascii="Times New Roman" w:hAnsi="Times New Roman" w:eastAsia="黑体"/>
          <w:b w:val="0"/>
          <w:sz w:val="32"/>
        </w:rPr>
        <w:t>四、参考文献</w:t>
      </w:r>
    </w:p>
    <w:p>
      <w:pPr>
        <w:spacing w:line="360" w:lineRule="auto" w:before="0" w:after="0"/>
        <w:jc w:val="left"/>
      </w:pPr>
      <w:r>
        <w:rPr>
          <w:rFonts w:ascii="Times New Roman" w:hAnsi="Times New Roman" w:eastAsia="宋体"/>
          <w:b w:val="0"/>
          <w:sz w:val="24"/>
        </w:rPr>
        <w:t>[1] 康金翠, 代春敏. 用Winroute配置机房代理服务器初探[J]. 石家庄师范专科学校学报, 2004(03): 41-44.</w:t>
      </w:r>
    </w:p>
    <w:p>
      <w:pPr>
        <w:spacing w:line="360" w:lineRule="auto" w:before="0" w:after="0"/>
        <w:jc w:val="left"/>
      </w:pPr>
      <w:r>
        <w:rPr>
          <w:rFonts w:ascii="Times New Roman" w:hAnsi="Times New Roman" w:eastAsia="宋体"/>
          <w:b w:val="0"/>
          <w:sz w:val="24"/>
        </w:rPr>
        <w:t>[2] 沈庆伟, 张霖. 校园网计费管理系统研究[J]. 微型电脑应用, 2002(07): 19-21+2.</w:t>
      </w:r>
    </w:p>
    <w:p>
      <w:pPr>
        <w:spacing w:line="360" w:lineRule="auto" w:before="0" w:after="0"/>
        <w:jc w:val="left"/>
      </w:pPr>
      <w:r>
        <w:rPr>
          <w:rFonts w:ascii="Times New Roman" w:hAnsi="Times New Roman" w:eastAsia="宋体"/>
          <w:b w:val="0"/>
          <w:sz w:val="24"/>
        </w:rPr>
        <w:t>[3] 李长春. 基于SSL协议的Web服务安全应用实验综述报告[J]. 菏泽学院学报, 2015, 37(05): 51-55. DOI:10.16393/j.cnki.37-1436/z.2015.05.010.</w:t>
      </w:r>
    </w:p>
    <w:p>
      <w:pPr>
        <w:spacing w:line="360" w:lineRule="auto" w:before="0" w:after="0"/>
        <w:jc w:val="left"/>
      </w:pPr>
      <w:r>
        <w:rPr>
          <w:rFonts w:ascii="Times New Roman" w:hAnsi="Times New Roman" w:eastAsia="宋体"/>
          <w:b w:val="0"/>
          <w:sz w:val="24"/>
        </w:rPr>
        <w:t>[4] 李长春. 基于SSL协议的VPN系统实现及安全性研究[J]. 江汉大学学报(自然科学版), 2016, 44(01): 81-88. DOI:10.16389/j.cnki.cn42-1737/n.2016.01.016.</w:t>
      </w:r>
    </w:p>
    <w:p>
      <w:pPr>
        <w:spacing w:line="360" w:lineRule="auto" w:before="0" w:after="0"/>
        <w:jc w:val="left"/>
      </w:pPr>
      <w:r>
        <w:rPr>
          <w:rFonts w:ascii="Times New Roman" w:hAnsi="Times New Roman" w:eastAsia="宋体"/>
          <w:b w:val="0"/>
          <w:sz w:val="24"/>
        </w:rPr>
        <w:t>[5] 黄伟峰. HTTP Tunnel技术在VoIP系统中的实现[J]. 微型电脑应用, 2004(02): 43-45+55-67.</w:t>
      </w:r>
    </w:p>
    <w:p>
      <w:pPr>
        <w:spacing w:line="360" w:lineRule="auto" w:before="0" w:after="0"/>
        <w:jc w:val="left"/>
      </w:pPr>
      <w:r>
        <w:rPr>
          <w:rFonts w:ascii="Times New Roman" w:hAnsi="Times New Roman" w:eastAsia="宋体"/>
          <w:b w:val="0"/>
          <w:sz w:val="24"/>
        </w:rPr>
        <w:t>[6] 贺一峰, 如先姑力·阿布都热西提, 亚森·艾则孜. HTTP异常活动取证及可视化系统研究[J]. 微型电脑应用, 2016, 32(03): 23-26.</w:t>
      </w:r>
    </w:p>
    <w:p>
      <w:pPr>
        <w:spacing w:line="360" w:lineRule="auto" w:before="0" w:after="0"/>
        <w:jc w:val="left"/>
      </w:pPr>
      <w:r>
        <w:rPr>
          <w:rFonts w:ascii="Times New Roman" w:hAnsi="Times New Roman" w:eastAsia="宋体"/>
          <w:b w:val="0"/>
          <w:sz w:val="24"/>
        </w:rPr>
        <w:t>[7] 孟博, 何旭东, 王德军, 刘加兵. 网络协议流量识别方法研究[J]. 郑州大学学报(理学版), 2019, 51(04): 68-74. DOI:10.13705/j.issn.1671-6841.2018264.</w:t>
      </w:r>
    </w:p>
    <w:p>
      <w:pPr>
        <w:spacing w:line="360" w:lineRule="auto" w:before="0" w:after="0"/>
        <w:jc w:val="left"/>
      </w:pPr>
      <w:r>
        <w:rPr>
          <w:rFonts w:ascii="Times New Roman" w:hAnsi="Times New Roman" w:eastAsia="宋体"/>
          <w:b w:val="0"/>
          <w:sz w:val="24"/>
        </w:rPr>
        <w:t>[8] 曹思琳. 基于Websocket服务器的汽车售后服务预约系统设计[J]. 微型电脑应用, 2021, 37(06): 38-41.</w:t>
      </w:r>
    </w:p>
    <w:p>
      <w:pPr>
        <w:spacing w:line="360" w:lineRule="auto" w:before="0" w:after="0"/>
        <w:jc w:val="left"/>
      </w:pPr>
      <w:r>
        <w:rPr>
          <w:rFonts w:ascii="Times New Roman" w:hAnsi="Times New Roman" w:eastAsia="宋体"/>
          <w:b w:val="0"/>
          <w:sz w:val="24"/>
        </w:rPr>
        <w:t>[9] HUSAK M, CERMAK M, JIRSIK T, et al. HTTPS traffic analysis and client identification using passive SSL/TLS fingerprinting[J]. EURASIP Journal on Information Security, 2016, 2016(1): 6. DOI:10.1186/s13635-016-0030-7.</w:t>
      </w:r>
    </w:p>
    <w:p>
      <w:pPr>
        <w:spacing w:line="360" w:lineRule="auto" w:before="0" w:after="0"/>
        <w:jc w:val="left"/>
      </w:pPr>
      <w:r>
        <w:rPr>
          <w:rFonts w:ascii="Times New Roman" w:hAnsi="Times New Roman" w:eastAsia="宋体"/>
          <w:b w:val="0"/>
          <w:sz w:val="24"/>
        </w:rPr>
        <w:t>[10] ALSHAMMARI R, ZINCIR-HEYWOOD A N. Can encrypted traffic be identified without port numbers, IP addresses and payload inspection?[J]. Computer Networks, 2011, 55(6): 1326-1350. DOI:10.1016/j.comnet.2010.12.002.</w:t>
      </w:r>
    </w:p>
    <w:p>
      <w:pPr>
        <w:spacing w:line="360" w:lineRule="auto" w:before="0" w:after="0"/>
        <w:jc w:val="left"/>
      </w:pPr>
      <w:r>
        <w:rPr>
          <w:rFonts w:ascii="Times New Roman" w:hAnsi="Times New Roman" w:eastAsia="宋体"/>
          <w:b w:val="0"/>
          <w:sz w:val="24"/>
        </w:rPr>
        <w:t>[11] TAYLOR V F, SPOLAOR R, CONTI M, et al. Robust Smartphone App Identification via Encrypted Network Traffic Analysis[J]. IEEE Transactions on Information Forensics and Security, 2018, 13(1): 63-78. DOI:10.1109/TIFS.2017.2737970.</w:t>
      </w:r>
    </w:p>
    <w:sectPr w:rsidR="00000000">
      <w:pgSz w:w="11906" w:h="16838"/>
      <w:pgMar w:top="1418" w:right="1418" w:bottom="1418" w:left="1701"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zqm" w:date="2025-12-31T18:05:00Z" w:initials="admin">
    <w:p w14:paraId="7B4EE5E4" w14:textId="77777777" w:rsidR="00241A63" w:rsidRDefault="00241A63">
      <w:pPr>
        <w:pStyle w:val="a3"/>
      </w:pPr>
      <w:r>
        <w:rPr>
          <w:rFonts w:hint="eastAsia"/>
        </w:rPr>
        <w:t>注意若是两行，请居中并对齐下划线</w:t>
      </w:r>
    </w:p>
    <w:p w14:paraId="1CD64BA0" w14:textId="77777777" w:rsidR="00241A63" w:rsidRDefault="00241A63">
      <w:pPr>
        <w:pStyle w:val="a3"/>
      </w:pPr>
      <w:r>
        <w:rPr>
          <w:rFonts w:hint="eastAsia"/>
        </w:rPr>
        <w:t>若是一行，请删除第二行的下划线</w:t>
      </w:r>
    </w:p>
  </w:comment>
  <w:comment w:id="1" w:author="zqm" w:date="2026-01-09T11:27:00Z" w:initials="admin">
    <w:p w14:paraId="641FECE6" w14:textId="77777777" w:rsidR="00241A63" w:rsidRDefault="00241A63">
      <w:pPr>
        <w:pStyle w:val="a3"/>
        <w:rPr>
          <w:rFonts w:hint="eastAsia"/>
        </w:rPr>
      </w:pPr>
      <w:r>
        <w:rPr>
          <w:rFonts w:hint="eastAsia"/>
        </w:rPr>
        <w:t>注意实际班级</w:t>
      </w:r>
    </w:p>
    <w:p w14:paraId="37D0211A" w14:textId="77777777" w:rsidR="00241A63" w:rsidRDefault="00241A63">
      <w:pPr>
        <w:pStyle w:val="a3"/>
      </w:pPr>
      <w:r>
        <w:rPr>
          <w:rFonts w:hint="eastAsia"/>
        </w:rPr>
        <w:t>以下</w:t>
      </w:r>
      <w:r>
        <w:rPr>
          <w:rFonts w:hint="eastAsia"/>
        </w:rPr>
        <w:t>XX</w:t>
      </w:r>
      <w:r>
        <w:rPr>
          <w:rFonts w:hint="eastAsia"/>
        </w:rPr>
        <w:t>均需按实际情况填写</w:t>
      </w:r>
    </w:p>
  </w:comment>
  <w:comment w:id="2" w:author="zqm" w:date="2026-01-04T13:59:00Z" w:initials="admin">
    <w:p w14:paraId="4692AB5A" w14:textId="77777777" w:rsidR="00241A63" w:rsidRDefault="00241A63">
      <w:pPr>
        <w:pStyle w:val="a3"/>
        <w:rPr>
          <w:rFonts w:hint="eastAsia"/>
        </w:rPr>
      </w:pPr>
      <w:r>
        <w:rPr>
          <w:rFonts w:hint="eastAsia"/>
        </w:rPr>
        <w:t>此页不要做任何改动</w:t>
      </w:r>
    </w:p>
    <w:p w14:paraId="03C46B6C" w14:textId="77777777" w:rsidR="00241A63" w:rsidRDefault="00241A63">
      <w:pPr>
        <w:pStyle w:val="a3"/>
      </w:pPr>
      <w:r>
        <w:rPr>
          <w:rFonts w:hint="eastAsia"/>
        </w:rPr>
        <w:t>打印时删除红色字部分</w:t>
      </w:r>
    </w:p>
  </w:comment>
  <w:comment w:id="3" w:author="平 哥" w:date="2022-12-24T08:59:00Z" w:initials="平">
    <w:p w14:paraId="2159CBE7" w14:textId="77777777" w:rsidR="00241A63" w:rsidRDefault="00241A63">
      <w:pPr>
        <w:pStyle w:val="a3"/>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alt="Image" style="width:249pt;height:76.8pt;mso-wrap-style:square;mso-position-horizontal-relative:page;mso-position-vertical-relative:page">
            <v:imagedata r:id="rId1" o:title="Image"/>
          </v:shape>
        </w:pict>
      </w:r>
    </w:p>
  </w:comment>
  <w:comment w:id="4" w:author="Windows 用户" w:date="2022-01-12T00:18:00Z" w:initials="W用">
    <w:p w14:paraId="0CF02334" w14:textId="77777777" w:rsidR="00241A63" w:rsidRDefault="00241A63">
      <w:pPr>
        <w:pStyle w:val="a3"/>
        <w:rPr>
          <w:rFonts w:hint="eastAsia"/>
        </w:rPr>
      </w:pPr>
      <w:r>
        <w:t>此处为毕业设计论文题目</w:t>
      </w:r>
    </w:p>
    <w:p w14:paraId="738343E6" w14:textId="77777777" w:rsidR="00241A63" w:rsidRDefault="00241A63">
      <w:pPr>
        <w:pStyle w:val="a3"/>
      </w:pPr>
      <w:r>
        <w:t>宋体</w:t>
      </w:r>
      <w:r>
        <w:rPr>
          <w:rFonts w:hint="eastAsia"/>
        </w:rPr>
        <w:t>，</w:t>
      </w:r>
      <w:r>
        <w:rPr>
          <w:rFonts w:hint="eastAsia"/>
        </w:rPr>
        <w:t>2</w:t>
      </w:r>
      <w:r>
        <w:t>号</w:t>
      </w:r>
      <w:r>
        <w:rPr>
          <w:rFonts w:hint="eastAsia"/>
        </w:rPr>
        <w:t>，</w:t>
      </w:r>
      <w:r>
        <w:t>加粗</w:t>
      </w:r>
    </w:p>
  </w:comment>
  <w:comment w:id="5" w:author="Windows 用户" w:date="2022-01-12T00:04:00Z" w:initials="W用">
    <w:p w14:paraId="0DD0CFBC" w14:textId="77777777" w:rsidR="00241A63" w:rsidRDefault="00241A63">
      <w:pPr>
        <w:pStyle w:val="a3"/>
      </w:pPr>
      <w:r>
        <w:t>此处保留不动</w:t>
      </w:r>
    </w:p>
  </w:comment>
  <w:comment w:id="6" w:author="Windows 用户" w:date="2022-01-12T00:06:00Z" w:initials="W用">
    <w:p w14:paraId="1EBE1878" w14:textId="77777777" w:rsidR="00241A63" w:rsidRDefault="00241A63">
      <w:pPr>
        <w:pStyle w:val="a3"/>
      </w:pPr>
      <w:r>
        <w:rPr>
          <w:rFonts w:hint="eastAsia"/>
        </w:rPr>
        <w:t>一级标题：</w:t>
      </w:r>
      <w:r>
        <w:rPr>
          <w:rFonts w:hint="eastAsia"/>
        </w:rPr>
        <w:t>3</w:t>
      </w:r>
      <w:r>
        <w:rPr>
          <w:rFonts w:hint="eastAsia"/>
        </w:rPr>
        <w:t>号，</w:t>
      </w:r>
      <w:r>
        <w:t>黑体</w:t>
      </w:r>
    </w:p>
  </w:comment>
  <w:comment w:id="7" w:author="Windows 用户" w:date="2022-01-12T00:06:00Z" w:initials="W用">
    <w:p w14:paraId="7DBD7DC5" w14:textId="77777777" w:rsidR="00241A63" w:rsidRDefault="00241A63">
      <w:pPr>
        <w:pStyle w:val="a3"/>
      </w:pPr>
      <w:r>
        <w:rPr>
          <w:rFonts w:hint="eastAsia"/>
        </w:rPr>
        <w:t>二级标题：小</w:t>
      </w:r>
      <w:r>
        <w:rPr>
          <w:rFonts w:hint="eastAsia"/>
        </w:rPr>
        <w:t>3</w:t>
      </w:r>
      <w:r>
        <w:rPr>
          <w:rFonts w:hint="eastAsia"/>
        </w:rPr>
        <w:t>号黑体</w:t>
      </w:r>
    </w:p>
  </w:comment>
  <w:comment w:id="8" w:author="Windows 用户" w:date="2022-01-12T00:06:00Z" w:initials="W用">
    <w:p w14:paraId="698EE806" w14:textId="77777777" w:rsidR="00241A63" w:rsidRDefault="00241A63">
      <w:pPr>
        <w:pStyle w:val="a3"/>
      </w:pPr>
      <w:r>
        <w:rPr>
          <w:rFonts w:hint="eastAsia"/>
        </w:rPr>
        <w:t>三级标题：</w:t>
      </w:r>
      <w:r>
        <w:rPr>
          <w:rFonts w:hint="eastAsia"/>
        </w:rPr>
        <w:t>4</w:t>
      </w:r>
      <w:r>
        <w:rPr>
          <w:rFonts w:hint="eastAsia"/>
        </w:rPr>
        <w:t>号黑体</w:t>
      </w:r>
    </w:p>
  </w:comment>
  <w:comment w:id="9" w:author="Windows 用户" w:date="2022-01-12T00:07:00Z" w:initials="W用">
    <w:p w14:paraId="2A6818F4" w14:textId="77777777" w:rsidR="00241A63" w:rsidRDefault="00241A63">
      <w:pPr>
        <w:pStyle w:val="a3"/>
      </w:pPr>
      <w:r>
        <w:rPr>
          <w:rFonts w:hint="eastAsia"/>
        </w:rPr>
        <w:t>正文：</w:t>
      </w:r>
    </w:p>
    <w:p w14:paraId="76921C42" w14:textId="77777777" w:rsidR="00241A63" w:rsidRDefault="00241A63">
      <w:pPr>
        <w:pStyle w:val="a3"/>
      </w:pPr>
      <w:r>
        <w:rPr>
          <w:rFonts w:hint="eastAsia"/>
        </w:rPr>
        <w:t>小</w:t>
      </w:r>
      <w:r>
        <w:rPr>
          <w:rFonts w:hint="eastAsia"/>
        </w:rPr>
        <w:t>4</w:t>
      </w:r>
      <w:r>
        <w:rPr>
          <w:rFonts w:hint="eastAsia"/>
        </w:rPr>
        <w:t>号宋体，</w:t>
      </w:r>
      <w:r>
        <w:rPr>
          <w:rFonts w:hint="eastAsia"/>
        </w:rPr>
        <w:t>1.2</w:t>
      </w:r>
      <w:r>
        <w:rPr>
          <w:rFonts w:hint="eastAsia"/>
        </w:rPr>
        <w:t>多倍行距，首行缩进</w:t>
      </w:r>
      <w:r>
        <w:rPr>
          <w:rFonts w:hint="eastAsia"/>
        </w:rPr>
        <w:t>2</w:t>
      </w:r>
      <w:r>
        <w:rPr>
          <w:rFonts w:hint="eastAsia"/>
        </w:rPr>
        <w:t>字符，段前段后</w:t>
      </w:r>
      <w:r>
        <w:rPr>
          <w:rFonts w:hint="eastAsia"/>
        </w:rPr>
        <w:t>0</w:t>
      </w:r>
      <w:r>
        <w:rPr>
          <w:rFonts w:hint="eastAsia"/>
        </w:rPr>
        <w:t>字符</w:t>
      </w:r>
    </w:p>
    <w:p w14:paraId="5E530517" w14:textId="77777777" w:rsidR="00241A63" w:rsidRDefault="00241A63">
      <w:pPr>
        <w:pStyle w:val="a3"/>
      </w:pPr>
      <w:r>
        <w:rPr>
          <w:rFonts w:hint="eastAsia"/>
        </w:rPr>
        <w:t>数字和英文：字体：</w:t>
      </w:r>
      <w:r>
        <w:rPr>
          <w:rFonts w:hint="eastAsia"/>
        </w:rPr>
        <w:t>Times New Roman</w:t>
      </w:r>
    </w:p>
  </w:comment>
  <w:comment w:id="10" w:author="Windows 用户" w:date="2022-01-12T00:11:00Z" w:initials="W用">
    <w:p w14:paraId="31F71999" w14:textId="77777777" w:rsidR="00241A63" w:rsidRDefault="00241A63">
      <w:pPr>
        <w:pStyle w:val="a3"/>
      </w:pPr>
      <w:r>
        <w:rPr>
          <w:rFonts w:hint="eastAsia"/>
        </w:rPr>
        <w:t>引用文献以方括号数字上标表示</w:t>
      </w:r>
      <w:r>
        <w:rPr>
          <w:rFonts w:hint="eastAsia"/>
        </w:rPr>
        <w:t>[1]</w:t>
      </w:r>
    </w:p>
  </w:comment>
  <w:comment w:id="11" w:author="Windows 用户" w:date="2022-01-12T00:12:00Z" w:initials="W用">
    <w:p w14:paraId="6F9DDF0A" w14:textId="77777777" w:rsidR="00241A63" w:rsidRDefault="00241A63">
      <w:pPr>
        <w:pStyle w:val="a3"/>
      </w:pPr>
      <w:r>
        <w:rPr>
          <w:rFonts w:hint="eastAsia"/>
        </w:rPr>
        <w:t>小</w:t>
      </w:r>
      <w:r>
        <w:rPr>
          <w:rFonts w:hint="eastAsia"/>
        </w:rPr>
        <w:t>4</w:t>
      </w:r>
      <w:r>
        <w:rPr>
          <w:rFonts w:hint="eastAsia"/>
        </w:rPr>
        <w:t>号宋体，首行缩进两字</w:t>
      </w:r>
    </w:p>
  </w:comment>
  <w:comment w:id="12" w:author="Windows 用户" w:date="2022-01-12T00:16:00Z" w:initials="W用">
    <w:p w14:paraId="16828862" w14:textId="77777777" w:rsidR="00241A63" w:rsidRDefault="00241A63">
      <w:pPr>
        <w:pStyle w:val="a3"/>
        <w:rPr>
          <w:rFonts w:hint="eastAsia"/>
        </w:rPr>
      </w:pPr>
      <w:r>
        <w:rPr>
          <w:rFonts w:hint="eastAsia"/>
        </w:rPr>
        <w:t>每条参考文献顶左书写</w:t>
      </w:r>
    </w:p>
    <w:p w14:paraId="28B6D3EC" w14:textId="77777777" w:rsidR="00241A63" w:rsidRDefault="00241A63">
      <w:pPr>
        <w:pStyle w:val="a3"/>
        <w:rPr>
          <w:rFonts w:hint="eastAsia"/>
        </w:rPr>
      </w:pPr>
      <w:r>
        <w:rPr>
          <w:rFonts w:hint="eastAsia"/>
        </w:rPr>
        <w:t>中文参考文献用小四号宋体，</w:t>
      </w:r>
      <w:r>
        <w:rPr>
          <w:rFonts w:hint="eastAsia"/>
        </w:rPr>
        <w:t xml:space="preserve"> </w:t>
      </w:r>
      <w:r>
        <w:rPr>
          <w:rFonts w:hint="eastAsia"/>
        </w:rPr>
        <w:t>英文参考文献用小四号</w:t>
      </w:r>
      <w:r>
        <w:rPr>
          <w:rFonts w:hint="eastAsia"/>
        </w:rPr>
        <w:t>Times New Roman</w:t>
      </w:r>
      <w:r>
        <w:rPr>
          <w:rFonts w:hint="eastAsia"/>
        </w:rPr>
        <w:t>字体</w:t>
      </w:r>
    </w:p>
    <w:p w14:paraId="08ECC0AE" w14:textId="77777777" w:rsidR="00241A63" w:rsidRDefault="00241A63">
      <w:pPr>
        <w:pStyle w:val="a3"/>
      </w:pPr>
      <w:r>
        <w:rPr>
          <w:rFonts w:hint="eastAsia"/>
        </w:rPr>
        <w:t>1.5</w:t>
      </w:r>
      <w:r>
        <w:rPr>
          <w:rFonts w:hint="eastAsia"/>
        </w:rPr>
        <w:t>倍行距</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D64BA0" w15:done="0"/>
  <w15:commentEx w15:paraId="37D0211A" w15:done="0"/>
  <w15:commentEx w15:paraId="03C46B6C" w15:done="0"/>
  <w15:commentEx w15:paraId="2159CBE7" w15:done="0"/>
  <w15:commentEx w15:paraId="738343E6" w15:done="0"/>
  <w15:commentEx w15:paraId="0DD0CFBC" w15:done="0"/>
  <w15:commentEx w15:paraId="1EBE1878" w15:done="0"/>
  <w15:commentEx w15:paraId="7DBD7DC5" w15:done="0"/>
  <w15:commentEx w15:paraId="698EE806" w15:done="0"/>
  <w15:commentEx w15:paraId="5E530517" w15:done="0"/>
  <w15:commentEx w15:paraId="31F71999" w15:done="0"/>
  <w15:commentEx w15:paraId="6F9DDF0A" w15:done="0"/>
  <w15:commentEx w15:paraId="08ECC0A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D64BA0" w16cid:durableId="00000001"/>
  <w16cid:commentId w16cid:paraId="37D0211A" w16cid:durableId="00000002"/>
  <w16cid:commentId w16cid:paraId="03C46B6C" w16cid:durableId="00000003"/>
  <w16cid:commentId w16cid:paraId="2159CBE7" w16cid:durableId="00000004"/>
  <w16cid:commentId w16cid:paraId="738343E6" w16cid:durableId="00000005"/>
  <w16cid:commentId w16cid:paraId="0DD0CFBC" w16cid:durableId="00000006"/>
  <w16cid:commentId w16cid:paraId="1EBE1878" w16cid:durableId="00000007"/>
  <w16cid:commentId w16cid:paraId="7DBD7DC5" w16cid:durableId="00000008"/>
  <w16cid:commentId w16cid:paraId="698EE806" w16cid:durableId="00000009"/>
  <w16cid:commentId w16cid:paraId="5E530517" w16cid:durableId="0000000A"/>
  <w16cid:commentId w16cid:paraId="31F71999" w16cid:durableId="0000000B"/>
  <w16cid:commentId w16cid:paraId="6F9DDF0A" w16cid:durableId="0000000C"/>
  <w16cid:commentId w16cid:paraId="08ECC0AE" w16cid:durableId="000000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C5760" w14:textId="77777777" w:rsidR="00241A63" w:rsidRDefault="00241A63" w:rsidP="00241A63">
      <w:r>
        <w:separator/>
      </w:r>
    </w:p>
  </w:endnote>
  <w:endnote w:type="continuationSeparator" w:id="0">
    <w:p w14:paraId="2CEC236E" w14:textId="77777777" w:rsidR="00241A63" w:rsidRDefault="00241A63" w:rsidP="00241A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1" w:usb1="080E0000" w:usb2="00000010" w:usb3="00000000" w:csb0="00040000" w:csb1="00000000"/>
  </w:font>
  <w:font w:name="新宋体">
    <w:panose1 w:val="02010609030101010101"/>
    <w:charset w:val="86"/>
    <w:family w:val="modern"/>
    <w:pitch w:val="fixed"/>
    <w:sig w:usb0="0000028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0FCAEB" w14:textId="77777777" w:rsidR="00241A63" w:rsidRDefault="00241A63" w:rsidP="00241A63">
      <w:r>
        <w:separator/>
      </w:r>
    </w:p>
  </w:footnote>
  <w:footnote w:type="continuationSeparator" w:id="0">
    <w:p w14:paraId="46793D39" w14:textId="77777777" w:rsidR="00241A63" w:rsidRDefault="00241A63" w:rsidP="00241A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2E2F42"/>
    <w:multiLevelType w:val="singleLevel"/>
    <w:tmpl w:val="8E2E2F42"/>
    <w:lvl w:ilvl="0">
      <w:start w:val="3"/>
      <w:numFmt w:val="chineseCounting"/>
      <w:suff w:val="nothing"/>
      <w:lvlText w:val="%1、"/>
      <w:lvlJc w:val="left"/>
      <w:rPr>
        <w:rFonts w:hint="eastAsia"/>
      </w:rPr>
    </w:lvl>
  </w:abstractNum>
  <w:num w:numId="1" w16cid:durableId="795487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F55EF"/>
    <w:rsid w:val="0000572E"/>
    <w:rsid w:val="00015F13"/>
    <w:rsid w:val="000352B7"/>
    <w:rsid w:val="000C2A29"/>
    <w:rsid w:val="000F135F"/>
    <w:rsid w:val="001316C2"/>
    <w:rsid w:val="001608FA"/>
    <w:rsid w:val="001B423C"/>
    <w:rsid w:val="001F55EF"/>
    <w:rsid w:val="00241A63"/>
    <w:rsid w:val="002D64BE"/>
    <w:rsid w:val="00322CA4"/>
    <w:rsid w:val="003B28D7"/>
    <w:rsid w:val="003E05D1"/>
    <w:rsid w:val="00430A60"/>
    <w:rsid w:val="00446F88"/>
    <w:rsid w:val="00493128"/>
    <w:rsid w:val="004B31BB"/>
    <w:rsid w:val="005E1569"/>
    <w:rsid w:val="0063021E"/>
    <w:rsid w:val="00685D3C"/>
    <w:rsid w:val="006A38E1"/>
    <w:rsid w:val="006C5F5B"/>
    <w:rsid w:val="006D4212"/>
    <w:rsid w:val="007A0A38"/>
    <w:rsid w:val="007C5687"/>
    <w:rsid w:val="008006D2"/>
    <w:rsid w:val="008128BE"/>
    <w:rsid w:val="00812D05"/>
    <w:rsid w:val="00872465"/>
    <w:rsid w:val="00974636"/>
    <w:rsid w:val="009D1171"/>
    <w:rsid w:val="00A81BE7"/>
    <w:rsid w:val="00A9678E"/>
    <w:rsid w:val="00B92D5A"/>
    <w:rsid w:val="00BE53F1"/>
    <w:rsid w:val="00BF3A47"/>
    <w:rsid w:val="00C14438"/>
    <w:rsid w:val="00D25AA2"/>
    <w:rsid w:val="00DA1833"/>
    <w:rsid w:val="00DA2E87"/>
    <w:rsid w:val="00DA601D"/>
    <w:rsid w:val="00E86DF9"/>
    <w:rsid w:val="00EE10B8"/>
    <w:rsid w:val="00F73C8A"/>
    <w:rsid w:val="07E95C07"/>
    <w:rsid w:val="1AD60B41"/>
    <w:rsid w:val="27FB58D5"/>
    <w:rsid w:val="32DD1623"/>
    <w:rsid w:val="366B6265"/>
    <w:rsid w:val="3B3A3376"/>
    <w:rsid w:val="45A60E53"/>
    <w:rsid w:val="5F3D16F9"/>
    <w:rsid w:val="66DB4C8E"/>
    <w:rsid w:val="67130C62"/>
    <w:rsid w:val="6BBB39E3"/>
    <w:rsid w:val="6FA21BF3"/>
    <w:rsid w:val="70BA1776"/>
    <w:rsid w:val="7DB957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41A07DBE"/>
  <w15:chartTrackingRefBased/>
  <w15:docId w15:val="{DEA67AC6-C0C4-4900-84C7-16E0E1097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caption" w:semiHidden="1" w:unhideWhenUsed="1" w:qFormat="1"/>
    <w:lsdException w:name="Title" w:qFormat="1"/>
    <w:lsdException w:name="Default Paragraph Font" w:semiHidden="1" w:uiPriority="1723"/>
    <w:lsdException w:name="Body Text" w:uiPriority="1624"/>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spacing w:before="100" w:beforeAutospacing="1" w:after="100" w:afterAutospacing="1"/>
      <w:jc w:val="left"/>
      <w:outlineLvl w:val="0"/>
    </w:pPr>
    <w:rPr>
      <w:rFonts w:ascii="宋体" w:hAnsi="宋体" w:hint="eastAsia"/>
      <w:b/>
      <w:bCs/>
      <w:kern w:val="44"/>
      <w:sz w:val="48"/>
      <w:szCs w:val="48"/>
    </w:rPr>
  </w:style>
  <w:style w:type="paragraph" w:styleId="2">
    <w:name w:val="heading 2"/>
    <w:basedOn w:val="a"/>
    <w:next w:val="a"/>
    <w:qFormat/>
    <w:pPr>
      <w:spacing w:before="100" w:beforeAutospacing="1" w:after="100" w:afterAutospacing="1"/>
      <w:jc w:val="left"/>
      <w:outlineLvl w:val="1"/>
    </w:pPr>
    <w:rPr>
      <w:rFonts w:ascii="宋体" w:hAnsi="宋体" w:hint="eastAsia"/>
      <w:b/>
      <w:bCs/>
      <w:kern w:val="0"/>
      <w:sz w:val="36"/>
      <w:szCs w:val="36"/>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paragraph" w:styleId="4">
    <w:name w:val="heading 4"/>
    <w:basedOn w:val="a"/>
    <w:next w:val="a"/>
    <w:qFormat/>
    <w:pPr>
      <w:spacing w:before="100" w:beforeAutospacing="1" w:after="100" w:afterAutospacing="1"/>
      <w:jc w:val="left"/>
      <w:outlineLvl w:val="3"/>
    </w:pPr>
    <w:rPr>
      <w:rFonts w:ascii="宋体" w:hAnsi="宋体" w:hint="eastAsia"/>
      <w:b/>
      <w:bCs/>
      <w:kern w:val="0"/>
      <w:sz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character" w:customStyle="1" w:styleId="a4">
    <w:name w:val="批注文字 字符"/>
    <w:link w:val="a3"/>
    <w:rPr>
      <w:kern w:val="2"/>
      <w:sz w:val="21"/>
      <w:szCs w:val="24"/>
    </w:rPr>
  </w:style>
  <w:style w:type="paragraph" w:styleId="a5">
    <w:name w:val="Body Text"/>
    <w:basedOn w:val="a"/>
    <w:rPr>
      <w:rFonts w:ascii="宋体" w:hAnsi="宋体"/>
      <w:sz w:val="28"/>
      <w:u w:val="single"/>
    </w:rPr>
  </w:style>
  <w:style w:type="paragraph" w:styleId="a6">
    <w:name w:val="footer"/>
    <w:basedOn w:val="a"/>
    <w:pPr>
      <w:tabs>
        <w:tab w:val="center" w:pos="4153"/>
        <w:tab w:val="right" w:pos="8306"/>
      </w:tabs>
      <w:snapToGrid w:val="0"/>
      <w:jc w:val="left"/>
    </w:pPr>
    <w:rPr>
      <w:sz w:val="18"/>
      <w:szCs w:val="18"/>
    </w:rPr>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a8">
    <w:name w:val="Normal (Web)"/>
    <w:basedOn w:val="a"/>
    <w:pPr>
      <w:spacing w:before="100" w:beforeAutospacing="1" w:after="100" w:afterAutospacing="1"/>
      <w:jc w:val="left"/>
    </w:pPr>
    <w:rPr>
      <w:kern w:val="0"/>
      <w:sz w:val="24"/>
    </w:rPr>
  </w:style>
  <w:style w:type="paragraph" w:styleId="a9">
    <w:name w:val="annotation subject"/>
    <w:basedOn w:val="a3"/>
    <w:next w:val="a3"/>
    <w:link w:val="aa"/>
    <w:rPr>
      <w:b/>
      <w:bCs/>
    </w:rPr>
  </w:style>
  <w:style w:type="character" w:customStyle="1" w:styleId="aa">
    <w:name w:val="批注主题 字符"/>
    <w:link w:val="a9"/>
    <w:rPr>
      <w:b/>
      <w:bCs/>
      <w:kern w:val="2"/>
      <w:sz w:val="21"/>
      <w:szCs w:val="24"/>
    </w:rPr>
  </w:style>
  <w:style w:type="table" w:styleId="ab">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qFormat/>
    <w:rPr>
      <w:b/>
    </w:rPr>
  </w:style>
  <w:style w:type="character" w:styleId="ad">
    <w:name w:val="annotation reference"/>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268</Words>
  <Characters>1531</Characters>
  <Application>Microsoft Office Word</Application>
  <DocSecurity>4</DocSecurity>
  <PresentationFormat/>
  <Lines>12</Lines>
  <Paragraphs>3</Paragraphs>
  <Slides>0</Slides>
  <Notes>0</Notes>
  <HiddenSlides>0</HiddenSlides>
  <MMClips>0</MMClips>
  <ScaleCrop>false</ScaleCrop>
  <Manager/>
  <Company>番茄花园</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重庆科技学院学生毕业设计（论文）</dc:title>
  <dc:subject/>
  <dc:creator>番茄花园</dc:creator>
  <cp:keywords/>
  <dc:description/>
  <cp:lastModifiedBy>子谊 郭</cp:lastModifiedBy>
  <cp:revision>2</cp:revision>
  <cp:lastPrinted>2005-12-31T05:24:00Z</cp:lastPrinted>
  <dcterms:created xsi:type="dcterms:W3CDTF">2026-05-09T08:36:00Z</dcterms:created>
  <dcterms:modified xsi:type="dcterms:W3CDTF">2026-05-09T08:36:00Z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eyJoZGlkIjoiNjgwNjZlNDc1ODY2NGExMmZmZmVhNTJjZDAxYTNjNmEiLCJ1c2VySWQiOiIxNjU5NDUyOTQ3In0=</vt:lpwstr>
  </property>
  <property fmtid="{D5CDD505-2E9C-101B-9397-08002B2CF9AE}" pid="4" name="ICV">
    <vt:lpwstr>A646BA17D5A44FF2BE2EEC4DC0C5AB77_13</vt:lpwstr>
  </property>
</Properties>
</file>