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2EB37" w14:textId="77777777" w:rsidR="003A2061" w:rsidRDefault="003A2061">
      <w:pPr>
        <w:rPr>
          <w:rFonts w:eastAsia="华文行楷" w:hint="eastAsia"/>
          <w:sz w:val="48"/>
        </w:rPr>
      </w:pPr>
    </w:p>
    <w:p w14:paraId="0A169984" w14:textId="77777777" w:rsidR="003A2061" w:rsidRDefault="003A2061">
      <w:pPr>
        <w:jc w:val="center"/>
        <w:rPr>
          <w:rFonts w:ascii="楷体_GB2312" w:eastAsia="楷体_GB2312" w:hAnsi="新宋体" w:hint="eastAsia"/>
          <w:b/>
          <w:sz w:val="48"/>
        </w:rPr>
      </w:pPr>
      <w:r>
        <w:rPr>
          <w:rFonts w:ascii="楷体_GB2312" w:eastAsia="楷体_GB2312" w:hAnsi="新宋体" w:hint="eastAsia"/>
          <w:b/>
          <w:sz w:val="48"/>
        </w:rPr>
        <w:t>重庆理工大学毕业设计（论文）</w:t>
      </w:r>
    </w:p>
    <w:p w14:paraId="200C0C16" w14:textId="77777777" w:rsidR="003A2061" w:rsidRDefault="003A2061">
      <w:pPr>
        <w:rPr>
          <w:rFonts w:hint="eastAsia"/>
        </w:rPr>
      </w:pPr>
    </w:p>
    <w:p w14:paraId="09386523" w14:textId="77777777" w:rsidR="003A2061" w:rsidRDefault="003A2061">
      <w:pPr>
        <w:rPr>
          <w:rFonts w:hint="eastAsia"/>
        </w:rPr>
      </w:pPr>
    </w:p>
    <w:p w14:paraId="538CAB95" w14:textId="77777777" w:rsidR="003A2061" w:rsidRDefault="003A2061">
      <w:pPr>
        <w:jc w:val="center"/>
        <w:rPr>
          <w:rFonts w:eastAsia="黑体" w:hint="eastAsia"/>
          <w:sz w:val="72"/>
        </w:rPr>
      </w:pPr>
      <w:r>
        <w:rPr>
          <w:rFonts w:eastAsia="黑体" w:hint="eastAsia"/>
          <w:sz w:val="72"/>
        </w:rPr>
        <w:t>文</w:t>
      </w:r>
      <w:r>
        <w:rPr>
          <w:rFonts w:eastAsia="黑体" w:hint="eastAsia"/>
          <w:sz w:val="72"/>
        </w:rPr>
        <w:t xml:space="preserve">   </w:t>
      </w:r>
      <w:r>
        <w:rPr>
          <w:rFonts w:eastAsia="黑体" w:hint="eastAsia"/>
          <w:sz w:val="72"/>
        </w:rPr>
        <w:t>献</w:t>
      </w:r>
      <w:r>
        <w:rPr>
          <w:rFonts w:eastAsia="黑体" w:hint="eastAsia"/>
          <w:sz w:val="72"/>
        </w:rPr>
        <w:t xml:space="preserve">   </w:t>
      </w:r>
      <w:r>
        <w:rPr>
          <w:rFonts w:eastAsia="黑体" w:hint="eastAsia"/>
          <w:sz w:val="72"/>
        </w:rPr>
        <w:t>翻</w:t>
      </w:r>
      <w:r>
        <w:rPr>
          <w:rFonts w:eastAsia="黑体" w:hint="eastAsia"/>
          <w:sz w:val="72"/>
        </w:rPr>
        <w:t xml:space="preserve">   </w:t>
      </w:r>
      <w:r>
        <w:rPr>
          <w:rFonts w:eastAsia="黑体" w:hint="eastAsia"/>
          <w:sz w:val="72"/>
        </w:rPr>
        <w:t>译</w:t>
      </w:r>
    </w:p>
    <w:p w14:paraId="569F51FD" w14:textId="77777777" w:rsidR="003A2061" w:rsidRDefault="003A2061">
      <w:pPr>
        <w:rPr>
          <w:rFonts w:eastAsia="黑体" w:hint="eastAsia"/>
          <w:b/>
          <w:bCs/>
          <w:sz w:val="52"/>
        </w:rPr>
      </w:pPr>
    </w:p>
    <w:p w14:paraId="39192F1A" w14:textId="77777777" w:rsidR="003A2061" w:rsidRDefault="003A2061">
      <w:pPr>
        <w:rPr>
          <w:rFonts w:eastAsia="黑体" w:hint="eastAsia"/>
          <w:b/>
          <w:bCs/>
          <w:sz w:val="52"/>
        </w:rPr>
      </w:pPr>
    </w:p>
    <w:tbl>
      <w:tblPr>
        <w:tblW w:w="8371" w:type="dxa"/>
        <w:tblInd w:w="688" w:type="dxa"/>
        <w:tblBorders>
          <w:bottom w:val="single" w:sz="4" w:space="0" w:color="auto"/>
          <w:insideH w:val="single" w:sz="4" w:space="0" w:color="auto"/>
        </w:tblBorders>
        <w:tblCellMar>
          <w:top w:w="15" w:type="dxa"/>
          <w:left w:w="15" w:type="dxa"/>
          <w:bottom w:w="15" w:type="dxa"/>
          <w:right w:w="15" w:type="dxa"/>
        </w:tblCellMar>
        <w:tblLook w:val="0000" w:firstRow="0" w:lastRow="0" w:firstColumn="0" w:lastColumn="0" w:noHBand="0" w:noVBand="0"/>
      </w:tblPr>
      <w:tblGrid>
        <w:gridCol w:w="1850"/>
        <w:gridCol w:w="6521"/>
      </w:tblGrid>
      <w:tr w:rsidR="00000000" w14:paraId="46AFD954" w14:textId="77777777">
        <w:trPr>
          <w:trHeight w:val="690"/>
        </w:trPr>
        <w:tc>
          <w:tcPr>
            <w:tcW w:w="1850" w:type="dxa"/>
            <w:tcBorders>
              <w:bottom w:val="nil"/>
            </w:tcBorders>
            <w:tcMar>
              <w:top w:w="135" w:type="dxa"/>
              <w:left w:w="120" w:type="dxa"/>
              <w:bottom w:w="135" w:type="dxa"/>
              <w:right w:w="120" w:type="dxa"/>
            </w:tcMar>
            <w:vAlign w:val="bottom"/>
          </w:tcPr>
          <w:p w14:paraId="1630CA45" w14:textId="77777777" w:rsidR="003A2061" w:rsidRDefault="003A2061">
            <w:pPr>
              <w:snapToGrid w:val="0"/>
              <w:jc w:val="center"/>
              <w:rPr>
                <w:rFonts w:ascii="黑体" w:eastAsia="黑体" w:hAnsi="黑体" w:cs="黑体" w:hint="eastAsia"/>
                <w:color w:val="000000"/>
                <w:sz w:val="32"/>
              </w:rPr>
            </w:pPr>
            <w:commentRangeStart w:id="0"/>
            <w:r>
              <w:rPr>
                <w:rFonts w:ascii="黑体" w:eastAsia="黑体" w:hAnsi="黑体" w:cs="黑体" w:hint="eastAsia"/>
                <w:color w:val="000000"/>
                <w:sz w:val="32"/>
              </w:rPr>
              <w:t>毕业设计</w:t>
            </w:r>
          </w:p>
          <w:p w14:paraId="68CC7A07" w14:textId="77777777" w:rsidR="003A2061" w:rsidRDefault="003A2061">
            <w:pPr>
              <w:snapToGrid w:val="0"/>
              <w:jc w:val="center"/>
              <w:rPr>
                <w:rFonts w:ascii="黑体" w:eastAsia="黑体" w:hAnsi="黑体" w:cs="黑体" w:hint="eastAsia"/>
                <w:color w:val="000000"/>
                <w:sz w:val="32"/>
              </w:rPr>
            </w:pPr>
            <w:r>
              <w:rPr>
                <w:rFonts w:ascii="黑体" w:eastAsia="黑体" w:hAnsi="黑体" w:cs="黑体" w:hint="eastAsia"/>
                <w:color w:val="000000"/>
                <w:sz w:val="32"/>
              </w:rPr>
              <w:t>论文题目</w:t>
            </w:r>
          </w:p>
        </w:tc>
        <w:tc>
          <w:tcPr>
            <w:tcW w:w="6521" w:type="dxa"/>
            <w:tcMar>
              <w:top w:w="135" w:type="dxa"/>
              <w:left w:w="120" w:type="dxa"/>
              <w:bottom w:w="135" w:type="dxa"/>
              <w:right w:w="120" w:type="dxa"/>
            </w:tcMar>
          </w:tcPr>
          <w:p w14:paraId="07724AE5" w14:textId="77777777" w:rsidR="003A2061" w:rsidRDefault="003A2061">
            <w:pPr>
              <w:spacing w:line="240" w:lineRule="auto" w:before="0" w:after="0"/>
              <w:jc w:val="center"/>
              <w:rPr>
                <w:rFonts w:ascii="黑体" w:eastAsia="黑体" w:hAnsi="黑体" w:cs="黑体" w:hint="eastAsia"/>
                <w:color w:val="000000"/>
                <w:sz w:val="32"/>
                <w:u w:val="single"/>
              </w:rPr>
            </w:pPr>
            <w:r>
              <w:rPr>
                <w:rFonts w:ascii="Times New Roman" w:hAnsi="Times New Roman" w:eastAsia="宋体"/>
                <w:sz w:val="24"/>
              </w:rPr>
              <w:t>网络流量检测管理系统的设计与开发</w:t>
            </w:r>
          </w:p>
        </w:tc>
      </w:tr>
      <w:tr w:rsidR="00000000" w14:paraId="7BB390D8" w14:textId="77777777">
        <w:trPr>
          <w:trHeight w:val="690"/>
        </w:trPr>
        <w:tc>
          <w:tcPr>
            <w:tcW w:w="1850" w:type="dxa"/>
            <w:tcBorders>
              <w:top w:val="nil"/>
              <w:bottom w:val="nil"/>
            </w:tcBorders>
            <w:tcMar>
              <w:top w:w="135" w:type="dxa"/>
              <w:left w:w="120" w:type="dxa"/>
              <w:bottom w:w="135" w:type="dxa"/>
              <w:right w:w="120" w:type="dxa"/>
            </w:tcMar>
            <w:vAlign w:val="bottom"/>
          </w:tcPr>
          <w:p w14:paraId="633156D0" w14:textId="77777777" w:rsidR="003A2061" w:rsidRDefault="003A2061">
            <w:pPr>
              <w:snapToGrid w:val="0"/>
              <w:jc w:val="center"/>
              <w:rPr>
                <w:rFonts w:ascii="黑体" w:eastAsia="黑体" w:hAnsi="黑体" w:cs="黑体" w:hint="eastAsia"/>
                <w:color w:val="000000"/>
                <w:sz w:val="32"/>
              </w:rPr>
            </w:pPr>
            <w:r>
              <w:rPr>
                <w:rFonts w:ascii="黑体" w:eastAsia="黑体" w:hAnsi="黑体" w:cs="黑体" w:hint="eastAsia"/>
                <w:color w:val="000000"/>
                <w:sz w:val="32"/>
              </w:rPr>
              <w:t>原文标题</w:t>
            </w:r>
          </w:p>
        </w:tc>
        <w:tc>
          <w:tcPr>
            <w:tcW w:w="6521" w:type="dxa"/>
            <w:tcMar>
              <w:top w:w="135" w:type="dxa"/>
              <w:left w:w="120" w:type="dxa"/>
              <w:bottom w:w="135" w:type="dxa"/>
              <w:right w:w="120" w:type="dxa"/>
            </w:tcMar>
          </w:tcPr>
          <w:p w14:paraId="76DC4798" w14:textId="77777777" w:rsidR="003A2061" w:rsidRDefault="003A2061">
            <w:pPr>
              <w:spacing w:line="240" w:lineRule="auto" w:before="0" w:after="0"/>
              <w:jc w:val="center"/>
              <w:rPr>
                <w:rFonts w:ascii="黑体" w:eastAsia="黑体" w:hAnsi="黑体" w:cs="黑体"/>
                <w:color w:val="000000"/>
                <w:sz w:val="32"/>
                <w:u w:val="single"/>
              </w:rPr>
            </w:pPr>
            <w:r>
              <w:rPr>
                <w:rFonts w:ascii="Times New Roman" w:hAnsi="Times New Roman" w:eastAsia="宋体"/>
                <w:sz w:val="21"/>
              </w:rPr>
              <w:t>Model of Load Distribution Between Web Proxy Servers Using Network Traffic Analysis</w:t>
            </w:r>
          </w:p>
        </w:tc>
      </w:tr>
      <w:tr w:rsidR="00000000" w14:paraId="6164971A" w14:textId="77777777">
        <w:trPr>
          <w:trHeight w:val="706"/>
        </w:trPr>
        <w:tc>
          <w:tcPr>
            <w:tcW w:w="1850" w:type="dxa"/>
            <w:tcBorders>
              <w:top w:val="nil"/>
              <w:bottom w:val="nil"/>
            </w:tcBorders>
            <w:tcMar>
              <w:top w:w="135" w:type="dxa"/>
              <w:left w:w="120" w:type="dxa"/>
              <w:bottom w:w="135" w:type="dxa"/>
              <w:right w:w="120" w:type="dxa"/>
            </w:tcMar>
            <w:vAlign w:val="bottom"/>
          </w:tcPr>
          <w:p w14:paraId="32C8ADC6" w14:textId="77777777" w:rsidR="003A2061" w:rsidRDefault="003A2061">
            <w:pPr>
              <w:snapToGrid w:val="0"/>
              <w:jc w:val="center"/>
              <w:rPr>
                <w:rFonts w:ascii="黑体" w:eastAsia="黑体" w:hAnsi="黑体" w:cs="黑体"/>
                <w:color w:val="000000"/>
                <w:sz w:val="32"/>
              </w:rPr>
            </w:pPr>
            <w:r>
              <w:rPr>
                <w:rFonts w:ascii="黑体" w:eastAsia="黑体" w:hAnsi="黑体" w:cs="黑体" w:hint="eastAsia"/>
                <w:color w:val="000000"/>
                <w:sz w:val="32"/>
              </w:rPr>
              <w:t>译文标题</w:t>
            </w:r>
          </w:p>
        </w:tc>
        <w:tc>
          <w:tcPr>
            <w:tcW w:w="6521" w:type="dxa"/>
            <w:tcMar>
              <w:top w:w="135" w:type="dxa"/>
              <w:left w:w="120" w:type="dxa"/>
              <w:bottom w:w="135" w:type="dxa"/>
              <w:right w:w="120" w:type="dxa"/>
            </w:tcMar>
          </w:tcPr>
          <w:p w14:paraId="57BF4FC8" w14:textId="77777777" w:rsidR="003A2061" w:rsidRDefault="003A2061">
            <w:pPr>
              <w:spacing w:line="240" w:lineRule="auto" w:before="0" w:after="0"/>
              <w:jc w:val="center"/>
              <w:rPr>
                <w:rFonts w:ascii="黑体" w:eastAsia="黑体" w:hAnsi="黑体" w:cs="黑体"/>
                <w:color w:val="000000"/>
                <w:sz w:val="32"/>
                <w:u w:val="single"/>
              </w:rPr>
            </w:pPr>
            <w:r>
              <w:rPr>
                <w:rFonts w:ascii="Times New Roman" w:hAnsi="Times New Roman" w:eastAsia="宋体"/>
                <w:sz w:val="24"/>
              </w:rPr>
              <w:t>基于网络流量分析的 Web 代理服务器负载分配模型</w:t>
            </w:r>
          </w:p>
        </w:tc>
      </w:tr>
      <w:tr w:rsidR="00000000" w14:paraId="4829AEBB" w14:textId="77777777">
        <w:trPr>
          <w:trHeight w:val="698"/>
        </w:trPr>
        <w:tc>
          <w:tcPr>
            <w:tcW w:w="1850" w:type="dxa"/>
            <w:tcBorders>
              <w:top w:val="nil"/>
              <w:bottom w:val="nil"/>
            </w:tcBorders>
            <w:tcMar>
              <w:top w:w="135" w:type="dxa"/>
              <w:left w:w="120" w:type="dxa"/>
              <w:bottom w:w="135" w:type="dxa"/>
              <w:right w:w="120" w:type="dxa"/>
            </w:tcMar>
            <w:vAlign w:val="bottom"/>
          </w:tcPr>
          <w:p w14:paraId="6B05AC6A" w14:textId="77777777" w:rsidR="003A2061" w:rsidRDefault="003A2061">
            <w:pPr>
              <w:snapToGrid w:val="0"/>
              <w:jc w:val="center"/>
              <w:rPr>
                <w:rFonts w:ascii="黑体" w:eastAsia="黑体" w:hAnsi="黑体" w:cs="黑体" w:hint="eastAsia"/>
                <w:color w:val="000000"/>
                <w:sz w:val="32"/>
              </w:rPr>
            </w:pPr>
            <w:r>
              <w:rPr>
                <w:rFonts w:ascii="黑体" w:eastAsia="黑体" w:hAnsi="黑体" w:cs="黑体" w:hint="eastAsia"/>
                <w:color w:val="000000"/>
                <w:sz w:val="32"/>
              </w:rPr>
              <w:t>原文出处</w:t>
            </w:r>
          </w:p>
        </w:tc>
        <w:tc>
          <w:tcPr>
            <w:tcW w:w="6521" w:type="dxa"/>
            <w:tcMar>
              <w:top w:w="135" w:type="dxa"/>
              <w:left w:w="120" w:type="dxa"/>
              <w:bottom w:w="135" w:type="dxa"/>
              <w:right w:w="120" w:type="dxa"/>
            </w:tcMar>
          </w:tcPr>
          <w:p w14:paraId="53B454E5" w14:textId="77777777" w:rsidR="003A2061" w:rsidRDefault="003A2061">
            <w:pPr>
              <w:spacing w:line="240" w:lineRule="auto" w:before="0" w:after="0"/>
              <w:jc w:val="center"/>
              <w:rPr>
                <w:rFonts w:ascii="黑体" w:eastAsia="黑体" w:hAnsi="黑体" w:cs="黑体"/>
                <w:color w:val="000000"/>
                <w:sz w:val="32"/>
                <w:u w:val="single"/>
              </w:rPr>
            </w:pPr>
            <w:r>
              <w:rPr>
                <w:rFonts w:ascii="Times New Roman" w:hAnsi="Times New Roman" w:eastAsia="宋体"/>
                <w:sz w:val="21"/>
              </w:rPr>
              <w:t>SN Computer Science, 2020, 1:103. DOI:10.1007/s42979-020-0108-7</w:t>
            </w:r>
          </w:p>
        </w:tc>
      </w:tr>
    </w:tbl>
    <w:p w14:paraId="02211819" w14:textId="77777777" w:rsidR="003A2061" w:rsidRDefault="003A2061">
      <w:pPr>
        <w:spacing w:line="720" w:lineRule="auto"/>
        <w:ind w:firstLineChars="850" w:firstLine="2720"/>
        <w:rPr>
          <w:rFonts w:hint="eastAsia"/>
          <w:color w:val="FF0000"/>
          <w:sz w:val="32"/>
        </w:rPr>
      </w:pPr>
    </w:p>
    <w:p w14:paraId="4AA63A98" w14:textId="77777777" w:rsidR="003A2061" w:rsidRDefault="003A2061">
      <w:pPr>
        <w:tabs>
          <w:tab w:val="left" w:pos="2196"/>
        </w:tabs>
        <w:rPr>
          <w:rFonts w:hint="eastAsia"/>
          <w:sz w:val="32"/>
        </w:rPr>
      </w:pPr>
    </w:p>
    <w:tbl>
      <w:tblPr>
        <w:tblW w:w="0" w:type="auto"/>
        <w:tblInd w:w="816" w:type="dxa"/>
        <w:tblLook w:val="0000" w:firstRow="0" w:lastRow="0" w:firstColumn="0" w:lastColumn="0" w:noHBand="0" w:noVBand="0"/>
      </w:tblPr>
      <w:tblGrid>
        <w:gridCol w:w="1681"/>
        <w:gridCol w:w="2557"/>
        <w:gridCol w:w="1523"/>
        <w:gridCol w:w="2426"/>
      </w:tblGrid>
      <w:tr w:rsidR="00000000" w14:paraId="29C64C15" w14:textId="77777777">
        <w:tc>
          <w:tcPr>
            <w:tcW w:w="1770" w:type="dxa"/>
            <w:tcBorders>
              <w:top w:val="single" w:sz="4" w:space="0" w:color="auto"/>
              <w:left w:val="single" w:sz="4" w:space="0" w:color="auto"/>
              <w:bottom w:val="single" w:sz="4" w:space="0" w:color="auto"/>
              <w:right w:val="single" w:sz="4" w:space="0" w:color="auto"/>
            </w:tcBorders>
          </w:tcPr>
          <w:p w14:paraId="6622A5F2" w14:textId="77777777" w:rsidR="003A2061" w:rsidRDefault="003A2061">
            <w:pPr>
              <w:rPr>
                <w:rFonts w:ascii="仿宋" w:eastAsia="仿宋" w:hAnsi="仿宋" w:cs="仿宋" w:hint="eastAsia"/>
                <w:sz w:val="32"/>
              </w:rPr>
            </w:pPr>
            <w:r>
              <w:rPr>
                <w:rFonts w:ascii="仿宋" w:eastAsia="仿宋" w:hAnsi="仿宋" w:cs="仿宋" w:hint="eastAsia"/>
                <w:sz w:val="32"/>
              </w:rPr>
              <w:t>学</w:t>
            </w:r>
            <w:r>
              <w:rPr>
                <w:rFonts w:ascii="仿宋" w:eastAsia="仿宋" w:hAnsi="仿宋" w:cs="仿宋" w:hint="eastAsia"/>
                <w:sz w:val="32"/>
              </w:rPr>
              <w:t xml:space="preserve">    </w:t>
            </w:r>
            <w:r>
              <w:rPr>
                <w:rFonts w:ascii="仿宋" w:eastAsia="仿宋" w:hAnsi="仿宋" w:cs="仿宋" w:hint="eastAsia"/>
                <w:sz w:val="32"/>
              </w:rPr>
              <w:t>院</w:t>
            </w:r>
          </w:p>
        </w:tc>
        <w:tc>
          <w:tcPr>
            <w:tcW w:w="6418" w:type="dxa"/>
            <w:gridSpan w:val="3"/>
            <w:tcBorders>
              <w:top w:val="single" w:sz="4" w:space="0" w:color="auto"/>
              <w:left w:val="single" w:sz="4" w:space="0" w:color="auto"/>
              <w:bottom w:val="single" w:sz="4" w:space="0" w:color="auto"/>
              <w:right w:val="single" w:sz="4" w:space="0" w:color="auto"/>
            </w:tcBorders>
          </w:tcPr>
          <w:p w14:paraId="5A4525C1" w14:textId="77777777" w:rsidR="003A2061" w:rsidRDefault="003A2061">
            <w:pPr>
              <w:spacing w:line="240" w:lineRule="auto" w:before="0" w:after="0"/>
              <w:jc w:val="center"/>
              <w:rPr>
                <w:rFonts w:ascii="仿宋" w:eastAsia="仿宋" w:hAnsi="仿宋" w:cs="仿宋" w:hint="eastAsia"/>
                <w:sz w:val="32"/>
              </w:rPr>
            </w:pPr>
            <w:r>
              <w:rPr>
                <w:rFonts w:ascii="Times New Roman" w:hAnsi="Times New Roman" w:eastAsia="宋体"/>
                <w:sz w:val="24"/>
              </w:rPr>
              <w:t>计算机科学与工程学院</w:t>
            </w:r>
          </w:p>
        </w:tc>
      </w:tr>
      <w:tr w:rsidR="00000000" w14:paraId="28B5B883" w14:textId="77777777">
        <w:tc>
          <w:tcPr>
            <w:tcW w:w="1770" w:type="dxa"/>
            <w:tcBorders>
              <w:top w:val="single" w:sz="4" w:space="0" w:color="auto"/>
              <w:left w:val="single" w:sz="4" w:space="0" w:color="auto"/>
              <w:bottom w:val="single" w:sz="4" w:space="0" w:color="auto"/>
              <w:right w:val="single" w:sz="4" w:space="0" w:color="auto"/>
            </w:tcBorders>
          </w:tcPr>
          <w:p w14:paraId="37619BD8" w14:textId="77777777" w:rsidR="003A2061" w:rsidRDefault="003A2061">
            <w:pPr>
              <w:rPr>
                <w:rFonts w:ascii="仿宋" w:eastAsia="仿宋" w:hAnsi="仿宋" w:cs="仿宋" w:hint="eastAsia"/>
                <w:sz w:val="32"/>
              </w:rPr>
            </w:pPr>
            <w:r>
              <w:rPr>
                <w:rFonts w:ascii="仿宋" w:eastAsia="仿宋" w:hAnsi="仿宋" w:cs="仿宋" w:hint="eastAsia"/>
                <w:sz w:val="32"/>
              </w:rPr>
              <w:t>专</w:t>
            </w:r>
            <w:r>
              <w:rPr>
                <w:rFonts w:ascii="仿宋" w:eastAsia="仿宋" w:hAnsi="仿宋" w:cs="仿宋" w:hint="eastAsia"/>
                <w:sz w:val="32"/>
              </w:rPr>
              <w:t xml:space="preserve">    </w:t>
            </w:r>
            <w:r>
              <w:rPr>
                <w:rFonts w:ascii="仿宋" w:eastAsia="仿宋" w:hAnsi="仿宋" w:cs="仿宋" w:hint="eastAsia"/>
                <w:sz w:val="32"/>
              </w:rPr>
              <w:t>业</w:t>
            </w:r>
          </w:p>
        </w:tc>
        <w:tc>
          <w:tcPr>
            <w:tcW w:w="2716" w:type="dxa"/>
            <w:tcBorders>
              <w:top w:val="single" w:sz="4" w:space="0" w:color="auto"/>
              <w:left w:val="single" w:sz="4" w:space="0" w:color="auto"/>
              <w:bottom w:val="single" w:sz="4" w:space="0" w:color="auto"/>
              <w:right w:val="single" w:sz="4" w:space="0" w:color="auto"/>
            </w:tcBorders>
          </w:tcPr>
          <w:p w14:paraId="36A47B9F" w14:textId="77777777" w:rsidR="003A2061" w:rsidRDefault="003A2061">
            <w:pPr>
              <w:spacing w:line="240" w:lineRule="auto" w:before="0" w:after="0"/>
              <w:jc w:val="center"/>
              <w:rPr>
                <w:rFonts w:ascii="仿宋" w:eastAsia="仿宋" w:hAnsi="仿宋" w:cs="仿宋" w:hint="eastAsia"/>
                <w:sz w:val="32"/>
              </w:rPr>
            </w:pPr>
            <w:r>
              <w:rPr>
                <w:rFonts w:ascii="Times New Roman" w:hAnsi="Times New Roman" w:eastAsia="宋体"/>
                <w:sz w:val="24"/>
              </w:rPr>
              <w:t>计算机科学与技术</w:t>
            </w:r>
          </w:p>
        </w:tc>
        <w:tc>
          <w:tcPr>
            <w:tcW w:w="1600" w:type="dxa"/>
            <w:tcBorders>
              <w:top w:val="single" w:sz="4" w:space="0" w:color="auto"/>
              <w:left w:val="single" w:sz="4" w:space="0" w:color="auto"/>
              <w:bottom w:val="single" w:sz="4" w:space="0" w:color="auto"/>
              <w:right w:val="single" w:sz="4" w:space="0" w:color="auto"/>
            </w:tcBorders>
          </w:tcPr>
          <w:p w14:paraId="5F27478B" w14:textId="77777777" w:rsidR="003A2061" w:rsidRDefault="003A2061">
            <w:pPr>
              <w:rPr>
                <w:rFonts w:ascii="仿宋" w:eastAsia="仿宋" w:hAnsi="仿宋" w:cs="仿宋" w:hint="eastAsia"/>
                <w:sz w:val="32"/>
              </w:rPr>
            </w:pPr>
            <w:r>
              <w:rPr>
                <w:rFonts w:ascii="仿宋" w:eastAsia="仿宋" w:hAnsi="仿宋" w:cs="仿宋" w:hint="eastAsia"/>
                <w:sz w:val="32"/>
              </w:rPr>
              <w:t>班</w:t>
            </w:r>
            <w:r>
              <w:rPr>
                <w:rFonts w:ascii="仿宋" w:eastAsia="仿宋" w:hAnsi="仿宋" w:cs="仿宋" w:hint="eastAsia"/>
                <w:sz w:val="32"/>
              </w:rPr>
              <w:t xml:space="preserve">    </w:t>
            </w:r>
            <w:r>
              <w:rPr>
                <w:rFonts w:ascii="仿宋" w:eastAsia="仿宋" w:hAnsi="仿宋" w:cs="仿宋" w:hint="eastAsia"/>
                <w:sz w:val="32"/>
              </w:rPr>
              <w:t>级</w:t>
            </w:r>
          </w:p>
        </w:tc>
        <w:tc>
          <w:tcPr>
            <w:tcW w:w="2102" w:type="dxa"/>
            <w:tcBorders>
              <w:top w:val="single" w:sz="4" w:space="0" w:color="auto"/>
              <w:left w:val="single" w:sz="4" w:space="0" w:color="auto"/>
              <w:bottom w:val="single" w:sz="4" w:space="0" w:color="auto"/>
              <w:right w:val="single" w:sz="4" w:space="0" w:color="auto"/>
            </w:tcBorders>
          </w:tcPr>
          <w:p w14:paraId="00F095F6" w14:textId="77777777" w:rsidR="003A2061" w:rsidRDefault="003A2061">
            <w:pPr>
              <w:spacing w:line="240" w:lineRule="auto" w:before="0" w:after="0"/>
              <w:jc w:val="center"/>
              <w:rPr>
                <w:rFonts w:ascii="仿宋" w:eastAsia="仿宋" w:hAnsi="仿宋" w:cs="仿宋" w:hint="eastAsia"/>
                <w:sz w:val="32"/>
              </w:rPr>
            </w:pPr>
            <w:r>
              <w:rPr>
                <w:rFonts w:ascii="Times New Roman" w:hAnsi="Times New Roman" w:eastAsia="宋体"/>
                <w:sz w:val="24"/>
              </w:rPr>
              <w:t>122030701</w:t>
            </w:r>
          </w:p>
        </w:tc>
      </w:tr>
    </w:tbl>
    <w:p w14:paraId="5E7451A1" w14:textId="77777777" w:rsidR="003A2061" w:rsidRDefault="003A2061">
      <w:pPr>
        <w:rPr>
          <w:rFonts w:ascii="仿宋" w:eastAsia="仿宋" w:hAnsi="仿宋" w:cs="仿宋" w:hint="eastAsia"/>
          <w:sz w:val="32"/>
        </w:rPr>
      </w:pPr>
    </w:p>
    <w:tbl>
      <w:tblPr>
        <w:tblW w:w="0" w:type="auto"/>
        <w:tblInd w:w="816" w:type="dxa"/>
        <w:tblLook w:val="0000" w:firstRow="0" w:lastRow="0" w:firstColumn="0" w:lastColumn="0" w:noHBand="0" w:noVBand="0"/>
      </w:tblPr>
      <w:tblGrid>
        <w:gridCol w:w="1769"/>
        <w:gridCol w:w="2716"/>
        <w:gridCol w:w="1600"/>
        <w:gridCol w:w="2102"/>
      </w:tblGrid>
      <w:tr w:rsidR="00000000" w14:paraId="4D4D8EFF" w14:textId="77777777">
        <w:tc>
          <w:tcPr>
            <w:tcW w:w="1769" w:type="dxa"/>
            <w:tcBorders>
              <w:top w:val="single" w:sz="4" w:space="0" w:color="auto"/>
              <w:left w:val="single" w:sz="4" w:space="0" w:color="auto"/>
              <w:bottom w:val="single" w:sz="4" w:space="0" w:color="auto"/>
              <w:right w:val="single" w:sz="4" w:space="0" w:color="auto"/>
            </w:tcBorders>
          </w:tcPr>
          <w:p w14:paraId="2F6C833D" w14:textId="77777777" w:rsidR="003A2061" w:rsidRDefault="003A2061">
            <w:pPr>
              <w:rPr>
                <w:rFonts w:ascii="仿宋" w:eastAsia="仿宋" w:hAnsi="仿宋" w:cs="仿宋" w:hint="eastAsia"/>
                <w:sz w:val="32"/>
              </w:rPr>
            </w:pPr>
            <w:r>
              <w:rPr>
                <w:rFonts w:ascii="仿宋" w:eastAsia="仿宋" w:hAnsi="仿宋" w:cs="仿宋" w:hint="eastAsia"/>
                <w:sz w:val="32"/>
              </w:rPr>
              <w:t>学生姓名</w:t>
            </w:r>
          </w:p>
        </w:tc>
        <w:tc>
          <w:tcPr>
            <w:tcW w:w="2716" w:type="dxa"/>
            <w:tcBorders>
              <w:top w:val="single" w:sz="4" w:space="0" w:color="auto"/>
              <w:left w:val="single" w:sz="4" w:space="0" w:color="auto"/>
              <w:bottom w:val="single" w:sz="4" w:space="0" w:color="auto"/>
              <w:right w:val="single" w:sz="4" w:space="0" w:color="auto"/>
            </w:tcBorders>
          </w:tcPr>
          <w:p w14:paraId="70F392F9" w14:textId="77777777" w:rsidR="003A2061" w:rsidRDefault="003A2061">
            <w:pPr>
              <w:spacing w:line="240" w:lineRule="auto" w:before="0" w:after="0"/>
              <w:jc w:val="center"/>
              <w:rPr>
                <w:rFonts w:ascii="仿宋" w:eastAsia="仿宋" w:hAnsi="仿宋" w:cs="仿宋" w:hint="eastAsia"/>
                <w:sz w:val="32"/>
              </w:rPr>
            </w:pPr>
            <w:r>
              <w:rPr>
                <w:rFonts w:ascii="Times New Roman" w:hAnsi="Times New Roman" w:eastAsia="宋体"/>
                <w:sz w:val="24"/>
              </w:rPr>
              <w:t>郭子谊</w:t>
            </w:r>
          </w:p>
        </w:tc>
        <w:tc>
          <w:tcPr>
            <w:tcW w:w="1600" w:type="dxa"/>
            <w:tcBorders>
              <w:top w:val="single" w:sz="4" w:space="0" w:color="auto"/>
              <w:left w:val="single" w:sz="4" w:space="0" w:color="auto"/>
              <w:bottom w:val="single" w:sz="4" w:space="0" w:color="auto"/>
              <w:right w:val="single" w:sz="4" w:space="0" w:color="auto"/>
            </w:tcBorders>
          </w:tcPr>
          <w:p w14:paraId="4B5A562A" w14:textId="77777777" w:rsidR="003A2061" w:rsidRDefault="003A2061">
            <w:pPr>
              <w:rPr>
                <w:rFonts w:ascii="仿宋" w:eastAsia="仿宋" w:hAnsi="仿宋" w:cs="仿宋" w:hint="eastAsia"/>
                <w:sz w:val="32"/>
              </w:rPr>
            </w:pPr>
            <w:r>
              <w:rPr>
                <w:rFonts w:ascii="仿宋" w:eastAsia="仿宋" w:hAnsi="仿宋" w:cs="仿宋" w:hint="eastAsia"/>
                <w:sz w:val="32"/>
              </w:rPr>
              <w:t>学</w:t>
            </w:r>
            <w:r>
              <w:rPr>
                <w:rFonts w:ascii="仿宋" w:eastAsia="仿宋" w:hAnsi="仿宋" w:cs="仿宋" w:hint="eastAsia"/>
                <w:sz w:val="32"/>
              </w:rPr>
              <w:t xml:space="preserve">    </w:t>
            </w:r>
            <w:r>
              <w:rPr>
                <w:rFonts w:ascii="仿宋" w:eastAsia="仿宋" w:hAnsi="仿宋" w:cs="仿宋" w:hint="eastAsia"/>
                <w:sz w:val="32"/>
              </w:rPr>
              <w:t>号</w:t>
            </w:r>
          </w:p>
        </w:tc>
        <w:tc>
          <w:tcPr>
            <w:tcW w:w="2102" w:type="dxa"/>
            <w:tcBorders>
              <w:top w:val="single" w:sz="4" w:space="0" w:color="auto"/>
              <w:left w:val="single" w:sz="4" w:space="0" w:color="auto"/>
              <w:bottom w:val="single" w:sz="4" w:space="0" w:color="auto"/>
              <w:right w:val="single" w:sz="4" w:space="0" w:color="auto"/>
            </w:tcBorders>
          </w:tcPr>
          <w:p w14:paraId="63A85EE6" w14:textId="77777777" w:rsidR="003A2061" w:rsidRDefault="003A2061">
            <w:pPr>
              <w:spacing w:line="240" w:lineRule="auto" w:before="0" w:after="0"/>
              <w:jc w:val="center"/>
              <w:rPr>
                <w:rFonts w:ascii="仿宋" w:eastAsia="仿宋" w:hAnsi="仿宋" w:cs="仿宋" w:hint="eastAsia"/>
                <w:sz w:val="32"/>
              </w:rPr>
            </w:pPr>
            <w:r>
              <w:rPr>
                <w:rFonts w:ascii="Times New Roman" w:hAnsi="Times New Roman" w:eastAsia="宋体"/>
                <w:sz w:val="24"/>
              </w:rPr>
              <w:t>11912060207</w:t>
            </w:r>
          </w:p>
        </w:tc>
      </w:tr>
      <w:tr w:rsidR="00000000" w14:paraId="111D2873" w14:textId="77777777">
        <w:tc>
          <w:tcPr>
            <w:tcW w:w="1769" w:type="dxa"/>
            <w:tcBorders>
              <w:top w:val="single" w:sz="4" w:space="0" w:color="auto"/>
              <w:left w:val="single" w:sz="4" w:space="0" w:color="auto"/>
              <w:bottom w:val="single" w:sz="4" w:space="0" w:color="auto"/>
              <w:right w:val="single" w:sz="4" w:space="0" w:color="auto"/>
            </w:tcBorders>
          </w:tcPr>
          <w:p w14:paraId="3373A6A0" w14:textId="77777777" w:rsidR="003A2061" w:rsidRDefault="003A2061">
            <w:pPr>
              <w:rPr>
                <w:rFonts w:ascii="仿宋" w:eastAsia="仿宋" w:hAnsi="仿宋" w:cs="仿宋" w:hint="eastAsia"/>
                <w:sz w:val="32"/>
              </w:rPr>
            </w:pPr>
            <w:r>
              <w:rPr>
                <w:rFonts w:ascii="仿宋" w:eastAsia="仿宋" w:hAnsi="仿宋" w:cs="仿宋" w:hint="eastAsia"/>
                <w:sz w:val="32"/>
              </w:rPr>
              <w:t>指导教师</w:t>
            </w:r>
          </w:p>
        </w:tc>
        <w:tc>
          <w:tcPr>
            <w:tcW w:w="6418" w:type="dxa"/>
            <w:gridSpan w:val="3"/>
            <w:tcBorders>
              <w:top w:val="single" w:sz="4" w:space="0" w:color="auto"/>
              <w:left w:val="single" w:sz="4" w:space="0" w:color="auto"/>
              <w:bottom w:val="single" w:sz="4" w:space="0" w:color="auto"/>
              <w:right w:val="single" w:sz="4" w:space="0" w:color="auto"/>
            </w:tcBorders>
          </w:tcPr>
          <w:p w14:paraId="76CC27BB" w14:textId="77777777" w:rsidR="003A2061" w:rsidRDefault="003A2061">
            <w:pPr>
              <w:spacing w:line="240" w:lineRule="auto" w:before="0" w:after="0"/>
              <w:jc w:val="center"/>
              <w:rPr>
                <w:rFonts w:ascii="仿宋" w:eastAsia="仿宋" w:hAnsi="仿宋" w:cs="仿宋" w:hint="eastAsia"/>
                <w:sz w:val="32"/>
              </w:rPr>
            </w:pPr>
            <w:r>
              <w:rPr>
                <w:rFonts w:ascii="Times New Roman" w:hAnsi="Times New Roman" w:eastAsia="宋体"/>
                <w:sz w:val="24"/>
              </w:rPr>
              <w:t>范伟</w:t>
            </w:r>
          </w:p>
        </w:tc>
      </w:tr>
    </w:tbl>
    <w:p w14:paraId="26A56C77" w14:textId="77777777" w:rsidR="003A2061" w:rsidRDefault="003A2061">
      <w:pPr>
        <w:spacing w:line="720" w:lineRule="auto"/>
        <w:jc w:val="center"/>
        <w:rPr>
          <w:rFonts w:eastAsia="黑体" w:hint="eastAsia"/>
          <w:sz w:val="32"/>
        </w:rPr>
        <w:sectPr w:rsidR="00000000">
          <w:pgSz w:w="11906" w:h="16838"/>
          <w:pgMar w:top="1418" w:right="1418" w:bottom="1418" w:left="1701" w:header="851" w:footer="992" w:gutter="0"/>
          <w:cols w:space="720"/>
          <w:docGrid w:type="lines" w:linePitch="312"/>
        </w:sectPr>
      </w:pPr>
    </w:p>
    <w:p w14:paraId="333EDCE9" w14:textId="77777777" w:rsidR="003A2061" w:rsidRDefault="003A2061">
      <w:pPr>
        <w:spacing w:line="720" w:lineRule="auto"/>
        <w:jc w:val="center"/>
        <w:rPr>
          <w:rFonts w:eastAsia="黑体" w:hint="eastAsia"/>
          <w:sz w:val="32"/>
        </w:rPr>
      </w:pPr>
      <w:commentRangeStart w:id="2"/>
      <w:r>
        <w:rPr>
          <w:rFonts w:eastAsia="黑体" w:hint="eastAsia"/>
          <w:sz w:val="32"/>
        </w:rPr>
        <w:lastRenderedPageBreak/>
        <w:t>译</w:t>
      </w:r>
      <w:r>
        <w:rPr>
          <w:rFonts w:eastAsia="黑体" w:hint="eastAsia"/>
          <w:sz w:val="32"/>
        </w:rPr>
        <w:t xml:space="preserve">  </w:t>
      </w:r>
      <w:r>
        <w:rPr>
          <w:rFonts w:eastAsia="黑体" w:hint="eastAsia"/>
          <w:sz w:val="32"/>
        </w:rPr>
        <w:t>文</w:t>
      </w:r>
      <w:r>
        <w:rPr>
          <w:rFonts w:eastAsia="黑体" w:hint="eastAsia"/>
          <w:sz w:val="32"/>
        </w:rPr>
        <w:t xml:space="preserve">  </w:t>
      </w:r>
      <w:r>
        <w:rPr>
          <w:rFonts w:eastAsia="黑体" w:hint="eastAsia"/>
          <w:sz w:val="32"/>
        </w:rPr>
        <w:t>要</w:t>
      </w:r>
      <w:r>
        <w:rPr>
          <w:rFonts w:eastAsia="黑体" w:hint="eastAsia"/>
          <w:sz w:val="32"/>
        </w:rPr>
        <w:t xml:space="preserve">  </w:t>
      </w:r>
      <w:r>
        <w:rPr>
          <w:rFonts w:eastAsia="黑体" w:hint="eastAsia"/>
          <w:sz w:val="32"/>
        </w:rPr>
        <w:t>求</w:t>
      </w:r>
      <w:commentRangeEnd w:id="2"/>
      <w:r>
        <w:commentReference w:id="2"/>
      </w:r>
    </w:p>
    <w:p w14:paraId="0DAD9BA8" w14:textId="77777777" w:rsidR="003A2061" w:rsidRDefault="003A2061">
      <w:pPr>
        <w:widowControl/>
        <w:spacing w:line="240" w:lineRule="atLeast"/>
        <w:jc w:val="left"/>
        <w:rPr>
          <w:rFonts w:hint="eastAsia"/>
          <w:sz w:val="28"/>
        </w:rPr>
      </w:pPr>
      <w:r>
        <w:rPr>
          <w:rFonts w:hint="eastAsia"/>
          <w:sz w:val="28"/>
        </w:rPr>
        <w:t>1</w:t>
      </w:r>
      <w:r>
        <w:rPr>
          <w:rFonts w:hint="eastAsia"/>
          <w:sz w:val="28"/>
        </w:rPr>
        <w:t>、译文内容必须与课题（或专业）内容相关。</w:t>
      </w:r>
    </w:p>
    <w:p w14:paraId="58393AAC" w14:textId="77777777" w:rsidR="003A2061" w:rsidRDefault="003A2061">
      <w:pPr>
        <w:ind w:left="358" w:hangingChars="128" w:hanging="358"/>
        <w:rPr>
          <w:rFonts w:hint="eastAsia"/>
          <w:sz w:val="28"/>
        </w:rPr>
      </w:pPr>
      <w:r>
        <w:rPr>
          <w:rFonts w:hint="eastAsia"/>
          <w:sz w:val="28"/>
        </w:rPr>
        <w:t>2</w:t>
      </w:r>
      <w:r>
        <w:rPr>
          <w:rFonts w:hint="eastAsia"/>
          <w:sz w:val="28"/>
        </w:rPr>
        <w:t>、译文不少于</w:t>
      </w:r>
      <w:r>
        <w:rPr>
          <w:rFonts w:hint="eastAsia"/>
          <w:sz w:val="28"/>
        </w:rPr>
        <w:t>2000</w:t>
      </w:r>
      <w:r>
        <w:rPr>
          <w:rFonts w:hint="eastAsia"/>
          <w:sz w:val="28"/>
        </w:rPr>
        <w:t>字；外文阅读量至少</w:t>
      </w:r>
      <w:r>
        <w:rPr>
          <w:rFonts w:hint="eastAsia"/>
          <w:sz w:val="28"/>
        </w:rPr>
        <w:t>3</w:t>
      </w:r>
      <w:r>
        <w:rPr>
          <w:rFonts w:hint="eastAsia"/>
          <w:sz w:val="28"/>
        </w:rPr>
        <w:t>篇（</w:t>
      </w:r>
      <w:r>
        <w:rPr>
          <w:rFonts w:hint="eastAsia"/>
          <w:sz w:val="28"/>
        </w:rPr>
        <w:t>10</w:t>
      </w:r>
      <w:r>
        <w:rPr>
          <w:rFonts w:hint="eastAsia"/>
          <w:sz w:val="28"/>
        </w:rPr>
        <w:t>万外文字符以上）。</w:t>
      </w:r>
    </w:p>
    <w:p w14:paraId="268CACA1" w14:textId="77777777" w:rsidR="003A2061" w:rsidRDefault="003A2061">
      <w:pPr>
        <w:ind w:left="358" w:hangingChars="128" w:hanging="358"/>
        <w:rPr>
          <w:sz w:val="28"/>
        </w:rPr>
      </w:pPr>
      <w:r>
        <w:rPr>
          <w:rFonts w:hint="eastAsia"/>
          <w:sz w:val="28"/>
        </w:rPr>
        <w:t>3</w:t>
      </w:r>
      <w:r>
        <w:rPr>
          <w:rFonts w:hint="eastAsia"/>
          <w:sz w:val="28"/>
        </w:rPr>
        <w:t>、参考文献不翻译，不打印。</w:t>
      </w:r>
    </w:p>
    <w:p w14:paraId="7DC775A6" w14:textId="77777777" w:rsidR="003A2061" w:rsidRDefault="003A2061">
      <w:pPr>
        <w:rPr>
          <w:rFonts w:hint="eastAsia"/>
          <w:sz w:val="28"/>
        </w:rPr>
      </w:pPr>
      <w:r>
        <w:rPr>
          <w:rFonts w:hint="eastAsia"/>
          <w:sz w:val="28"/>
        </w:rPr>
        <w:t>4</w:t>
      </w:r>
      <w:r>
        <w:rPr>
          <w:rFonts w:hint="eastAsia"/>
          <w:sz w:val="28"/>
        </w:rPr>
        <w:t>、译文原文（或复印件）建议一张</w:t>
      </w:r>
      <w:r>
        <w:rPr>
          <w:rFonts w:hint="eastAsia"/>
          <w:sz w:val="28"/>
        </w:rPr>
        <w:t>A4</w:t>
      </w:r>
      <w:r>
        <w:rPr>
          <w:rFonts w:hint="eastAsia"/>
          <w:sz w:val="28"/>
        </w:rPr>
        <w:t>打印</w:t>
      </w:r>
      <w:r>
        <w:rPr>
          <w:rFonts w:hint="eastAsia"/>
          <w:sz w:val="28"/>
        </w:rPr>
        <w:t>2</w:t>
      </w:r>
      <w:r>
        <w:rPr>
          <w:rFonts w:hint="eastAsia"/>
          <w:sz w:val="28"/>
        </w:rPr>
        <w:t>页内容，并双面打印，附在译文后备查。</w:t>
      </w:r>
    </w:p>
    <w:p w14:paraId="67F96759" w14:textId="77777777" w:rsidR="003A2061" w:rsidRDefault="003A2061">
      <w:pPr>
        <w:rPr>
          <w:rFonts w:hint="eastAsia"/>
          <w:sz w:val="28"/>
          <w:u w:val="thick"/>
        </w:rPr>
      </w:pPr>
      <w:r>
        <w:rPr>
          <w:rFonts w:hint="eastAsia"/>
          <w:sz w:val="28"/>
          <w:u w:val="thick"/>
        </w:rPr>
        <w:t xml:space="preserve">                                                           </w:t>
      </w:r>
    </w:p>
    <w:p w14:paraId="65FEBFE2" w14:textId="77777777" w:rsidR="003A2061" w:rsidRDefault="003A2061">
      <w:pPr>
        <w:spacing w:line="720" w:lineRule="auto"/>
        <w:jc w:val="center"/>
        <w:rPr>
          <w:rFonts w:eastAsia="黑体" w:hint="eastAsia"/>
          <w:sz w:val="32"/>
        </w:rPr>
      </w:pPr>
      <w:r>
        <w:rPr>
          <w:rFonts w:eastAsia="黑体" w:hint="eastAsia"/>
          <w:sz w:val="32"/>
        </w:rPr>
        <w:t>译</w:t>
      </w:r>
      <w:r>
        <w:rPr>
          <w:rFonts w:eastAsia="黑体" w:hint="eastAsia"/>
          <w:sz w:val="32"/>
        </w:rPr>
        <w:t xml:space="preserve">  </w:t>
      </w:r>
      <w:r>
        <w:rPr>
          <w:rFonts w:eastAsia="黑体" w:hint="eastAsia"/>
          <w:sz w:val="32"/>
        </w:rPr>
        <w:t>文</w:t>
      </w:r>
      <w:r>
        <w:rPr>
          <w:rFonts w:eastAsia="黑体" w:hint="eastAsia"/>
          <w:sz w:val="32"/>
        </w:rPr>
        <w:t xml:space="preserve">  </w:t>
      </w:r>
      <w:r>
        <w:rPr>
          <w:rFonts w:eastAsia="黑体" w:hint="eastAsia"/>
          <w:sz w:val="32"/>
        </w:rPr>
        <w:t>评</w:t>
      </w:r>
      <w:r>
        <w:rPr>
          <w:rFonts w:eastAsia="黑体" w:hint="eastAsia"/>
          <w:sz w:val="32"/>
        </w:rPr>
        <w:t xml:space="preserve">  </w:t>
      </w:r>
      <w:r>
        <w:rPr>
          <w:rFonts w:eastAsia="黑体" w:hint="eastAsia"/>
          <w:sz w:val="32"/>
        </w:rPr>
        <w:t>阅</w:t>
      </w:r>
    </w:p>
    <w:tbl>
      <w:tblPr>
        <w:tblW w:w="9688" w:type="dxa"/>
        <w:tblInd w:w="-292" w:type="dxa"/>
        <w:tblBorders>
          <w:top w:val="single" w:sz="6" w:space="0" w:color="DEE0E3"/>
          <w:left w:val="single" w:sz="6" w:space="0" w:color="DEE0E3"/>
          <w:bottom w:val="single" w:sz="6" w:space="0" w:color="DEE0E3"/>
          <w:right w:val="single" w:sz="6" w:space="0" w:color="DEE0E3"/>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1558"/>
        <w:gridCol w:w="8130"/>
      </w:tblGrid>
      <w:tr w:rsidR="00000000" w14:paraId="02B626E5" w14:textId="77777777">
        <w:trPr>
          <w:trHeight w:val="208"/>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9143949" w14:textId="77777777" w:rsidR="003A2061" w:rsidRDefault="003A2061">
            <w:pPr>
              <w:widowControl/>
              <w:snapToGrid w:val="0"/>
              <w:jc w:val="center"/>
              <w:textAlignment w:val="top"/>
              <w:rPr>
                <w:rFonts w:ascii="黑体" w:eastAsia="黑体" w:hAnsi="黑体" w:cs="黑体" w:hint="eastAsia"/>
                <w:sz w:val="24"/>
              </w:rPr>
            </w:pPr>
            <w:r>
              <w:rPr>
                <w:rFonts w:ascii="黑体" w:eastAsia="黑体" w:hAnsi="黑体" w:cs="黑体" w:hint="eastAsia"/>
                <w:kern w:val="0"/>
                <w:sz w:val="24"/>
                <w:lang w:bidi="ar"/>
              </w:rPr>
              <w:t>评价维度</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7E68CD9" w14:textId="77777777" w:rsidR="003A2061" w:rsidRDefault="003A2061">
            <w:pPr>
              <w:widowControl/>
              <w:snapToGrid w:val="0"/>
              <w:jc w:val="center"/>
              <w:textAlignment w:val="top"/>
              <w:rPr>
                <w:rFonts w:ascii="黑体" w:eastAsia="黑体" w:hAnsi="黑体" w:cs="黑体" w:hint="eastAsia"/>
                <w:sz w:val="24"/>
              </w:rPr>
            </w:pPr>
            <w:r>
              <w:rPr>
                <w:rFonts w:ascii="黑体" w:eastAsia="黑体" w:hAnsi="黑体" w:cs="黑体" w:hint="eastAsia"/>
                <w:kern w:val="0"/>
                <w:sz w:val="24"/>
                <w:lang w:bidi="ar"/>
              </w:rPr>
              <w:t>评价结果</w:t>
            </w:r>
          </w:p>
        </w:tc>
      </w:tr>
      <w:tr w:rsidR="00000000" w14:paraId="46A4226F" w14:textId="77777777">
        <w:trPr>
          <w:trHeight w:val="300"/>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0FECC4D" w14:textId="77777777" w:rsidR="003A2061" w:rsidRDefault="003A2061">
            <w:pPr>
              <w:widowControl/>
              <w:snapToGrid w:val="0"/>
              <w:jc w:val="center"/>
              <w:textAlignment w:val="top"/>
              <w:rPr>
                <w:szCs w:val="21"/>
              </w:rPr>
            </w:pPr>
            <w:r>
              <w:rPr>
                <w:rFonts w:ascii="宋体" w:hAnsi="宋体" w:cs="宋体"/>
                <w:kern w:val="0"/>
                <w:szCs w:val="21"/>
                <w:lang w:bidi="ar"/>
              </w:rPr>
              <w:t>内容准确性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9F066C9" w14:textId="77777777" w:rsidR="003A2061" w:rsidRDefault="003A2061">
            <w:pPr>
              <w:widowControl/>
              <w:snapToGrid w:val="0"/>
              <w:jc w:val="left"/>
              <w:textAlignment w:val="top"/>
              <w:rPr>
                <w:szCs w:val="21"/>
              </w:rPr>
            </w:pPr>
            <w:r>
              <w:rPr>
                <w:rFonts w:ascii="宋体" w:hAnsi="宋体" w:cs="宋体"/>
                <w:kern w:val="0"/>
                <w:szCs w:val="21"/>
                <w:lang w:bidi="ar"/>
              </w:rPr>
              <w:t xml:space="preserve">□ </w:t>
            </w:r>
            <w:r>
              <w:rPr>
                <w:rFonts w:ascii="宋体" w:hAnsi="宋体" w:cs="宋体"/>
                <w:kern w:val="0"/>
                <w:szCs w:val="21"/>
                <w:lang w:bidi="ar"/>
              </w:rPr>
              <w:t>忠实原文，无遗漏或错误</w:t>
            </w:r>
            <w:r>
              <w:rPr>
                <w:rFonts w:ascii="宋体" w:hAnsi="宋体" w:cs="宋体"/>
                <w:kern w:val="0"/>
                <w:szCs w:val="21"/>
                <w:lang w:bidi="ar"/>
              </w:rPr>
              <w:t xml:space="preserve"> □ </w:t>
            </w:r>
            <w:r>
              <w:rPr>
                <w:rFonts w:ascii="宋体" w:hAnsi="宋体" w:cs="宋体"/>
                <w:kern w:val="0"/>
                <w:szCs w:val="21"/>
                <w:lang w:bidi="ar"/>
              </w:rPr>
              <w:t>存在少量内容偏差</w:t>
            </w:r>
            <w:r>
              <w:rPr>
                <w:rFonts w:ascii="宋体" w:hAnsi="宋体" w:cs="宋体"/>
                <w:kern w:val="0"/>
                <w:szCs w:val="21"/>
                <w:lang w:bidi="ar"/>
              </w:rPr>
              <w:t xml:space="preserve"> </w:t>
            </w:r>
            <w:r>
              <w:rPr>
                <w:rFonts w:ascii="宋体" w:hAnsi="宋体" w:cs="宋体" w:hint="eastAsia"/>
                <w:kern w:val="0"/>
                <w:szCs w:val="21"/>
                <w:lang w:bidi="ar"/>
              </w:rPr>
              <w:t xml:space="preserve">        </w:t>
            </w:r>
            <w:r>
              <w:rPr>
                <w:rFonts w:ascii="宋体" w:hAnsi="宋体" w:cs="宋体"/>
                <w:kern w:val="0"/>
                <w:szCs w:val="21"/>
                <w:lang w:bidi="ar"/>
              </w:rPr>
              <w:t xml:space="preserve">□ </w:t>
            </w:r>
            <w:r>
              <w:rPr>
                <w:rFonts w:ascii="宋体" w:hAnsi="宋体" w:cs="宋体"/>
                <w:kern w:val="0"/>
                <w:szCs w:val="21"/>
                <w:lang w:bidi="ar"/>
              </w:rPr>
              <w:t>内容翻译错误较多</w:t>
            </w:r>
          </w:p>
        </w:tc>
      </w:tr>
      <w:tr w:rsidR="00000000" w14:paraId="11C48885" w14:textId="77777777">
        <w:trPr>
          <w:trHeight w:val="135"/>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1C9C801" w14:textId="77777777" w:rsidR="003A2061" w:rsidRDefault="003A2061">
            <w:pPr>
              <w:widowControl/>
              <w:snapToGrid w:val="0"/>
              <w:jc w:val="center"/>
              <w:textAlignment w:val="top"/>
              <w:rPr>
                <w:szCs w:val="21"/>
              </w:rPr>
            </w:pPr>
            <w:r>
              <w:rPr>
                <w:rFonts w:ascii="宋体" w:hAnsi="宋体" w:cs="宋体"/>
                <w:kern w:val="0"/>
                <w:szCs w:val="21"/>
                <w:lang w:bidi="ar"/>
              </w:rPr>
              <w:t>语言流畅性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50A935F" w14:textId="77777777" w:rsidR="003A2061" w:rsidRDefault="003A2061">
            <w:pPr>
              <w:widowControl/>
              <w:snapToGrid w:val="0"/>
              <w:jc w:val="left"/>
              <w:textAlignment w:val="top"/>
              <w:rPr>
                <w:szCs w:val="21"/>
              </w:rPr>
            </w:pPr>
            <w:r>
              <w:rPr>
                <w:rFonts w:ascii="宋体" w:hAnsi="宋体" w:cs="宋体"/>
                <w:kern w:val="0"/>
                <w:szCs w:val="21"/>
                <w:lang w:bidi="ar"/>
              </w:rPr>
              <w:t xml:space="preserve">□ </w:t>
            </w:r>
            <w:r>
              <w:rPr>
                <w:rFonts w:ascii="宋体" w:hAnsi="宋体" w:cs="宋体"/>
                <w:kern w:val="0"/>
                <w:szCs w:val="21"/>
                <w:lang w:bidi="ar"/>
              </w:rPr>
              <w:t>译文通顺，符合中文习惯</w:t>
            </w:r>
            <w:r>
              <w:rPr>
                <w:rFonts w:ascii="宋体" w:hAnsi="宋体" w:cs="宋体"/>
                <w:kern w:val="0"/>
                <w:szCs w:val="21"/>
                <w:lang w:bidi="ar"/>
              </w:rPr>
              <w:t xml:space="preserve"> □ </w:t>
            </w:r>
            <w:r>
              <w:rPr>
                <w:rFonts w:ascii="宋体" w:hAnsi="宋体" w:cs="宋体"/>
                <w:kern w:val="0"/>
                <w:szCs w:val="21"/>
                <w:lang w:bidi="ar"/>
              </w:rPr>
              <w:t>较通顺，部分生硬表达</w:t>
            </w:r>
            <w:r>
              <w:rPr>
                <w:rFonts w:ascii="宋体" w:hAnsi="宋体" w:cs="宋体"/>
                <w:kern w:val="0"/>
                <w:szCs w:val="21"/>
                <w:lang w:bidi="ar"/>
              </w:rPr>
              <w:t xml:space="preserve"> </w:t>
            </w:r>
            <w:r>
              <w:rPr>
                <w:rFonts w:ascii="宋体" w:hAnsi="宋体" w:cs="宋体" w:hint="eastAsia"/>
                <w:kern w:val="0"/>
                <w:szCs w:val="21"/>
                <w:lang w:bidi="ar"/>
              </w:rPr>
              <w:t xml:space="preserve">    </w:t>
            </w:r>
            <w:r>
              <w:rPr>
                <w:rFonts w:ascii="宋体" w:hAnsi="宋体" w:cs="宋体"/>
                <w:kern w:val="0"/>
                <w:szCs w:val="21"/>
                <w:lang w:bidi="ar"/>
              </w:rPr>
              <w:t xml:space="preserve">□ </w:t>
            </w:r>
            <w:r>
              <w:rPr>
                <w:rFonts w:ascii="宋体" w:hAnsi="宋体" w:cs="宋体"/>
                <w:kern w:val="0"/>
                <w:szCs w:val="21"/>
                <w:lang w:bidi="ar"/>
              </w:rPr>
              <w:t>不通顺，影响理解</w:t>
            </w:r>
          </w:p>
        </w:tc>
      </w:tr>
      <w:tr w:rsidR="00000000" w14:paraId="258AAC92" w14:textId="77777777">
        <w:trPr>
          <w:trHeight w:val="215"/>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BB60419" w14:textId="77777777" w:rsidR="003A2061" w:rsidRDefault="003A2061">
            <w:pPr>
              <w:widowControl/>
              <w:snapToGrid w:val="0"/>
              <w:jc w:val="center"/>
              <w:textAlignment w:val="top"/>
              <w:rPr>
                <w:szCs w:val="21"/>
              </w:rPr>
            </w:pPr>
            <w:r>
              <w:rPr>
                <w:rFonts w:ascii="宋体" w:hAnsi="宋体" w:cs="宋体"/>
                <w:kern w:val="0"/>
                <w:szCs w:val="21"/>
                <w:lang w:bidi="ar"/>
              </w:rPr>
              <w:t>专业术语翻译</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0C80C3F" w14:textId="77777777" w:rsidR="003A2061" w:rsidRDefault="003A2061">
            <w:pPr>
              <w:widowControl/>
              <w:snapToGrid w:val="0"/>
              <w:jc w:val="left"/>
              <w:textAlignment w:val="top"/>
              <w:rPr>
                <w:szCs w:val="21"/>
              </w:rPr>
            </w:pPr>
            <w:r>
              <w:rPr>
                <w:rFonts w:ascii="宋体" w:hAnsi="宋体" w:cs="宋体"/>
                <w:kern w:val="0"/>
                <w:szCs w:val="21"/>
                <w:lang w:bidi="ar"/>
              </w:rPr>
              <w:t xml:space="preserve">□ </w:t>
            </w:r>
            <w:r>
              <w:rPr>
                <w:rFonts w:ascii="宋体" w:hAnsi="宋体" w:cs="宋体"/>
                <w:kern w:val="0"/>
                <w:szCs w:val="21"/>
                <w:lang w:bidi="ar"/>
              </w:rPr>
              <w:t>术语准确，符合学科规范</w:t>
            </w:r>
            <w:r>
              <w:rPr>
                <w:rFonts w:ascii="宋体" w:hAnsi="宋体" w:cs="宋体"/>
                <w:kern w:val="0"/>
                <w:szCs w:val="21"/>
                <w:lang w:bidi="ar"/>
              </w:rPr>
              <w:t xml:space="preserve"> □ </w:t>
            </w:r>
            <w:r>
              <w:rPr>
                <w:rFonts w:ascii="宋体" w:hAnsi="宋体" w:cs="宋体"/>
                <w:kern w:val="0"/>
                <w:szCs w:val="21"/>
                <w:lang w:bidi="ar"/>
              </w:rPr>
              <w:t>部分术语翻译不规范</w:t>
            </w:r>
            <w:r>
              <w:rPr>
                <w:rFonts w:ascii="宋体" w:hAnsi="宋体" w:cs="宋体" w:hint="eastAsia"/>
                <w:kern w:val="0"/>
                <w:szCs w:val="21"/>
                <w:lang w:bidi="ar"/>
              </w:rPr>
              <w:t xml:space="preserve">      </w:t>
            </w:r>
            <w:r>
              <w:rPr>
                <w:rFonts w:ascii="宋体" w:hAnsi="宋体" w:cs="宋体"/>
                <w:kern w:val="0"/>
                <w:szCs w:val="21"/>
                <w:lang w:bidi="ar"/>
              </w:rPr>
              <w:t xml:space="preserve"> □ </w:t>
            </w:r>
            <w:r>
              <w:rPr>
                <w:rFonts w:ascii="宋体" w:hAnsi="宋体" w:cs="宋体"/>
                <w:kern w:val="0"/>
                <w:szCs w:val="21"/>
                <w:lang w:bidi="ar"/>
              </w:rPr>
              <w:t>术语翻译错误或混乱</w:t>
            </w:r>
          </w:p>
        </w:tc>
      </w:tr>
      <w:tr w:rsidR="00000000" w14:paraId="08B23D0D" w14:textId="77777777">
        <w:trPr>
          <w:trHeight w:val="90"/>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40B3527" w14:textId="77777777" w:rsidR="003A2061" w:rsidRDefault="003A2061">
            <w:pPr>
              <w:widowControl/>
              <w:snapToGrid w:val="0"/>
              <w:jc w:val="center"/>
              <w:textAlignment w:val="top"/>
              <w:rPr>
                <w:szCs w:val="21"/>
              </w:rPr>
            </w:pPr>
            <w:r>
              <w:rPr>
                <w:rFonts w:ascii="宋体" w:hAnsi="宋体" w:cs="宋体"/>
                <w:kern w:val="0"/>
                <w:szCs w:val="21"/>
                <w:lang w:bidi="ar"/>
              </w:rPr>
              <w:t>逻辑连贯性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D030A62" w14:textId="77777777" w:rsidR="003A2061" w:rsidRDefault="003A2061">
            <w:pPr>
              <w:widowControl/>
              <w:snapToGrid w:val="0"/>
              <w:jc w:val="left"/>
              <w:textAlignment w:val="top"/>
              <w:rPr>
                <w:szCs w:val="21"/>
              </w:rPr>
            </w:pPr>
            <w:r>
              <w:rPr>
                <w:rFonts w:ascii="宋体" w:hAnsi="宋体" w:cs="宋体"/>
                <w:kern w:val="0"/>
                <w:szCs w:val="21"/>
                <w:lang w:bidi="ar"/>
              </w:rPr>
              <w:t xml:space="preserve">□ </w:t>
            </w:r>
            <w:r>
              <w:rPr>
                <w:rFonts w:ascii="宋体" w:hAnsi="宋体" w:cs="宋体"/>
                <w:kern w:val="0"/>
                <w:szCs w:val="21"/>
                <w:lang w:bidi="ar"/>
              </w:rPr>
              <w:t>逻辑清晰，结构合理</w:t>
            </w:r>
            <w:r>
              <w:rPr>
                <w:rFonts w:ascii="宋体" w:hAnsi="宋体" w:cs="宋体" w:hint="eastAsia"/>
                <w:kern w:val="0"/>
                <w:szCs w:val="21"/>
                <w:lang w:bidi="ar"/>
              </w:rPr>
              <w:t xml:space="preserve">    </w:t>
            </w:r>
            <w:r>
              <w:rPr>
                <w:rFonts w:ascii="宋体" w:hAnsi="宋体" w:cs="宋体"/>
                <w:kern w:val="0"/>
                <w:szCs w:val="21"/>
                <w:lang w:bidi="ar"/>
              </w:rPr>
              <w:t xml:space="preserve"> □ </w:t>
            </w:r>
            <w:r>
              <w:rPr>
                <w:rFonts w:ascii="宋体" w:hAnsi="宋体" w:cs="宋体"/>
                <w:kern w:val="0"/>
                <w:szCs w:val="21"/>
                <w:lang w:bidi="ar"/>
              </w:rPr>
              <w:t>逻辑较清晰，部分衔接欠佳</w:t>
            </w:r>
            <w:r>
              <w:rPr>
                <w:rFonts w:ascii="宋体" w:hAnsi="宋体" w:cs="宋体"/>
                <w:kern w:val="0"/>
                <w:szCs w:val="21"/>
                <w:lang w:bidi="ar"/>
              </w:rPr>
              <w:t xml:space="preserve"> □ </w:t>
            </w:r>
            <w:r>
              <w:rPr>
                <w:rFonts w:ascii="宋体" w:hAnsi="宋体" w:cs="宋体"/>
                <w:kern w:val="0"/>
                <w:szCs w:val="21"/>
                <w:lang w:bidi="ar"/>
              </w:rPr>
              <w:t>逻辑混乱，层次不清</w:t>
            </w:r>
          </w:p>
        </w:tc>
      </w:tr>
      <w:tr w:rsidR="00000000" w14:paraId="54C8FC75" w14:textId="77777777">
        <w:trPr>
          <w:trHeight w:val="95"/>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8DCE155" w14:textId="77777777" w:rsidR="003A2061" w:rsidRDefault="003A2061">
            <w:pPr>
              <w:widowControl/>
              <w:snapToGrid w:val="0"/>
              <w:jc w:val="center"/>
              <w:textAlignment w:val="top"/>
              <w:rPr>
                <w:szCs w:val="21"/>
              </w:rPr>
            </w:pPr>
            <w:r>
              <w:rPr>
                <w:rFonts w:ascii="宋体" w:hAnsi="宋体" w:cs="宋体"/>
                <w:kern w:val="0"/>
                <w:szCs w:val="21"/>
                <w:lang w:bidi="ar"/>
              </w:rPr>
              <w:t>综合评价等级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CBD49E8" w14:textId="77777777" w:rsidR="003A2061" w:rsidRDefault="003A2061">
            <w:pPr>
              <w:widowControl/>
              <w:snapToGrid w:val="0"/>
              <w:jc w:val="left"/>
              <w:textAlignment w:val="top"/>
              <w:rPr>
                <w:szCs w:val="21"/>
              </w:rPr>
            </w:pPr>
            <w:r>
              <w:rPr>
                <w:rFonts w:ascii="宋体" w:hAnsi="宋体" w:cs="宋体"/>
                <w:kern w:val="0"/>
                <w:szCs w:val="21"/>
                <w:lang w:bidi="ar"/>
              </w:rPr>
              <w:t xml:space="preserve">□ </w:t>
            </w:r>
            <w:r>
              <w:rPr>
                <w:rFonts w:ascii="宋体" w:hAnsi="宋体" w:cs="宋体"/>
                <w:kern w:val="0"/>
                <w:szCs w:val="21"/>
                <w:lang w:bidi="ar"/>
              </w:rPr>
              <w:t>优秀</w:t>
            </w:r>
            <w:r>
              <w:rPr>
                <w:rFonts w:ascii="宋体" w:hAnsi="宋体" w:cs="宋体" w:hint="eastAsia"/>
                <w:kern w:val="0"/>
                <w:szCs w:val="21"/>
                <w:lang w:bidi="ar"/>
              </w:rPr>
              <w:t xml:space="preserve">    </w:t>
            </w:r>
            <w:r>
              <w:rPr>
                <w:rFonts w:ascii="宋体" w:hAnsi="宋体" w:cs="宋体"/>
                <w:kern w:val="0"/>
                <w:szCs w:val="21"/>
                <w:lang w:bidi="ar"/>
              </w:rPr>
              <w:t xml:space="preserve"> </w:t>
            </w:r>
            <w:r>
              <w:rPr>
                <w:rFonts w:ascii="宋体" w:hAnsi="宋体" w:cs="宋体" w:hint="eastAsia"/>
                <w:kern w:val="0"/>
                <w:szCs w:val="21"/>
                <w:lang w:bidi="ar"/>
              </w:rPr>
              <w:t xml:space="preserve">      </w:t>
            </w:r>
            <w:r>
              <w:rPr>
                <w:rFonts w:ascii="宋体" w:hAnsi="宋体" w:cs="宋体"/>
                <w:kern w:val="0"/>
                <w:szCs w:val="21"/>
                <w:lang w:bidi="ar"/>
              </w:rPr>
              <w:t xml:space="preserve">□ </w:t>
            </w:r>
            <w:r>
              <w:rPr>
                <w:rFonts w:ascii="宋体" w:hAnsi="宋体" w:cs="宋体"/>
                <w:kern w:val="0"/>
                <w:szCs w:val="21"/>
                <w:lang w:bidi="ar"/>
              </w:rPr>
              <w:t>良好</w:t>
            </w:r>
            <w:r>
              <w:rPr>
                <w:rFonts w:ascii="宋体" w:hAnsi="宋体" w:cs="宋体"/>
                <w:kern w:val="0"/>
                <w:szCs w:val="21"/>
                <w:lang w:bidi="ar"/>
              </w:rPr>
              <w:t xml:space="preserve"> </w:t>
            </w:r>
            <w:r>
              <w:rPr>
                <w:rFonts w:ascii="宋体" w:hAnsi="宋体" w:cs="宋体" w:hint="eastAsia"/>
                <w:kern w:val="0"/>
                <w:szCs w:val="21"/>
                <w:lang w:bidi="ar"/>
              </w:rPr>
              <w:t xml:space="preserve">            </w:t>
            </w:r>
            <w:r>
              <w:rPr>
                <w:rFonts w:ascii="宋体" w:hAnsi="宋体" w:cs="宋体"/>
                <w:kern w:val="0"/>
                <w:szCs w:val="21"/>
                <w:lang w:bidi="ar"/>
              </w:rPr>
              <w:t xml:space="preserve">□ </w:t>
            </w:r>
            <w:r>
              <w:rPr>
                <w:rFonts w:ascii="宋体" w:hAnsi="宋体" w:cs="宋体"/>
                <w:kern w:val="0"/>
                <w:szCs w:val="21"/>
                <w:lang w:bidi="ar"/>
              </w:rPr>
              <w:t>合格</w:t>
            </w:r>
            <w:r>
              <w:rPr>
                <w:rFonts w:ascii="宋体" w:hAnsi="宋体" w:cs="宋体"/>
                <w:kern w:val="0"/>
                <w:szCs w:val="21"/>
                <w:lang w:bidi="ar"/>
              </w:rPr>
              <w:t xml:space="preserve"> </w:t>
            </w:r>
            <w:r>
              <w:rPr>
                <w:rFonts w:ascii="宋体" w:hAnsi="宋体" w:cs="宋体" w:hint="eastAsia"/>
                <w:kern w:val="0"/>
                <w:szCs w:val="21"/>
                <w:lang w:bidi="ar"/>
              </w:rPr>
              <w:t xml:space="preserve">          </w:t>
            </w:r>
            <w:r>
              <w:rPr>
                <w:rFonts w:ascii="宋体" w:hAnsi="宋体" w:cs="宋体" w:hint="eastAsia"/>
                <w:kern w:val="0"/>
                <w:szCs w:val="21"/>
                <w:lang w:bidi="ar"/>
              </w:rPr>
              <w:t>□</w:t>
            </w:r>
            <w:r>
              <w:rPr>
                <w:rFonts w:ascii="宋体" w:hAnsi="宋体" w:cs="宋体"/>
                <w:kern w:val="0"/>
                <w:szCs w:val="21"/>
                <w:lang w:bidi="ar"/>
              </w:rPr>
              <w:t xml:space="preserve"> </w:t>
            </w:r>
            <w:r>
              <w:rPr>
                <w:rFonts w:ascii="宋体" w:hAnsi="宋体" w:cs="宋体"/>
                <w:kern w:val="0"/>
                <w:szCs w:val="21"/>
                <w:lang w:bidi="ar"/>
              </w:rPr>
              <w:t>不合格</w:t>
            </w:r>
          </w:p>
        </w:tc>
      </w:tr>
      <w:tr w:rsidR="00000000" w14:paraId="62467A94" w14:textId="77777777">
        <w:trPr>
          <w:trHeight w:val="2519"/>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D89F0AB" w14:textId="77777777" w:rsidR="003A2061" w:rsidRDefault="003A2061">
            <w:pPr>
              <w:widowControl/>
              <w:snapToGrid w:val="0"/>
              <w:jc w:val="center"/>
              <w:textAlignment w:val="top"/>
              <w:rPr>
                <w:szCs w:val="21"/>
              </w:rPr>
            </w:pPr>
            <w:r>
              <w:rPr>
                <w:rFonts w:ascii="宋体" w:hAnsi="宋体" w:cs="宋体" w:hint="eastAsia"/>
                <w:kern w:val="0"/>
                <w:szCs w:val="21"/>
                <w:lang w:bidi="ar"/>
              </w:rPr>
              <w:t>其他建议</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FE293A1" w14:textId="77777777" w:rsidR="003A2061" w:rsidRDefault="003A2061">
            <w:pPr>
              <w:widowControl/>
              <w:snapToGrid w:val="0"/>
              <w:jc w:val="center"/>
              <w:rPr>
                <w:rFonts w:ascii="宋体" w:hint="eastAsia"/>
                <w:szCs w:val="21"/>
              </w:rPr>
            </w:pPr>
          </w:p>
        </w:tc>
      </w:tr>
    </w:tbl>
    <w:p w14:paraId="44D9599B" w14:textId="77777777" w:rsidR="003A2061" w:rsidRDefault="003A2061">
      <w:pPr>
        <w:jc w:val="right"/>
        <w:rPr>
          <w:rFonts w:hint="eastAsia"/>
          <w:sz w:val="24"/>
          <w:szCs w:val="22"/>
        </w:rPr>
      </w:pPr>
    </w:p>
    <w:p w14:paraId="614F60FB" w14:textId="77777777" w:rsidR="003A2061" w:rsidRDefault="003A2061">
      <w:pPr>
        <w:jc w:val="right"/>
        <w:rPr>
          <w:rFonts w:ascii="仿宋" w:eastAsia="仿宋" w:hAnsi="仿宋" w:cs="仿宋" w:hint="eastAsia"/>
          <w:sz w:val="16"/>
          <w:szCs w:val="13"/>
        </w:rPr>
      </w:pPr>
      <w:r>
        <w:rPr>
          <w:rFonts w:hint="eastAsia"/>
          <w:sz w:val="28"/>
        </w:rPr>
        <w:t>指导教师签字：</w:t>
      </w:r>
      <w:r>
        <w:rPr>
          <w:rFonts w:hint="eastAsia"/>
          <w:sz w:val="28"/>
          <w:u w:val="single"/>
        </w:rPr>
        <w:t xml:space="preserve"> </w:t>
      </w:r>
      <w:r>
        <w:rPr>
          <w:sz w:val="28"/>
          <w:u w:val="single"/>
        </w:rPr>
        <w:t xml:space="preserve"> </w:t>
      </w:r>
      <w:r>
        <w:rPr>
          <w:rFonts w:hint="eastAsia"/>
          <w:sz w:val="28"/>
          <w:u w:val="single"/>
        </w:rPr>
        <w:t xml:space="preserve">  </w:t>
      </w:r>
      <w:r>
        <w:rPr>
          <w:rFonts w:hint="eastAsia"/>
          <w:color w:val="FF0000"/>
          <w:sz w:val="24"/>
          <w:u w:val="single"/>
        </w:rPr>
        <w:t>（手签名）</w:t>
      </w:r>
      <w:r>
        <w:rPr>
          <w:rFonts w:hint="eastAsia"/>
          <w:sz w:val="28"/>
          <w:u w:val="single"/>
        </w:rPr>
        <w:t xml:space="preserve">    </w:t>
      </w:r>
      <w:r>
        <w:rPr>
          <w:rFonts w:hint="eastAsia"/>
          <w:sz w:val="28"/>
        </w:rPr>
        <w:t xml:space="preserve">      </w:t>
      </w:r>
      <w:r>
        <w:rPr>
          <w:rFonts w:hint="eastAsia"/>
          <w:sz w:val="28"/>
          <w:u w:val="single"/>
        </w:rPr>
        <w:t xml:space="preserve">      </w:t>
      </w:r>
      <w:r>
        <w:rPr>
          <w:rFonts w:hint="eastAsia"/>
          <w:sz w:val="28"/>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3D485693" w14:textId="77777777" w:rsidR="003A2061" w:rsidRDefault="003A2061">
      <w:pPr>
        <w:jc w:val="right"/>
        <w:rPr>
          <w:rFonts w:ascii="仿宋" w:eastAsia="仿宋" w:hAnsi="仿宋" w:cs="仿宋" w:hint="eastAsia"/>
          <w:sz w:val="16"/>
          <w:szCs w:val="13"/>
        </w:rPr>
        <w:sectPr w:rsidR="00000000">
          <w:pgSz w:w="11906" w:h="16838"/>
          <w:pgMar w:top="1418" w:right="1418" w:bottom="1418" w:left="1701" w:header="851" w:footer="992" w:gutter="0"/>
          <w:cols w:space="720"/>
          <w:docGrid w:type="lines" w:linePitch="312"/>
        </w:sectPr>
      </w:pPr>
      <w:r>
        <w:rPr>
          <w:rFonts w:ascii="仿宋" w:eastAsia="仿宋" w:hAnsi="仿宋" w:cs="仿宋" w:hint="eastAsia"/>
          <w:sz w:val="16"/>
          <w:szCs w:val="13"/>
        </w:rPr>
        <w:t>【本页不得跨页】</w:t>
      </w:r>
    </w:p>
    <w:p>
      <w:pPr>
        <w:spacing w:line="288" w:lineRule="auto" w:before="0" w:after="120"/>
        <w:jc w:val="center"/>
      </w:pPr>
      <w:r>
        <w:rPr>
          <w:rFonts w:ascii="Times New Roman" w:hAnsi="Times New Roman" w:eastAsia="黑体"/>
          <w:b w:val="0"/>
          <w:sz w:val="32"/>
        </w:rPr>
        <w:t>基于网络流量分析的 Web 代理服务器负载分配模型</w:t>
      </w:r>
    </w:p>
    <w:p>
      <w:pPr>
        <w:spacing w:line="288" w:lineRule="auto" w:before="0" w:after="60"/>
        <w:jc w:val="center"/>
      </w:pPr>
      <w:r>
        <w:rPr>
          <w:rFonts w:ascii="Times New Roman" w:hAnsi="Times New Roman" w:eastAsia="宋体"/>
          <w:b w:val="0"/>
          <w:sz w:val="24"/>
        </w:rPr>
        <w:t>B. S. Renuka，G. T. Prafulla Shashikiran</w:t>
      </w:r>
    </w:p>
    <w:p>
      <w:pPr>
        <w:spacing w:line="288" w:lineRule="auto" w:before="0" w:after="120"/>
        <w:jc w:val="center"/>
      </w:pPr>
      <w:r>
        <w:rPr>
          <w:rFonts w:ascii="Times New Roman" w:hAnsi="Times New Roman" w:eastAsia="宋体"/>
          <w:b w:val="0"/>
          <w:sz w:val="24"/>
        </w:rPr>
        <w:t>发表时间：2020 年 3 月 28 日</w:t>
      </w:r>
    </w:p>
    <w:p>
      <w:pPr>
        <w:spacing w:line="288" w:lineRule="auto" w:before="120" w:after="60"/>
        <w:jc w:val="left"/>
      </w:pPr>
      <w:r>
        <w:rPr>
          <w:rFonts w:ascii="Times New Roman" w:hAnsi="Times New Roman" w:eastAsia="黑体"/>
          <w:b w:val="0"/>
          <w:sz w:val="30"/>
        </w:rPr>
        <w:t>摘要</w:t>
      </w:r>
    </w:p>
    <w:p>
      <w:pPr>
        <w:spacing w:line="288" w:lineRule="auto" w:before="0" w:after="0"/>
        <w:ind w:firstLine="480"/>
        <w:jc w:val="both"/>
      </w:pPr>
      <w:r>
        <w:rPr>
          <w:rFonts w:ascii="Times New Roman" w:hAnsi="Times New Roman" w:eastAsia="宋体"/>
          <w:b w:val="0"/>
          <w:sz w:val="24"/>
        </w:rPr>
        <w:t>代理服务器用于分别向提出请求的客户端节点或终端提供信息访问服务。在当前框架下，当大量客户端同时访问 Internet 时，代理服务器由于自身处理能力有限，容易遇到性能瓶颈。由于互联网流量具有突发性，Web 服务器也经常面临过载情况。本文的重点是为 Web 服务器提出有效的负载控制机制。在负载控制中，一个重要问题是尽量减少代理服务器在分配负载并转发到主服务器时所消耗的工作量。本文通过研究服务器与代理服务器之间网络链路上的负载，提出一种用于代理服务器负载均衡的方法。该研究基于 HTTP/HTTPS、TCP 等端口相关的数据包与套接字每秒比特数移动量进行计算。所提出的方法能够通过降低代理服务器负载来提升系统性能。</w:t>
      </w:r>
    </w:p>
    <w:p>
      <w:pPr>
        <w:spacing w:line="288" w:lineRule="auto" w:before="60" w:after="120"/>
        <w:jc w:val="left"/>
      </w:pPr>
      <w:r>
        <w:rPr>
          <w:rFonts w:ascii="Times New Roman" w:hAnsi="Times New Roman" w:eastAsia="宋体"/>
          <w:b w:val="0"/>
          <w:sz w:val="24"/>
        </w:rPr>
        <w:t>关键词：负载均衡；代理服务器；HTTP Web 协议</w:t>
      </w:r>
    </w:p>
    <w:p>
      <w:pPr>
        <w:spacing w:line="288" w:lineRule="auto" w:before="120" w:after="60"/>
        <w:jc w:val="left"/>
      </w:pPr>
      <w:r>
        <w:rPr>
          <w:rFonts w:ascii="Times New Roman" w:hAnsi="Times New Roman" w:eastAsia="黑体"/>
          <w:b w:val="0"/>
          <w:sz w:val="30"/>
        </w:rPr>
        <w:t>1 引言</w:t>
      </w:r>
    </w:p>
    <w:p>
      <w:pPr>
        <w:spacing w:line="288" w:lineRule="auto" w:before="0" w:after="0"/>
        <w:ind w:firstLine="480"/>
        <w:jc w:val="both"/>
      </w:pPr>
      <w:r>
        <w:rPr>
          <w:rFonts w:ascii="Times New Roman" w:hAnsi="Times New Roman" w:eastAsia="宋体"/>
          <w:b w:val="0"/>
          <w:sz w:val="24"/>
        </w:rPr>
        <w:t>负载均衡是将整体负载分配到服务器系统中所有请求节点或客户端的过程，当前相关技术的基本使用方式如图 1 所示。在所有渲染过程和网络问题中，都有必要了解资源利用率和响应时间。云环境中的负载分配依赖于负载均衡算法。系统必须考虑网络通道中的网络流量、数据传输以及资源分配，这也被称为负载分配技术。客户端连接到代理服务器并请求某种服务，例如文件、模块、网页或其他可由另一台服务器提供的资源；代理服务器则对该请求进行评估，以便简化并控制其不可预测性</w:t>
      </w:r>
      <w:r>
        <w:rPr>
          <w:rFonts w:ascii="Times New Roman" w:hAnsi="Times New Roman" w:eastAsia="宋体"/>
          <w:b w:val="0"/>
          <w:sz w:val="24"/>
          <w:vertAlign w:val="superscript"/>
        </w:rPr>
        <w:t>[1]</w:t>
      </w:r>
      <w:r>
        <w:rPr>
          <w:rFonts w:ascii="Times New Roman" w:hAnsi="Times New Roman" w:eastAsia="宋体"/>
          <w:b w:val="0"/>
          <w:sz w:val="24"/>
        </w:rPr>
        <w:t>。</w:t>
      </w:r>
    </w:p>
    <w:p>
      <w:pPr>
        <w:spacing w:line="240" w:lineRule="auto" w:before="120" w:after="40"/>
        <w:jc w:val="center"/>
      </w:pPr>
      <w:r>
        <w:drawing>
          <wp:inline xmlns:a="http://schemas.openxmlformats.org/drawingml/2006/main" xmlns:pic="http://schemas.openxmlformats.org/drawingml/2006/picture">
            <wp:extent cx="4680000" cy="2138854"/>
            <wp:docPr id="1" name="Picture 1"/>
            <wp:cNvGraphicFramePr>
              <a:graphicFrameLocks noChangeAspect="1"/>
            </wp:cNvGraphicFramePr>
            <a:graphic>
              <a:graphicData uri="http://schemas.openxmlformats.org/drawingml/2006/picture">
                <pic:pic>
                  <pic:nvPicPr>
                    <pic:cNvPr id="0" name="fig_01.png"/>
                    <pic:cNvPicPr/>
                  </pic:nvPicPr>
                  <pic:blipFill>
                    <a:blip r:embed="rId11"/>
                    <a:stretch>
                      <a:fillRect/>
                    </a:stretch>
                  </pic:blipFill>
                  <pic:spPr>
                    <a:xfrm>
                      <a:off x="0" y="0"/>
                      <a:ext cx="4680000" cy="2138854"/>
                    </a:xfrm>
                    <a:prstGeom prst="rect"/>
                  </pic:spPr>
                </pic:pic>
              </a:graphicData>
            </a:graphic>
          </wp:inline>
        </w:drawing>
      </w:r>
    </w:p>
    <w:p>
      <w:pPr>
        <w:spacing w:line="240" w:lineRule="auto" w:before="0" w:after="120"/>
        <w:jc w:val="center"/>
      </w:pPr>
      <w:r>
        <w:rPr>
          <w:rFonts w:ascii="Times New Roman" w:hAnsi="Times New Roman" w:eastAsia="宋体"/>
          <w:b w:val="0"/>
          <w:sz w:val="21"/>
        </w:rPr>
        <w:t>图 1 反向代理服务器表示模型</w:t>
      </w:r>
    </w:p>
    <w:p>
      <w:pPr>
        <w:spacing w:line="288" w:lineRule="auto" w:before="0" w:after="0"/>
        <w:ind w:firstLine="480"/>
        <w:jc w:val="both"/>
      </w:pPr>
      <w:r>
        <w:rPr>
          <w:rFonts w:ascii="Times New Roman" w:hAnsi="Times New Roman" w:eastAsia="宋体"/>
          <w:b w:val="0"/>
          <w:sz w:val="24"/>
        </w:rPr>
        <w:t>最优负载分配是启动任何负载分配算法的核心目标，通常包括最大吞吐量、低响应时间和低开销三个主要指标。这三个指标是开发负载分配算法时的主要标准。代理服务器上的负载均衡器在服务器与客户端之间充当接口。负载均衡主要用于简化访问过程：当客户端请求某个网页时，系统通过某种算法将请求路由到某台服务器，因此它相当于客户端与服务器之间的单一接触点。通过 TCP 多路复用实现的抽象、故障切换、响应能力、错误报告、无缝恢复、可扩展性和可复用性，是该技术的主要优势。</w:t>
      </w:r>
    </w:p>
    <w:p>
      <w:pPr>
        <w:spacing w:line="288" w:lineRule="auto" w:before="0" w:after="0"/>
        <w:ind w:firstLine="480"/>
        <w:jc w:val="both"/>
      </w:pPr>
      <w:r>
        <w:rPr>
          <w:rFonts w:ascii="Times New Roman" w:hAnsi="Times New Roman" w:eastAsia="宋体"/>
          <w:b w:val="0"/>
          <w:sz w:val="24"/>
        </w:rPr>
        <w:t>一般而言，基于自治代理的自组织代理架构，可以类比为一个简单的市场买卖环境。真实买方相当于客户端，它会为自己的每一次请求选择相同商店，类似于浏览器中预先定义的代理；而市场扩展完全依赖卖方，即自治代理。每个商店都具有类似缓存的有限本地库存，其目标是扩大客户数量。良好的服务可以通过两种方式提供：一种是本地库存中已经拥有所请求的对象，另一种是知道供应该对象的最合适途径。此外，每个代理都会通过专注于某一类对象，也就是聚类，来吸引更多请求或其他代理。这一选择通常取决于商店当前的专业化方向和传入请求模式。上述动态市场中的买卖关系，与分布式自治代理系统中提高代理请求命中率的目标具有较强相似性。因此，前提是需要有一种有效方法来观察并分类传入请求。就哈希算法而言，简单的模运算可以在请求 URL 上定义相似性；但是，这种简单安排仍然不够充分</w:t>
      </w:r>
      <w:r>
        <w:rPr>
          <w:rFonts w:ascii="Times New Roman" w:hAnsi="Times New Roman" w:eastAsia="宋体"/>
          <w:b w:val="0"/>
          <w:sz w:val="24"/>
          <w:vertAlign w:val="superscript"/>
        </w:rPr>
        <w:t>[2]</w:t>
      </w:r>
      <w:r>
        <w:rPr>
          <w:rFonts w:ascii="Times New Roman" w:hAnsi="Times New Roman" w:eastAsia="宋体"/>
          <w:b w:val="0"/>
          <w:sz w:val="24"/>
        </w:rPr>
        <w:t>。</w:t>
      </w:r>
    </w:p>
    <w:p>
      <w:pPr>
        <w:spacing w:line="288" w:lineRule="auto" w:before="0" w:after="0"/>
        <w:ind w:firstLine="480"/>
        <w:jc w:val="both"/>
      </w:pPr>
      <w:r>
        <w:rPr>
          <w:rFonts w:ascii="Times New Roman" w:hAnsi="Times New Roman" w:eastAsia="宋体"/>
          <w:b w:val="0"/>
          <w:sz w:val="24"/>
        </w:rPr>
        <w:t>由协作代理系统在本地完成请求解析时，平均命中率越高，说明系统越能够把最需要的 Web 对象迁移到更接近客户端的位置。平均跳数表示解析一个请求所需要经过的跳转次数；平均跳数越低，请求解析耗时越短。在客户端与代理、代理与代理、代理与服务器之间转发请求的动作，均构成一次跳转。</w:t>
      </w:r>
    </w:p>
    <w:p>
      <w:pPr>
        <w:spacing w:line="288" w:lineRule="auto" w:before="0" w:after="0"/>
        <w:ind w:firstLine="480"/>
        <w:jc w:val="both"/>
      </w:pPr>
      <w:r>
        <w:rPr>
          <w:rFonts w:ascii="Times New Roman" w:hAnsi="Times New Roman" w:eastAsia="宋体"/>
          <w:b w:val="0"/>
          <w:sz w:val="24"/>
        </w:rPr>
        <w:t>因此，本文的目标是通过分析代理服务器周边网络通道的网络流量，减少负载分配算法的运行时间，从而降低代理服务器负载。本文采用反向代理服务器方法，即传入请求由中间代理处理，代理代表客户与服务器上的服务进行交互。反向代理最常见的用途，是为 Web 应用和 API 提供负载均衡。Web 代理服务器服务中的“每秒请求数”计数器，表示代理服务器每秒代表客户端评估的请求数量。该计数器体现了代理服务器正在承担的工作量，其数值会根据客户端请求类型的不同而显著变化。Web Security and Acceleration Server 在代理服务器方面也具有多种基础功能</w:t>
      </w:r>
      <w:r>
        <w:rPr>
          <w:rFonts w:ascii="Times New Roman" w:hAnsi="Times New Roman" w:eastAsia="宋体"/>
          <w:b w:val="0"/>
          <w:sz w:val="24"/>
          <w:vertAlign w:val="superscript"/>
        </w:rPr>
        <w:t>[3]</w:t>
      </w:r>
      <w:r>
        <w:rPr>
          <w:rFonts w:ascii="Times New Roman" w:hAnsi="Times New Roman" w:eastAsia="宋体"/>
          <w:b w:val="0"/>
          <w:sz w:val="24"/>
        </w:rPr>
        <w:t>。</w:t>
      </w:r>
    </w:p>
    <w:p>
      <w:pPr>
        <w:spacing w:line="288" w:lineRule="auto" w:before="120" w:after="60"/>
        <w:jc w:val="left"/>
      </w:pPr>
      <w:r>
        <w:rPr>
          <w:rFonts w:ascii="Times New Roman" w:hAnsi="Times New Roman" w:eastAsia="黑体"/>
          <w:b w:val="0"/>
          <w:sz w:val="30"/>
        </w:rPr>
        <w:t>2 负载分配算法中使用的技术</w:t>
      </w:r>
    </w:p>
    <w:p>
      <w:pPr>
        <w:spacing w:line="288" w:lineRule="auto" w:before="0" w:after="0"/>
        <w:ind w:firstLine="480"/>
        <w:jc w:val="both"/>
      </w:pPr>
      <w:r>
        <w:rPr>
          <w:rFonts w:ascii="Times New Roman" w:hAnsi="Times New Roman" w:eastAsia="宋体"/>
          <w:b w:val="0"/>
          <w:sz w:val="24"/>
        </w:rPr>
        <w:t>在随机分配、最少计数等多种算法技术中，轮询算法是许多行业经常采用的方法。轮询算法的逻辑是：对于 k 台服务器和 i 个请求，按照 i mod k 的顺序工作；因为对于所有 k+1 个请求，请求又会回到第一台服务器。采用该方法时需要重点考虑的改进问题，是如何处理不同延迟，因为延迟差异会实际影响系统的响应退化。为解决该问题，有研究利用对数正态分布降低延迟，同时指出在推导对数正态分布时，延迟不能为零</w:t>
      </w:r>
      <w:r>
        <w:rPr>
          <w:rFonts w:ascii="Times New Roman" w:hAnsi="Times New Roman" w:eastAsia="宋体"/>
          <w:b w:val="0"/>
          <w:sz w:val="24"/>
          <w:vertAlign w:val="superscript"/>
        </w:rPr>
        <w:t>[4]</w:t>
      </w:r>
      <w:r>
        <w:rPr>
          <w:rFonts w:ascii="Times New Roman" w:hAnsi="Times New Roman" w:eastAsia="宋体"/>
          <w:b w:val="0"/>
          <w:sz w:val="24"/>
        </w:rPr>
        <w:t>。</w:t>
      </w:r>
    </w:p>
    <w:p>
      <w:pPr>
        <w:spacing w:line="288" w:lineRule="auto" w:before="0" w:after="0"/>
        <w:ind w:firstLine="480"/>
        <w:jc w:val="both"/>
      </w:pPr>
      <w:r>
        <w:rPr>
          <w:rFonts w:ascii="Times New Roman" w:hAnsi="Times New Roman" w:eastAsia="宋体"/>
          <w:b w:val="0"/>
          <w:sz w:val="24"/>
        </w:rPr>
        <w:t>TCP 套接字上的 HTTP/HTTPS 请求是代理服务器与主服务器之间常见的通信方式。因此，这类通信通常通过 TCP 套接字承载 HTTP/HTTPS 请求完成。通过研究 HTTP 请求头中内容大小，并分析每秒比特数（bps）的数据量，就可以使用并评估该通信链路。本文提出的方法扩展了这一部分，并将其作为主要依据。</w:t>
      </w:r>
    </w:p>
    <w:p>
      <w:pPr>
        <w:spacing w:line="288" w:lineRule="auto" w:before="120" w:after="60"/>
        <w:jc w:val="left"/>
      </w:pPr>
      <w:r>
        <w:rPr>
          <w:rFonts w:ascii="Times New Roman" w:hAnsi="Times New Roman" w:eastAsia="黑体"/>
          <w:b w:val="0"/>
          <w:sz w:val="30"/>
        </w:rPr>
        <w:t>3 相关工作</w:t>
      </w:r>
    </w:p>
    <w:p>
      <w:pPr>
        <w:spacing w:line="288" w:lineRule="auto" w:before="0" w:after="0"/>
        <w:ind w:firstLine="480"/>
        <w:jc w:val="both"/>
      </w:pPr>
      <w:r>
        <w:rPr>
          <w:rFonts w:ascii="Times New Roman" w:hAnsi="Times New Roman" w:eastAsia="宋体"/>
          <w:b w:val="0"/>
          <w:sz w:val="24"/>
        </w:rPr>
        <w:t>WebSocket 握手在会话建立阶段利用了 HTTP 协议</w:t>
      </w:r>
      <w:r>
        <w:rPr>
          <w:rFonts w:ascii="Times New Roman" w:hAnsi="Times New Roman" w:eastAsia="宋体"/>
          <w:b w:val="0"/>
          <w:sz w:val="24"/>
          <w:vertAlign w:val="superscript"/>
        </w:rPr>
        <w:t>[5]</w:t>
      </w:r>
      <w:r>
        <w:rPr>
          <w:rFonts w:ascii="Times New Roman" w:hAnsi="Times New Roman" w:eastAsia="宋体"/>
          <w:b w:val="0"/>
          <w:sz w:val="24"/>
        </w:rPr>
        <w:t>。WebSocket 升级请求是一个常规 HTTP GET 请求，会把会话端点指定为请求 URI 的组成部分，如图 2 所示</w:t>
      </w:r>
      <w:r>
        <w:rPr>
          <w:rFonts w:ascii="Times New Roman" w:hAnsi="Times New Roman" w:eastAsia="宋体"/>
          <w:b w:val="0"/>
          <w:sz w:val="24"/>
          <w:vertAlign w:val="superscript"/>
        </w:rPr>
        <w:t>[6]</w:t>
      </w:r>
      <w:r>
        <w:rPr>
          <w:rFonts w:ascii="Times New Roman" w:hAnsi="Times New Roman" w:eastAsia="宋体"/>
          <w:b w:val="0"/>
          <w:sz w:val="24"/>
        </w:rPr>
        <w:t>。</w:t>
      </w:r>
    </w:p>
    <w:p>
      <w:pPr>
        <w:spacing w:line="240" w:lineRule="auto" w:before="120" w:after="40"/>
        <w:jc w:val="center"/>
      </w:pPr>
      <w:r>
        <w:drawing>
          <wp:inline xmlns:a="http://schemas.openxmlformats.org/drawingml/2006/main" xmlns:pic="http://schemas.openxmlformats.org/drawingml/2006/picture">
            <wp:extent cx="3420000" cy="2993725"/>
            <wp:docPr id="2" name="Picture 2"/>
            <wp:cNvGraphicFramePr>
              <a:graphicFrameLocks noChangeAspect="1"/>
            </wp:cNvGraphicFramePr>
            <a:graphic>
              <a:graphicData uri="http://schemas.openxmlformats.org/drawingml/2006/picture">
                <pic:pic>
                  <pic:nvPicPr>
                    <pic:cNvPr id="0" name="fig_02.png"/>
                    <pic:cNvPicPr/>
                  </pic:nvPicPr>
                  <pic:blipFill>
                    <a:blip r:embed="rId12"/>
                    <a:stretch>
                      <a:fillRect/>
                    </a:stretch>
                  </pic:blipFill>
                  <pic:spPr>
                    <a:xfrm>
                      <a:off x="0" y="0"/>
                      <a:ext cx="3420000" cy="2993725"/>
                    </a:xfrm>
                    <a:prstGeom prst="rect"/>
                  </pic:spPr>
                </pic:pic>
              </a:graphicData>
            </a:graphic>
          </wp:inline>
        </w:drawing>
      </w:r>
    </w:p>
    <w:p>
      <w:pPr>
        <w:spacing w:line="240" w:lineRule="auto" w:before="0" w:after="120"/>
        <w:jc w:val="center"/>
      </w:pPr>
      <w:r>
        <w:rPr>
          <w:rFonts w:ascii="Times New Roman" w:hAnsi="Times New Roman" w:eastAsia="宋体"/>
          <w:b w:val="0"/>
          <w:sz w:val="21"/>
        </w:rPr>
        <w:t>图 2 TCP 上的 WebSocket 时序图</w:t>
      </w:r>
    </w:p>
    <w:p>
      <w:pPr>
        <w:spacing w:line="288" w:lineRule="auto" w:before="0" w:after="0"/>
        <w:ind w:firstLine="480"/>
        <w:jc w:val="both"/>
      </w:pPr>
      <w:r>
        <w:rPr>
          <w:rFonts w:ascii="Times New Roman" w:hAnsi="Times New Roman" w:eastAsia="宋体"/>
          <w:b w:val="0"/>
          <w:sz w:val="24"/>
        </w:rPr>
        <w:t>在长时间运行的会话中，初始握手带来的影响会减弱，唯一可以观察到的流量开销来自 WebSocket 数据帧。当给定数量的载荷数据使用普通 TCP 协议传输时，这些数据会直接嵌入 TCP 载荷中。然而，当数据以 WebSocket 帧传输时，TCP 载荷同时包含实际载荷数据和 WebSocket 帧头</w:t>
      </w:r>
      <w:r>
        <w:rPr>
          <w:rFonts w:ascii="Times New Roman" w:hAnsi="Times New Roman" w:eastAsia="宋体"/>
          <w:b w:val="0"/>
          <w:sz w:val="24"/>
          <w:vertAlign w:val="superscript"/>
        </w:rPr>
        <w:t>[5]</w:t>
      </w:r>
      <w:r>
        <w:rPr>
          <w:rFonts w:ascii="Times New Roman" w:hAnsi="Times New Roman" w:eastAsia="宋体"/>
          <w:b w:val="0"/>
          <w:sz w:val="24"/>
        </w:rPr>
        <w:t>。每台代理服务器上的工作负载可以根据日志记录数量估算。为了度量本文工作的性能，相关研究在真实环境中进行了一组实验，并使用从大学代理日志获得的真实流量模拟数据集</w:t>
      </w:r>
      <w:r>
        <w:rPr>
          <w:rFonts w:ascii="Times New Roman" w:hAnsi="Times New Roman" w:eastAsia="宋体"/>
          <w:b w:val="0"/>
          <w:sz w:val="24"/>
          <w:vertAlign w:val="superscript"/>
        </w:rPr>
        <w:t>[7]</w:t>
      </w:r>
      <w:r>
        <w:rPr>
          <w:rFonts w:ascii="Times New Roman" w:hAnsi="Times New Roman" w:eastAsia="宋体"/>
          <w:b w:val="0"/>
          <w:sz w:val="24"/>
        </w:rPr>
        <w:t>。此外，多个行业中还使用了许多负载均衡技术，例如故障转移负载均衡、最优负载均衡、比例负载均衡、饱和负载均衡和搜索过滤负载均衡</w:t>
      </w:r>
      <w:r>
        <w:rPr>
          <w:rFonts w:ascii="Times New Roman" w:hAnsi="Times New Roman" w:eastAsia="宋体"/>
          <w:b w:val="0"/>
          <w:sz w:val="24"/>
          <w:vertAlign w:val="superscript"/>
        </w:rPr>
        <w:t>[8]</w:t>
      </w:r>
      <w:r>
        <w:rPr>
          <w:rFonts w:ascii="Times New Roman" w:hAnsi="Times New Roman" w:eastAsia="宋体"/>
          <w:b w:val="0"/>
          <w:sz w:val="24"/>
        </w:rPr>
        <w:t>。</w:t>
      </w:r>
    </w:p>
    <w:p>
      <w:pPr>
        <w:spacing w:line="288" w:lineRule="auto" w:before="0" w:after="0"/>
        <w:ind w:firstLine="480"/>
        <w:jc w:val="both"/>
      </w:pPr>
      <w:r>
        <w:rPr>
          <w:rFonts w:ascii="Times New Roman" w:hAnsi="Times New Roman" w:eastAsia="宋体"/>
          <w:b w:val="0"/>
          <w:sz w:val="24"/>
        </w:rPr>
        <w:t>当普通 HTTP 请求通过 HTTP 代理发起时，后续多个阶段都会受到影响。图 3 展示了客户端对 www.abc.com 发起代理请求时的通信示例通道。连接时间是指连接到代理服务器所需的时间；下一步是客户端向代理发送 HTTP 请求。例如，DNS 时间用于解析代理主机名，而不是解析 www.abc.com；随后代理需要将 www.abc.com 解析为 IP 地址，打开到该 IP 地址的连接，并把客户端 HTTP 请求转发给 Web 服务器。代理随后在接收到数据时把信息转发回客户端。通常，等待时间增加意味着 Web 服务器没有足够资源快速服务请求。遗憾的是，在使用代理时，很难判断此类问题究竟来自 Web 服务器资源不足、较慢的 DNS 服务提供商，还是有损网络导致连接时间增加</w:t>
      </w:r>
      <w:r>
        <w:rPr>
          <w:rFonts w:ascii="Times New Roman" w:hAnsi="Times New Roman" w:eastAsia="宋体"/>
          <w:b w:val="0"/>
          <w:sz w:val="24"/>
          <w:vertAlign w:val="superscript"/>
        </w:rPr>
        <w:t>[3]</w:t>
      </w:r>
      <w:r>
        <w:rPr>
          <w:rFonts w:ascii="Times New Roman" w:hAnsi="Times New Roman" w:eastAsia="宋体"/>
          <w:b w:val="0"/>
          <w:sz w:val="24"/>
        </w:rPr>
        <w:t>。从客户端角度看，原始 DNS 时间和连接时间已经被合并进等待时间，因此不再可能独立测量这些指标。</w:t>
      </w:r>
    </w:p>
    <w:p>
      <w:pPr>
        <w:spacing w:line="240" w:lineRule="auto" w:before="120" w:after="40"/>
        <w:jc w:val="center"/>
      </w:pPr>
      <w:r>
        <w:drawing>
          <wp:inline xmlns:a="http://schemas.openxmlformats.org/drawingml/2006/main" xmlns:pic="http://schemas.openxmlformats.org/drawingml/2006/picture">
            <wp:extent cx="3888000" cy="3014730"/>
            <wp:docPr id="3" name="Picture 3"/>
            <wp:cNvGraphicFramePr>
              <a:graphicFrameLocks noChangeAspect="1"/>
            </wp:cNvGraphicFramePr>
            <a:graphic>
              <a:graphicData uri="http://schemas.openxmlformats.org/drawingml/2006/picture">
                <pic:pic>
                  <pic:nvPicPr>
                    <pic:cNvPr id="0" name="fig_03.png"/>
                    <pic:cNvPicPr/>
                  </pic:nvPicPr>
                  <pic:blipFill>
                    <a:blip r:embed="rId13"/>
                    <a:stretch>
                      <a:fillRect/>
                    </a:stretch>
                  </pic:blipFill>
                  <pic:spPr>
                    <a:xfrm>
                      <a:off x="0" y="0"/>
                      <a:ext cx="3888000" cy="3014730"/>
                    </a:xfrm>
                    <a:prstGeom prst="rect"/>
                  </pic:spPr>
                </pic:pic>
              </a:graphicData>
            </a:graphic>
          </wp:inline>
        </w:drawing>
      </w:r>
    </w:p>
    <w:p>
      <w:pPr>
        <w:spacing w:line="240" w:lineRule="auto" w:before="0" w:after="120"/>
        <w:jc w:val="center"/>
      </w:pPr>
      <w:r>
        <w:rPr>
          <w:rFonts w:ascii="Times New Roman" w:hAnsi="Times New Roman" w:eastAsia="宋体"/>
          <w:b w:val="0"/>
          <w:sz w:val="21"/>
        </w:rPr>
        <w:t>图 3 代理 HTTP 请求分解</w:t>
      </w:r>
    </w:p>
    <w:p>
      <w:pPr>
        <w:spacing w:line="288" w:lineRule="auto" w:before="0" w:after="0"/>
        <w:ind w:firstLine="480"/>
        <w:jc w:val="both"/>
      </w:pPr>
      <w:r>
        <w:rPr>
          <w:rFonts w:ascii="Times New Roman" w:hAnsi="Times New Roman" w:eastAsia="宋体"/>
          <w:b w:val="0"/>
          <w:sz w:val="24"/>
        </w:rPr>
        <w:t>分布式方法依赖于类似 Cache Array Routing Protocol（CARP）的哈希计算。请求页面通过哈希框架映射到某个代理中，该页面要么由本地缓存解析，要么向源服务器请求。基于哈希的分区通常被视为存储网页的理想方法，因为网页位置是预先定义的；但其主要缺点在于可索引性和适应性较差</w:t>
      </w:r>
      <w:r>
        <w:rPr>
          <w:rFonts w:ascii="Times New Roman" w:hAnsi="Times New Roman" w:eastAsia="宋体"/>
          <w:b w:val="0"/>
          <w:sz w:val="24"/>
          <w:vertAlign w:val="superscript"/>
        </w:rPr>
        <w:t>[9]</w:t>
      </w:r>
      <w:r>
        <w:rPr>
          <w:rFonts w:ascii="Times New Roman" w:hAnsi="Times New Roman" w:eastAsia="宋体"/>
          <w:b w:val="0"/>
          <w:sz w:val="24"/>
        </w:rPr>
        <w:t>。在异构计算框架中，系统在 I/O、CPU、内存等不同负载下的性能，依赖 IOCM 动态负载均衡计算。集群框架中存在多种独特的负载均衡策略，其效率取决于连接各节点的通信拓扑。相关结果表明，该方法可有效处理 I/O 密集型、CPU 密集型和内存密集型任务</w:t>
      </w:r>
      <w:r>
        <w:rPr>
          <w:rFonts w:ascii="Times New Roman" w:hAnsi="Times New Roman" w:eastAsia="宋体"/>
          <w:b w:val="0"/>
          <w:sz w:val="24"/>
          <w:vertAlign w:val="superscript"/>
        </w:rPr>
        <w:t>[10]</w:t>
      </w:r>
      <w:r>
        <w:rPr>
          <w:rFonts w:ascii="Times New Roman" w:hAnsi="Times New Roman" w:eastAsia="宋体"/>
          <w:b w:val="0"/>
          <w:sz w:val="24"/>
        </w:rPr>
        <w:t>。在 Linux 平台上运行的 Squid 代理，在操作系统环境方面比 Windows 平台表现更好。通过 Mozilla Firefox 访问 Linux 服务器时，其平均响应时间分别为 21.9、29.9、20.9、48.2、28.3 秒；使用 Internet Explorer 时分别为 28.9、25.3、25.4、32.9、24.5 秒</w:t>
      </w:r>
      <w:r>
        <w:rPr>
          <w:rFonts w:ascii="Times New Roman" w:hAnsi="Times New Roman" w:eastAsia="宋体"/>
          <w:b w:val="0"/>
          <w:sz w:val="24"/>
          <w:vertAlign w:val="superscript"/>
        </w:rPr>
        <w:t>[11]</w:t>
      </w:r>
      <w:r>
        <w:rPr>
          <w:rFonts w:ascii="Times New Roman" w:hAnsi="Times New Roman" w:eastAsia="宋体"/>
          <w:b w:val="0"/>
          <w:sz w:val="24"/>
        </w:rPr>
        <w:t>。</w:t>
      </w:r>
    </w:p>
    <w:p>
      <w:pPr>
        <w:spacing w:line="288" w:lineRule="auto" w:before="0" w:after="0"/>
        <w:ind w:firstLine="480"/>
        <w:jc w:val="both"/>
      </w:pPr>
      <w:r>
        <w:rPr>
          <w:rFonts w:ascii="Times New Roman" w:hAnsi="Times New Roman" w:eastAsia="宋体"/>
          <w:b w:val="0"/>
          <w:sz w:val="24"/>
        </w:rPr>
        <w:t>现有协作代理系统可以组织为层次式和分布式两类。层次式方法基于 Internet Caching Protocol（ICP）和固定层次结构。当某个代理服务器的本地缓存中没有目标页面时，会首先向同一层级的相邻代理请求。如果请求无法在本地解析，则查询层次结构中的根代理，并持续向上查询，直到找到请求对象。这种方式通常会在主根服务器处形成瓶颈</w:t>
      </w:r>
      <w:r>
        <w:rPr>
          <w:rFonts w:ascii="Times New Roman" w:hAnsi="Times New Roman" w:eastAsia="宋体"/>
          <w:b w:val="0"/>
          <w:sz w:val="24"/>
          <w:vertAlign w:val="superscript"/>
        </w:rPr>
        <w:t>[12]</w:t>
      </w:r>
      <w:r>
        <w:rPr>
          <w:rFonts w:ascii="Times New Roman" w:hAnsi="Times New Roman" w:eastAsia="宋体"/>
          <w:b w:val="0"/>
          <w:sz w:val="24"/>
        </w:rPr>
        <w:t>。TCP 客户端只需确保套接字能够打开；也可以配置 HTTP 客户端向后端服务提交有效 HTTP 请求，并定义 HTTP GET、PUT、POST 或 DELETE 操作。HTTP 监控调用的响应必须与配置设置相匹配。</w:t>
      </w:r>
    </w:p>
    <w:p>
      <w:pPr>
        <w:spacing w:line="288" w:lineRule="auto" w:before="120" w:after="60"/>
        <w:jc w:val="left"/>
      </w:pPr>
      <w:r>
        <w:rPr>
          <w:rFonts w:ascii="Times New Roman" w:hAnsi="Times New Roman" w:eastAsia="黑体"/>
          <w:b w:val="0"/>
          <w:sz w:val="30"/>
        </w:rPr>
        <w:t>4 提出的方法</w:t>
      </w:r>
    </w:p>
    <w:p>
      <w:pPr>
        <w:spacing w:line="288" w:lineRule="auto" w:before="0" w:after="0"/>
        <w:ind w:firstLine="480"/>
        <w:jc w:val="both"/>
      </w:pPr>
      <w:r>
        <w:rPr>
          <w:rFonts w:ascii="Times New Roman" w:hAnsi="Times New Roman" w:eastAsia="宋体"/>
          <w:b w:val="0"/>
          <w:sz w:val="24"/>
        </w:rPr>
        <w:t>本文方法的核心，是降低代理服务器上的负载。这里的负载，是指轮询算法以及其他始终运行在代理服务器上的任务调度算法所造成的实际算法开销。</w:t>
      </w:r>
    </w:p>
    <w:p>
      <w:pPr>
        <w:spacing w:line="288" w:lineRule="auto" w:before="0" w:after="0"/>
        <w:ind w:firstLine="480"/>
        <w:jc w:val="both"/>
      </w:pPr>
      <w:r>
        <w:rPr>
          <w:rFonts w:ascii="Times New Roman" w:hAnsi="Times New Roman" w:eastAsia="宋体"/>
          <w:b w:val="0"/>
          <w:sz w:val="24"/>
        </w:rPr>
        <w:t>如图 4 所示，多个节点连接到多个代理服务器。每个客户端请求的信息各不相同；如果所请求的信息不在代理服务器缓存中，则代理服务器与核心服务器之间的通信会发挥作用。本文提出的方法正是针对这一部分。</w:t>
      </w:r>
    </w:p>
    <w:p>
      <w:pPr>
        <w:spacing w:line="240" w:lineRule="auto" w:before="120" w:after="40"/>
        <w:jc w:val="center"/>
      </w:pPr>
      <w:r>
        <w:drawing>
          <wp:inline xmlns:a="http://schemas.openxmlformats.org/drawingml/2006/main" xmlns:pic="http://schemas.openxmlformats.org/drawingml/2006/picture">
            <wp:extent cx="4968000" cy="3717957"/>
            <wp:docPr id="4" name="Picture 4"/>
            <wp:cNvGraphicFramePr>
              <a:graphicFrameLocks noChangeAspect="1"/>
            </wp:cNvGraphicFramePr>
            <a:graphic>
              <a:graphicData uri="http://schemas.openxmlformats.org/drawingml/2006/picture">
                <pic:pic>
                  <pic:nvPicPr>
                    <pic:cNvPr id="0" name="fig_04.png"/>
                    <pic:cNvPicPr/>
                  </pic:nvPicPr>
                  <pic:blipFill>
                    <a:blip r:embed="rId14"/>
                    <a:stretch>
                      <a:fillRect/>
                    </a:stretch>
                  </pic:blipFill>
                  <pic:spPr>
                    <a:xfrm>
                      <a:off x="0" y="0"/>
                      <a:ext cx="4968000" cy="3717957"/>
                    </a:xfrm>
                    <a:prstGeom prst="rect"/>
                  </pic:spPr>
                </pic:pic>
              </a:graphicData>
            </a:graphic>
          </wp:inline>
        </w:drawing>
      </w:r>
    </w:p>
    <w:p>
      <w:pPr>
        <w:spacing w:line="240" w:lineRule="auto" w:before="0" w:after="120"/>
        <w:jc w:val="center"/>
      </w:pPr>
      <w:r>
        <w:rPr>
          <w:rFonts w:ascii="Times New Roman" w:hAnsi="Times New Roman" w:eastAsia="宋体"/>
          <w:b w:val="0"/>
          <w:sz w:val="21"/>
        </w:rPr>
        <w:t>图 4 WebSocket 会话中的网络数据包结构</w:t>
      </w:r>
    </w:p>
    <w:p>
      <w:pPr>
        <w:spacing w:line="288" w:lineRule="auto" w:before="0" w:after="0"/>
        <w:ind w:firstLine="480"/>
        <w:jc w:val="both"/>
      </w:pPr>
      <w:r>
        <w:rPr>
          <w:rFonts w:ascii="Times New Roman" w:hAnsi="Times New Roman" w:eastAsia="宋体"/>
          <w:b w:val="0"/>
          <w:sz w:val="24"/>
        </w:rPr>
        <w:t>根据前文讨论的 m 个球和 n 个桶问题，并将其应用到本文场景中，可以得到 m 次命中分布在 n 台服务器上的概率。设有 m 个客户端和 n 台服务器。考虑以下推导，令 Y 表示服务器数量，X 表示客户端数量。</w:t>
      </w:r>
    </w:p>
    <w:p>
      <w:pPr>
        <w:spacing w:line="288" w:lineRule="auto" w:before="60" w:after="60"/>
        <w:jc w:val="center"/>
      </w:pPr>
      <w:r>
        <w:rPr>
          <w:rFonts w:ascii="Times New Roman" w:hAnsi="Times New Roman" w:eastAsia="宋体"/>
          <w:b w:val="0"/>
          <w:sz w:val="24"/>
        </w:rPr>
        <w:t>若服务器处于低负载服务状态，则 Xi = 1；否则 Xi = 0，∀i。</w:t>
      </w:r>
    </w:p>
    <w:p>
      <w:pPr>
        <w:spacing w:line="288" w:lineRule="auto" w:before="0" w:after="0"/>
        <w:ind w:firstLine="480"/>
        <w:jc w:val="both"/>
      </w:pPr>
      <w:r>
        <w:rPr>
          <w:rFonts w:ascii="Times New Roman" w:hAnsi="Times New Roman" w:eastAsia="宋体"/>
          <w:b w:val="0"/>
          <w:sz w:val="24"/>
        </w:rPr>
        <w:t>客户端请求命中代理服务器的情况是未知的。对两种可能条件分别取 E(x)，可以得到如下形式。</w:t>
      </w:r>
    </w:p>
    <w:p>
      <w:pPr>
        <w:spacing w:line="288" w:lineRule="auto" w:before="60" w:after="60"/>
        <w:jc w:val="center"/>
      </w:pPr>
      <w:r>
        <w:rPr>
          <w:rFonts w:ascii="Times New Roman" w:hAnsi="Times New Roman" w:eastAsia="宋体"/>
          <w:b w:val="0"/>
          <w:sz w:val="24"/>
        </w:rPr>
        <w:t>E(x) = E[∑Xi] = n(1 - 1/n)^m</w:t>
      </w:r>
    </w:p>
    <w:p>
      <w:pPr>
        <w:spacing w:line="288" w:lineRule="auto" w:before="60" w:after="60"/>
        <w:jc w:val="center"/>
      </w:pPr>
      <w:r>
        <w:rPr>
          <w:rFonts w:ascii="Times New Roman" w:hAnsi="Times New Roman" w:eastAsia="宋体"/>
          <w:b w:val="0"/>
          <w:sz w:val="24"/>
        </w:rPr>
        <w:t>若 n = m，则 E[X] = n(1 - 1/n)^n</w:t>
      </w:r>
    </w:p>
    <w:p>
      <w:pPr>
        <w:spacing w:line="288" w:lineRule="auto" w:before="0" w:after="0"/>
        <w:ind w:firstLine="480"/>
        <w:jc w:val="both"/>
      </w:pPr>
      <w:r>
        <w:rPr>
          <w:rFonts w:ascii="Times New Roman" w:hAnsi="Times New Roman" w:eastAsia="宋体"/>
          <w:b w:val="0"/>
          <w:sz w:val="24"/>
        </w:rPr>
        <w:t>上述公式来自对式（1）中两种情况分别取 X 的概率函数。同时，还需要关注 (1 - 1/n) 的取值，使其不会随着 m 的增加而不合理地下降。当负载分配算法为随机化算法，且客户端命中代理服务器或代理服务器命中核心服务器时，该公式适用于此类情况。</w:t>
      </w:r>
    </w:p>
    <w:p>
      <w:pPr>
        <w:spacing w:line="240" w:lineRule="auto" w:before="120" w:after="40"/>
        <w:jc w:val="center"/>
      </w:pPr>
      <w:r>
        <w:drawing>
          <wp:inline xmlns:a="http://schemas.openxmlformats.org/drawingml/2006/main" xmlns:pic="http://schemas.openxmlformats.org/drawingml/2006/picture">
            <wp:extent cx="4860000" cy="3533728"/>
            <wp:docPr id="5" name="Picture 5"/>
            <wp:cNvGraphicFramePr>
              <a:graphicFrameLocks noChangeAspect="1"/>
            </wp:cNvGraphicFramePr>
            <a:graphic>
              <a:graphicData uri="http://schemas.openxmlformats.org/drawingml/2006/picture">
                <pic:pic>
                  <pic:nvPicPr>
                    <pic:cNvPr id="0" name="fig_05.png"/>
                    <pic:cNvPicPr/>
                  </pic:nvPicPr>
                  <pic:blipFill>
                    <a:blip r:embed="rId15"/>
                    <a:stretch>
                      <a:fillRect/>
                    </a:stretch>
                  </pic:blipFill>
                  <pic:spPr>
                    <a:xfrm>
                      <a:off x="0" y="0"/>
                      <a:ext cx="4860000" cy="3533728"/>
                    </a:xfrm>
                    <a:prstGeom prst="rect"/>
                  </pic:spPr>
                </pic:pic>
              </a:graphicData>
            </a:graphic>
          </wp:inline>
        </w:drawing>
      </w:r>
    </w:p>
    <w:p>
      <w:pPr>
        <w:spacing w:line="240" w:lineRule="auto" w:before="0" w:after="120"/>
        <w:jc w:val="center"/>
      </w:pPr>
      <w:r>
        <w:rPr>
          <w:rFonts w:ascii="Times New Roman" w:hAnsi="Times New Roman" w:eastAsia="宋体"/>
          <w:b w:val="0"/>
          <w:sz w:val="21"/>
        </w:rPr>
        <w:t>图 5 各节点间工作负载分配流程</w:t>
      </w:r>
    </w:p>
    <w:p>
      <w:pPr>
        <w:spacing w:line="288" w:lineRule="auto" w:before="80" w:after="40"/>
        <w:jc w:val="left"/>
      </w:pPr>
      <w:r>
        <w:rPr>
          <w:rFonts w:ascii="Times New Roman" w:hAnsi="Times New Roman" w:eastAsia="黑体"/>
          <w:b w:val="0"/>
          <w:sz w:val="28"/>
        </w:rPr>
        <w:t>4.1 代理服务器与主服务器之间的通信</w:t>
      </w:r>
    </w:p>
    <w:p>
      <w:pPr>
        <w:spacing w:line="288" w:lineRule="auto" w:before="0" w:after="0"/>
        <w:ind w:firstLine="480"/>
        <w:jc w:val="both"/>
      </w:pPr>
      <w:r>
        <w:rPr>
          <w:rFonts w:ascii="Times New Roman" w:hAnsi="Times New Roman" w:eastAsia="宋体"/>
          <w:b w:val="0"/>
          <w:sz w:val="24"/>
        </w:rPr>
        <w:t>本小节讨论主服务器与代理服务器之间的网络通信。当请求到达代理服务器后，如果请求的数据，例如来自节点 1 的数据，不能由代理服务器自身解析，则该请求会通过 TCP/IP HTTP 套接字转发到主服务器。在内部计算中，通过检查 HTTP 头部的载荷长度，可以得到经由 TCP/IP 传输的套接字准确大小。通过测量主服务器与特定代理服务器之间通信网络的每秒比特数（bps），可以检测代理服务器的负载，以决定是否在代理服务器上运行算法。降低代理服务器负载的主要思路，是仅在需要时才初始化并运行代理服务器上的算法，也就是仅当过多节点连接到特定代理服务器时才运行。图 6 对此进行了说明</w:t>
      </w:r>
      <w:r>
        <w:rPr>
          <w:rFonts w:ascii="Times New Roman" w:hAnsi="Times New Roman" w:eastAsia="宋体"/>
          <w:b w:val="0"/>
          <w:sz w:val="24"/>
          <w:vertAlign w:val="superscript"/>
        </w:rPr>
        <w:t>[1]</w:t>
      </w:r>
      <w:r>
        <w:rPr>
          <w:rFonts w:ascii="Times New Roman" w:hAnsi="Times New Roman" w:eastAsia="宋体"/>
          <w:b w:val="0"/>
          <w:sz w:val="24"/>
        </w:rPr>
        <w:t>。因此，实施所提出过程的步骤如下。</w:t>
      </w:r>
    </w:p>
    <w:p>
      <w:pPr>
        <w:spacing w:line="240" w:lineRule="auto" w:before="120" w:after="40"/>
        <w:jc w:val="center"/>
      </w:pPr>
      <w:r>
        <w:drawing>
          <wp:inline xmlns:a="http://schemas.openxmlformats.org/drawingml/2006/main" xmlns:pic="http://schemas.openxmlformats.org/drawingml/2006/picture">
            <wp:extent cx="4860000" cy="3403349"/>
            <wp:docPr id="6" name="Picture 6"/>
            <wp:cNvGraphicFramePr>
              <a:graphicFrameLocks noChangeAspect="1"/>
            </wp:cNvGraphicFramePr>
            <a:graphic>
              <a:graphicData uri="http://schemas.openxmlformats.org/drawingml/2006/picture">
                <pic:pic>
                  <pic:nvPicPr>
                    <pic:cNvPr id="0" name="fig_06.png"/>
                    <pic:cNvPicPr/>
                  </pic:nvPicPr>
                  <pic:blipFill>
                    <a:blip r:embed="rId16"/>
                    <a:stretch>
                      <a:fillRect/>
                    </a:stretch>
                  </pic:blipFill>
                  <pic:spPr>
                    <a:xfrm>
                      <a:off x="0" y="0"/>
                      <a:ext cx="4860000" cy="3403349"/>
                    </a:xfrm>
                    <a:prstGeom prst="rect"/>
                  </pic:spPr>
                </pic:pic>
              </a:graphicData>
            </a:graphic>
          </wp:inline>
        </w:drawing>
      </w:r>
    </w:p>
    <w:p>
      <w:pPr>
        <w:spacing w:line="240" w:lineRule="auto" w:before="0" w:after="120"/>
        <w:jc w:val="center"/>
      </w:pPr>
      <w:r>
        <w:rPr>
          <w:rFonts w:ascii="Times New Roman" w:hAnsi="Times New Roman" w:eastAsia="宋体"/>
          <w:b w:val="0"/>
          <w:sz w:val="21"/>
        </w:rPr>
        <w:t>图 6 网络通道实体</w:t>
      </w:r>
    </w:p>
    <w:p>
      <w:pPr>
        <w:spacing w:line="288" w:lineRule="auto" w:before="0" w:after="0"/>
        <w:ind w:firstLine="480"/>
        <w:jc w:val="both"/>
      </w:pPr>
      <w:r>
        <w:rPr>
          <w:rFonts w:ascii="Times New Roman" w:hAnsi="Times New Roman" w:eastAsia="宋体"/>
          <w:b w:val="0"/>
          <w:sz w:val="24"/>
        </w:rPr>
        <w:t>步骤 1：当客户端请求信息或原始 Web 数据时，请求会发送到代理服务器。代理服务器首先以缓存数据的形式检查自身是否存在所请求的数据或信息。这里存在两种情况：（a）如果代理服务器中存在请求数据，则通过 HTTP Web 协议以状态码 200 将信息返回给客户端；（b）如果代理服务器中不存在请求数据，则需要执行后续任务。</w:t>
      </w:r>
    </w:p>
    <w:p>
      <w:pPr>
        <w:spacing w:line="288" w:lineRule="auto" w:before="0" w:after="0"/>
        <w:ind w:firstLine="480"/>
        <w:jc w:val="both"/>
      </w:pPr>
      <w:r>
        <w:rPr>
          <w:rFonts w:ascii="Times New Roman" w:hAnsi="Times New Roman" w:eastAsia="宋体"/>
          <w:b w:val="0"/>
          <w:sz w:val="24"/>
        </w:rPr>
        <w:t>步骤 2：如果上一步属于情况（b），则研究代理服务器与主服务器之间每条通信网络上的 HTTP 载荷长度大小。载荷长度与网络连通性的乘积以 bps 为单位，用于得到网络强度值。因此，用于计算代理与主服务器之间高速分组接入（HSPA）的表达式为：</w:t>
      </w:r>
    </w:p>
    <w:p>
      <w:pPr>
        <w:spacing w:line="288" w:lineRule="auto" w:before="60" w:after="60"/>
        <w:jc w:val="center"/>
      </w:pPr>
      <w:r>
        <w:rPr>
          <w:rFonts w:ascii="Times New Roman" w:hAnsi="Times New Roman" w:eastAsia="宋体"/>
          <w:b w:val="0"/>
          <w:sz w:val="24"/>
        </w:rPr>
        <w:t>H(t) = HTTP 端口载荷长度 × HSPA（bps）</w:t>
      </w:r>
    </w:p>
    <w:p>
      <w:pPr>
        <w:spacing w:line="288" w:lineRule="auto" w:before="0" w:after="0"/>
        <w:ind w:firstLine="480"/>
        <w:jc w:val="both"/>
      </w:pPr>
      <w:r>
        <w:rPr>
          <w:rFonts w:ascii="Times New Roman" w:hAnsi="Times New Roman" w:eastAsia="宋体"/>
          <w:b w:val="0"/>
          <w:sz w:val="24"/>
        </w:rPr>
        <w:t>步骤 3：每台代理服务器都显式或隐式运行一个负载均衡器，其中包含轮询、最少计数等任务调度算法。根据前一步结果检查通道中的流量是否超过给定阈值。如果超过阈值，则开始在代理服务器上运行负载分配算法，从而最终降低负载并提高代理服务器性能。为进一步说明上述公式，实验捕获了约 20 分钟场景下的数据包，如图 7 所示</w:t>
      </w:r>
      <w:r>
        <w:rPr>
          <w:rFonts w:ascii="Times New Roman" w:hAnsi="Times New Roman" w:eastAsia="宋体"/>
          <w:b w:val="0"/>
          <w:sz w:val="24"/>
          <w:vertAlign w:val="superscript"/>
        </w:rPr>
        <w:t>[7]</w:t>
      </w:r>
      <w:r>
        <w:rPr>
          <w:rFonts w:ascii="Times New Roman" w:hAnsi="Times New Roman" w:eastAsia="宋体"/>
          <w:b w:val="0"/>
          <w:sz w:val="24"/>
        </w:rPr>
        <w:t>。与其他数据包长度相比，高接近度的数据包长度在整体场景中约占 40%。根据式（3），结合总体平均计数可得 HSPA 为 8200。H(t)=32.8%，这意味着该特定服务器通道吸收了 32% 的带宽，因此约 32% 的较低生成键会被发送到该服务器。</w:t>
      </w:r>
    </w:p>
    <w:p>
      <w:pPr>
        <w:spacing w:line="240" w:lineRule="auto" w:before="120" w:after="40"/>
        <w:jc w:val="center"/>
      </w:pPr>
      <w:r>
        <w:drawing>
          <wp:inline xmlns:a="http://schemas.openxmlformats.org/drawingml/2006/main" xmlns:pic="http://schemas.openxmlformats.org/drawingml/2006/picture">
            <wp:extent cx="4860000" cy="1860222"/>
            <wp:docPr id="7" name="Picture 7"/>
            <wp:cNvGraphicFramePr>
              <a:graphicFrameLocks noChangeAspect="1"/>
            </wp:cNvGraphicFramePr>
            <a:graphic>
              <a:graphicData uri="http://schemas.openxmlformats.org/drawingml/2006/picture">
                <pic:pic>
                  <pic:nvPicPr>
                    <pic:cNvPr id="0" name="fig_07.png"/>
                    <pic:cNvPicPr/>
                  </pic:nvPicPr>
                  <pic:blipFill>
                    <a:blip r:embed="rId17"/>
                    <a:stretch>
                      <a:fillRect/>
                    </a:stretch>
                  </pic:blipFill>
                  <pic:spPr>
                    <a:xfrm>
                      <a:off x="0" y="0"/>
                      <a:ext cx="4860000" cy="1860222"/>
                    </a:xfrm>
                    <a:prstGeom prst="rect"/>
                  </pic:spPr>
                </pic:pic>
              </a:graphicData>
            </a:graphic>
          </wp:inline>
        </w:drawing>
      </w:r>
    </w:p>
    <w:p>
      <w:pPr>
        <w:spacing w:line="240" w:lineRule="auto" w:before="0" w:after="120"/>
        <w:jc w:val="center"/>
      </w:pPr>
      <w:r>
        <w:rPr>
          <w:rFonts w:ascii="Times New Roman" w:hAnsi="Times New Roman" w:eastAsia="宋体"/>
          <w:b w:val="0"/>
          <w:sz w:val="21"/>
        </w:rPr>
        <w:t>图 7 网络通道实体统计结果</w:t>
      </w:r>
    </w:p>
    <w:p>
      <w:pPr>
        <w:spacing w:line="288" w:lineRule="auto" w:before="120" w:after="60"/>
        <w:jc w:val="left"/>
      </w:pPr>
      <w:r>
        <w:rPr>
          <w:rFonts w:ascii="Times New Roman" w:hAnsi="Times New Roman" w:eastAsia="黑体"/>
          <w:b w:val="0"/>
          <w:sz w:val="30"/>
        </w:rPr>
        <w:t>5 分析与讨论</w:t>
      </w:r>
    </w:p>
    <w:p>
      <w:pPr>
        <w:spacing w:line="288" w:lineRule="auto" w:before="0" w:after="0"/>
        <w:ind w:firstLine="480"/>
        <w:jc w:val="both"/>
      </w:pPr>
      <w:r>
        <w:rPr>
          <w:rFonts w:ascii="Times New Roman" w:hAnsi="Times New Roman" w:eastAsia="宋体"/>
          <w:b w:val="0"/>
          <w:sz w:val="24"/>
        </w:rPr>
        <w:t>数据包长度会影响网络通道中的延迟，因为它给出了 HTTP 头部中的载荷长度。因此，被称为突发速率的最大数据传输率，会随着最大限制而逐渐增加，如图 6 所示。</w:t>
      </w:r>
    </w:p>
    <w:p>
      <w:pPr>
        <w:spacing w:line="288" w:lineRule="auto" w:before="0" w:after="0"/>
        <w:ind w:firstLine="480"/>
        <w:jc w:val="both"/>
      </w:pPr>
      <w:r>
        <w:rPr>
          <w:rFonts w:ascii="Times New Roman" w:hAnsi="Times New Roman" w:eastAsia="宋体"/>
          <w:b w:val="0"/>
          <w:sz w:val="24"/>
        </w:rPr>
        <w:t>服务器与其他服务器之间接触点数量增加，会由于与每台服务器及其网络之间三次握手数量的增加而提高 tcp.errorlog。系统还需要处理生存时间（TTL），避免连接超出其最大范围。图 8 显示，当通过其他服务器路由的可达性和负载增加时，tcp.errorlog 随之增加。</w:t>
      </w:r>
    </w:p>
    <w:p>
      <w:pPr>
        <w:spacing w:line="240" w:lineRule="auto" w:before="120" w:after="40"/>
        <w:jc w:val="center"/>
      </w:pPr>
      <w:r>
        <w:drawing>
          <wp:inline xmlns:a="http://schemas.openxmlformats.org/drawingml/2006/main" xmlns:pic="http://schemas.openxmlformats.org/drawingml/2006/picture">
            <wp:extent cx="4860000" cy="2859352"/>
            <wp:docPr id="8" name="Picture 8"/>
            <wp:cNvGraphicFramePr>
              <a:graphicFrameLocks noChangeAspect="1"/>
            </wp:cNvGraphicFramePr>
            <a:graphic>
              <a:graphicData uri="http://schemas.openxmlformats.org/drawingml/2006/picture">
                <pic:pic>
                  <pic:nvPicPr>
                    <pic:cNvPr id="0" name="fig_08.png"/>
                    <pic:cNvPicPr/>
                  </pic:nvPicPr>
                  <pic:blipFill>
                    <a:blip r:embed="rId18"/>
                    <a:stretch>
                      <a:fillRect/>
                    </a:stretch>
                  </pic:blipFill>
                  <pic:spPr>
                    <a:xfrm>
                      <a:off x="0" y="0"/>
                      <a:ext cx="4860000" cy="2859352"/>
                    </a:xfrm>
                    <a:prstGeom prst="rect"/>
                  </pic:spPr>
                </pic:pic>
              </a:graphicData>
            </a:graphic>
          </wp:inline>
        </w:drawing>
      </w:r>
    </w:p>
    <w:p>
      <w:pPr>
        <w:spacing w:line="240" w:lineRule="auto" w:before="0" w:after="120"/>
        <w:jc w:val="center"/>
      </w:pPr>
      <w:r>
        <w:rPr>
          <w:rFonts w:ascii="Times New Roman" w:hAnsi="Times New Roman" w:eastAsia="宋体"/>
          <w:b w:val="0"/>
          <w:sz w:val="21"/>
        </w:rPr>
        <w:t>图 8 开销导致 tcp.errorlog 增加</w:t>
      </w:r>
    </w:p>
    <w:p>
      <w:pPr>
        <w:spacing w:line="288" w:lineRule="auto" w:before="0" w:after="0"/>
        <w:ind w:firstLine="480"/>
        <w:jc w:val="both"/>
      </w:pPr>
      <w:r>
        <w:rPr>
          <w:rFonts w:ascii="Times New Roman" w:hAnsi="Times New Roman" w:eastAsia="宋体"/>
          <w:b w:val="0"/>
          <w:sz w:val="24"/>
        </w:rPr>
        <w:t>当服务器受到其他代理服务器或核心服务器介入时，网络超时 H(t) 会增加。与 DNS 路由类似，一台服务器会响应其他服务器的数据交换请求。连接路径越长，负载均衡器对特定请求的控制能力越弱，因此该请求会进入不合适的状态。如下图所示，服务器会达到其内部协作关系。</w:t>
      </w:r>
    </w:p>
    <w:p>
      <w:pPr>
        <w:spacing w:line="240" w:lineRule="auto" w:before="120" w:after="40"/>
        <w:jc w:val="center"/>
      </w:pPr>
      <w:r>
        <w:drawing>
          <wp:inline xmlns:a="http://schemas.openxmlformats.org/drawingml/2006/main" xmlns:pic="http://schemas.openxmlformats.org/drawingml/2006/picture">
            <wp:extent cx="4860000" cy="3061665"/>
            <wp:docPr id="9" name="Picture 9"/>
            <wp:cNvGraphicFramePr>
              <a:graphicFrameLocks noChangeAspect="1"/>
            </wp:cNvGraphicFramePr>
            <a:graphic>
              <a:graphicData uri="http://schemas.openxmlformats.org/drawingml/2006/picture">
                <pic:pic>
                  <pic:nvPicPr>
                    <pic:cNvPr id="0" name="fig_09.png"/>
                    <pic:cNvPicPr/>
                  </pic:nvPicPr>
                  <pic:blipFill>
                    <a:blip r:embed="rId19"/>
                    <a:stretch>
                      <a:fillRect/>
                    </a:stretch>
                  </pic:blipFill>
                  <pic:spPr>
                    <a:xfrm>
                      <a:off x="0" y="0"/>
                      <a:ext cx="4860000" cy="3061665"/>
                    </a:xfrm>
                    <a:prstGeom prst="rect"/>
                  </pic:spPr>
                </pic:pic>
              </a:graphicData>
            </a:graphic>
          </wp:inline>
        </w:drawing>
      </w:r>
    </w:p>
    <w:p>
      <w:pPr>
        <w:spacing w:line="240" w:lineRule="auto" w:before="0" w:after="120"/>
        <w:jc w:val="center"/>
      </w:pPr>
      <w:r>
        <w:rPr>
          <w:rFonts w:ascii="Times New Roman" w:hAnsi="Times New Roman" w:eastAsia="宋体"/>
          <w:b w:val="0"/>
          <w:sz w:val="21"/>
        </w:rPr>
        <w:t>图 9 实时配置下服务器间的负载分配</w:t>
      </w:r>
    </w:p>
    <w:p>
      <w:pPr>
        <w:spacing w:line="288" w:lineRule="auto" w:before="0" w:after="0"/>
        <w:ind w:firstLine="480"/>
        <w:jc w:val="both"/>
      </w:pPr>
      <w:r>
        <w:rPr>
          <w:rFonts w:ascii="Times New Roman" w:hAnsi="Times New Roman" w:eastAsia="宋体"/>
          <w:b w:val="0"/>
          <w:sz w:val="24"/>
        </w:rPr>
        <w:t>在考虑响应性这一重要方面的同时，还需要考虑物理设备上的负载分配以及 ESX 服务器的安装。实验中，在物理设备上创建虚拟环境，并让 20 个并发用户执行数据检索或上传，以获得最优结果。图 10 给出了平均响应时间。根据获得的结果可以得出结论：对于任何用户而言，任意时刻某一特定线程的响应时间都不是恒定的，而取决于命中次数和吞吐量。当负载增加，或向物理设备注入日志或数据包时，由于 CPU 利用时间、I/O 活动和存储状态变化，响应时间会增加。</w:t>
      </w:r>
    </w:p>
    <w:p>
      <w:pPr>
        <w:spacing w:line="240" w:lineRule="auto" w:before="120" w:after="40"/>
        <w:jc w:val="center"/>
      </w:pPr>
      <w:r>
        <w:drawing>
          <wp:inline xmlns:a="http://schemas.openxmlformats.org/drawingml/2006/main" xmlns:pic="http://schemas.openxmlformats.org/drawingml/2006/picture">
            <wp:extent cx="4860000" cy="3030194"/>
            <wp:docPr id="10" name="Picture 10"/>
            <wp:cNvGraphicFramePr>
              <a:graphicFrameLocks noChangeAspect="1"/>
            </wp:cNvGraphicFramePr>
            <a:graphic>
              <a:graphicData uri="http://schemas.openxmlformats.org/drawingml/2006/picture">
                <pic:pic>
                  <pic:nvPicPr>
                    <pic:cNvPr id="0" name="fig_10.png"/>
                    <pic:cNvPicPr/>
                  </pic:nvPicPr>
                  <pic:blipFill>
                    <a:blip r:embed="rId20"/>
                    <a:stretch>
                      <a:fillRect/>
                    </a:stretch>
                  </pic:blipFill>
                  <pic:spPr>
                    <a:xfrm>
                      <a:off x="0" y="0"/>
                      <a:ext cx="4860000" cy="3030194"/>
                    </a:xfrm>
                    <a:prstGeom prst="rect"/>
                  </pic:spPr>
                </pic:pic>
              </a:graphicData>
            </a:graphic>
          </wp:inline>
        </w:drawing>
      </w:r>
    </w:p>
    <w:p>
      <w:pPr>
        <w:spacing w:line="240" w:lineRule="auto" w:before="0" w:after="120"/>
        <w:jc w:val="center"/>
      </w:pPr>
      <w:r>
        <w:rPr>
          <w:rFonts w:ascii="Times New Roman" w:hAnsi="Times New Roman" w:eastAsia="宋体"/>
          <w:b w:val="0"/>
          <w:sz w:val="21"/>
        </w:rPr>
        <w:t>图 10 不同并发用户的平均响应时间</w:t>
      </w:r>
    </w:p>
    <w:p>
      <w:pPr>
        <w:spacing w:line="288" w:lineRule="auto" w:before="0" w:after="0"/>
        <w:ind w:firstLine="480"/>
        <w:jc w:val="both"/>
      </w:pPr>
      <w:r>
        <w:rPr>
          <w:rFonts w:ascii="Times New Roman" w:hAnsi="Times New Roman" w:eastAsia="宋体"/>
          <w:b w:val="0"/>
          <w:sz w:val="24"/>
        </w:rPr>
        <w:t>本文通过实验分析，研究如何在不增加额外复杂度的情况下，在网络中引入自组织机制，并获得更好的响应时间。相关计数器可以测量当前连接到代理服务器 Web Proxy Service 的用户数量。该值并不总是意味着用户正在主动使用多个浏览器，用户也可能只是将浏览器置于桌面后台</w:t>
      </w:r>
      <w:r>
        <w:rPr>
          <w:rFonts w:ascii="Times New Roman" w:hAnsi="Times New Roman" w:eastAsia="宋体"/>
          <w:b w:val="0"/>
          <w:sz w:val="24"/>
          <w:vertAlign w:val="superscript"/>
        </w:rPr>
        <w:t>[13]</w:t>
      </w:r>
      <w:r>
        <w:rPr>
          <w:rFonts w:ascii="Times New Roman" w:hAnsi="Times New Roman" w:eastAsia="宋体"/>
          <w:b w:val="0"/>
          <w:sz w:val="24"/>
        </w:rPr>
        <w:t>。</w:t>
      </w:r>
    </w:p>
    <w:p>
      <w:pPr>
        <w:spacing w:line="288" w:lineRule="auto" w:before="120" w:after="60"/>
        <w:jc w:val="left"/>
      </w:pPr>
      <w:r>
        <w:rPr>
          <w:rFonts w:ascii="Times New Roman" w:hAnsi="Times New Roman" w:eastAsia="黑体"/>
          <w:b w:val="0"/>
          <w:sz w:val="30"/>
        </w:rPr>
        <w:t>6 结论</w:t>
      </w:r>
    </w:p>
    <w:p>
      <w:pPr>
        <w:spacing w:line="288" w:lineRule="auto" w:before="0" w:after="0"/>
        <w:ind w:firstLine="480"/>
        <w:jc w:val="both"/>
      </w:pPr>
      <w:r>
        <w:rPr>
          <w:rFonts w:ascii="Times New Roman" w:hAnsi="Times New Roman" w:eastAsia="宋体"/>
          <w:b w:val="0"/>
          <w:sz w:val="24"/>
        </w:rPr>
        <w:t>当代理服务器承载多个客户端或节点时，在响应时间、吞吐量、资源利用率和开销方面往往会出现较低的性能因子。本文提出的方法提供了一种有效的负载均衡技术，可通过 Web HTTP 将请求发送到目标代理服务器，并选择当前在所有代理服务器中工作负载最低的服务器。每台代理服务器的工作负载根据网络通道上的日志记录数量进行估算。通道负载通过 HTTP 载荷和数据 bps 移动量确定。负载分配算法只有在网络通道流量过高并满足给定阈值时才运行。由于调度器仅在需要时运行，代理服务器不会产生额外开销，负载分配过程更加简便，代理服务器性能也随之提高。</w:t>
      </w:r>
    </w:p>
    <w:sectPr w:rsidR="00000000">
      <w:pgSz w:w="11906" w:h="16838"/>
      <w:pgMar w:top="1418" w:right="1134" w:bottom="1418" w:left="1418"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qm" w:date="2026-01-09T11:35:00Z" w:initials="admin">
    <w:p w14:paraId="7AB81F92" w14:textId="77777777" w:rsidR="003A2061" w:rsidRDefault="003A2061">
      <w:pPr>
        <w:pStyle w:val="a3"/>
      </w:pPr>
      <w:r>
        <w:rPr>
          <w:rFonts w:hint="eastAsia"/>
        </w:rPr>
        <w:t>根据实际情况填写</w:t>
      </w:r>
    </w:p>
  </w:comment>
  <w:comment w:id="1" w:author="zqm" w:date="2025-12-31T18:07:00Z" w:initials="admin">
    <w:p w14:paraId="04A021EC" w14:textId="77777777" w:rsidR="003A2061" w:rsidRDefault="003A2061">
      <w:pPr>
        <w:pStyle w:val="a3"/>
        <w:rPr>
          <w:rFonts w:hint="eastAsia"/>
        </w:rPr>
      </w:pPr>
      <w:r>
        <w:rPr>
          <w:rFonts w:hint="eastAsia"/>
        </w:rPr>
        <w:t>注意实际班级</w:t>
      </w:r>
    </w:p>
    <w:p w14:paraId="0E421435" w14:textId="77777777" w:rsidR="003A2061" w:rsidRDefault="003A2061">
      <w:pPr>
        <w:pStyle w:val="a3"/>
      </w:pPr>
      <w:r>
        <w:rPr>
          <w:rFonts w:hint="eastAsia"/>
        </w:rPr>
        <w:t>以下</w:t>
      </w:r>
      <w:r>
        <w:rPr>
          <w:rFonts w:hint="eastAsia"/>
        </w:rPr>
        <w:t>XX</w:t>
      </w:r>
      <w:r>
        <w:rPr>
          <w:rFonts w:hint="eastAsia"/>
        </w:rPr>
        <w:t>均需按实际情况填写</w:t>
      </w:r>
    </w:p>
  </w:comment>
  <w:comment w:id="2" w:author="zqm" w:date="2026-01-04T14:00:00Z" w:initials="admin">
    <w:p w14:paraId="180DF4F2" w14:textId="77777777" w:rsidR="003A2061" w:rsidRDefault="003A2061">
      <w:pPr>
        <w:pStyle w:val="a3"/>
        <w:rPr>
          <w:rFonts w:hint="eastAsia"/>
        </w:rPr>
      </w:pPr>
      <w:r>
        <w:rPr>
          <w:rFonts w:hint="eastAsia"/>
        </w:rPr>
        <w:t>此页不要做任何改动</w:t>
      </w:r>
    </w:p>
    <w:p w14:paraId="6A7AAA86" w14:textId="77777777" w:rsidR="003A2061" w:rsidRDefault="003A2061">
      <w:pPr>
        <w:pStyle w:val="a3"/>
        <w:rPr>
          <w:rFonts w:hint="eastAsia"/>
        </w:rPr>
      </w:pPr>
      <w:r>
        <w:rPr>
          <w:rFonts w:hint="eastAsia"/>
        </w:rPr>
        <w:t>打印时删除红色字部分</w:t>
      </w:r>
    </w:p>
  </w:comment>
  <w:comment w:id="3" w:author="Windows 用户" w:date="2022-01-12T00:21:00Z" w:initials="W用">
    <w:p w14:paraId="7EECC2DF" w14:textId="77777777" w:rsidR="003A2061" w:rsidRDefault="003A2061">
      <w:pPr>
        <w:pStyle w:val="a3"/>
      </w:pPr>
      <w:r>
        <w:rPr>
          <w:rFonts w:hint="eastAsia"/>
        </w:rPr>
        <w:t>翻译的中文按照此格式进行排版</w:t>
      </w:r>
    </w:p>
    <w:p w14:paraId="5BFCF04D" w14:textId="77777777" w:rsidR="003A2061" w:rsidRDefault="003A2061">
      <w:pPr>
        <w:pStyle w:val="a3"/>
      </w:pPr>
      <w:r>
        <w:rPr>
          <w:rFonts w:hint="eastAsia"/>
        </w:rPr>
        <w:t>页边距设置：</w:t>
      </w:r>
    </w:p>
    <w:p w14:paraId="119BAD97" w14:textId="77777777" w:rsidR="003A2061" w:rsidRDefault="003A2061">
      <w:pPr>
        <w:pStyle w:val="a3"/>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Image" style="width:295.8pt;height:92.4pt;mso-wrap-style:square;mso-position-horizontal-relative:page;mso-position-vertical-relative:page">
            <v:imagedata r:id="rId1" o:title="Image"/>
          </v:shape>
        </w:pict>
      </w:r>
    </w:p>
  </w:comment>
  <w:comment w:id="5" w:author="zqm" w:date="2026-01-04T14:04:00Z" w:initials="admin">
    <w:p w14:paraId="1C5F37C0" w14:textId="77777777" w:rsidR="003A2061" w:rsidRDefault="003A2061">
      <w:pPr>
        <w:pStyle w:val="a3"/>
      </w:pPr>
      <w:r>
        <w:rPr>
          <w:rFonts w:hint="eastAsia"/>
        </w:rPr>
        <w:t>原英文原文</w:t>
      </w:r>
      <w:r>
        <w:rPr>
          <w:rFonts w:hint="eastAsia"/>
        </w:rPr>
        <w:t>PDF</w:t>
      </w:r>
      <w:r>
        <w:rPr>
          <w:rFonts w:hint="eastAsia"/>
        </w:rPr>
        <w:t>按要求排版，单独放在译文的最后几页。如果采取截图方式粘贴在</w:t>
      </w:r>
      <w:r>
        <w:rPr>
          <w:rFonts w:hint="eastAsia"/>
        </w:rPr>
        <w:t>word</w:t>
      </w:r>
      <w:r>
        <w:rPr>
          <w:rFonts w:hint="eastAsia"/>
        </w:rPr>
        <w:t>中，务必注意截图清晰度。</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B81F92" w15:done="0"/>
  <w15:commentEx w15:paraId="0E421435" w15:done="0"/>
  <w15:commentEx w15:paraId="6A7AAA86" w15:done="0"/>
  <w15:commentEx w15:paraId="119BAD97" w15:done="0"/>
  <w15:commentEx w15:paraId="1C5F37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B81F92" w16cid:durableId="00000001"/>
  <w16cid:commentId w16cid:paraId="0E421435" w16cid:durableId="00000002"/>
  <w16cid:commentId w16cid:paraId="6A7AAA86" w16cid:durableId="00000003"/>
  <w16cid:commentId w16cid:paraId="119BAD97" w16cid:durableId="00000004"/>
  <w16cid:commentId w16cid:paraId="1C5F37C0" w16cid:durableId="71CDA2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0DB17" w14:textId="77777777" w:rsidR="003A2061" w:rsidRDefault="003A2061" w:rsidP="003A2061">
      <w:r>
        <w:separator/>
      </w:r>
    </w:p>
  </w:endnote>
  <w:endnote w:type="continuationSeparator" w:id="0">
    <w:p w14:paraId="4A6A2EAB" w14:textId="77777777" w:rsidR="003A2061" w:rsidRDefault="003A2061" w:rsidP="003A2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1" w:usb1="080E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D646A" w14:textId="77777777" w:rsidR="003A2061" w:rsidRDefault="003A2061" w:rsidP="003A2061">
      <w:r>
        <w:separator/>
      </w:r>
    </w:p>
  </w:footnote>
  <w:footnote w:type="continuationSeparator" w:id="0">
    <w:p w14:paraId="7BBA7461" w14:textId="77777777" w:rsidR="003A2061" w:rsidRDefault="003A2061" w:rsidP="003A20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6EC1"/>
    <w:rsid w:val="0002446C"/>
    <w:rsid w:val="00093DAD"/>
    <w:rsid w:val="000D2DE2"/>
    <w:rsid w:val="00105026"/>
    <w:rsid w:val="00120EAF"/>
    <w:rsid w:val="001229CE"/>
    <w:rsid w:val="00146B16"/>
    <w:rsid w:val="00253707"/>
    <w:rsid w:val="00290CBC"/>
    <w:rsid w:val="003209A7"/>
    <w:rsid w:val="003A2061"/>
    <w:rsid w:val="003D3AF2"/>
    <w:rsid w:val="003F5BF1"/>
    <w:rsid w:val="003F6A66"/>
    <w:rsid w:val="00453DD2"/>
    <w:rsid w:val="00471FED"/>
    <w:rsid w:val="004D1DF1"/>
    <w:rsid w:val="004D5ED3"/>
    <w:rsid w:val="005507DB"/>
    <w:rsid w:val="00560114"/>
    <w:rsid w:val="00586EC1"/>
    <w:rsid w:val="005A3A91"/>
    <w:rsid w:val="006734E1"/>
    <w:rsid w:val="00777A6F"/>
    <w:rsid w:val="00796764"/>
    <w:rsid w:val="007C410B"/>
    <w:rsid w:val="007C4612"/>
    <w:rsid w:val="008647D0"/>
    <w:rsid w:val="00882D6A"/>
    <w:rsid w:val="008F24C2"/>
    <w:rsid w:val="009B2074"/>
    <w:rsid w:val="009E1100"/>
    <w:rsid w:val="00AD58D5"/>
    <w:rsid w:val="00AF5801"/>
    <w:rsid w:val="00B20042"/>
    <w:rsid w:val="00B5158A"/>
    <w:rsid w:val="00B72B18"/>
    <w:rsid w:val="00B83B6A"/>
    <w:rsid w:val="00CC1256"/>
    <w:rsid w:val="00D05E75"/>
    <w:rsid w:val="00D16E3B"/>
    <w:rsid w:val="00D74899"/>
    <w:rsid w:val="00DB2E81"/>
    <w:rsid w:val="00DF09B9"/>
    <w:rsid w:val="00E075A7"/>
    <w:rsid w:val="00E61310"/>
    <w:rsid w:val="00EA0456"/>
    <w:rsid w:val="00EA2013"/>
    <w:rsid w:val="00EE09BB"/>
    <w:rsid w:val="00F10BCA"/>
    <w:rsid w:val="00F5075C"/>
    <w:rsid w:val="00FA3B87"/>
    <w:rsid w:val="07A40A90"/>
    <w:rsid w:val="09E56D9C"/>
    <w:rsid w:val="1611524D"/>
    <w:rsid w:val="22E0390E"/>
    <w:rsid w:val="352E7B11"/>
    <w:rsid w:val="3EBC523D"/>
    <w:rsid w:val="3EE01103"/>
    <w:rsid w:val="49637287"/>
    <w:rsid w:val="4A02381D"/>
    <w:rsid w:val="775D1606"/>
    <w:rsid w:val="7A9D14F3"/>
    <w:rsid w:val="7B0E1773"/>
    <w:rsid w:val="7B8B0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6B74599"/>
  <w15:chartTrackingRefBased/>
  <w15:docId w15:val="{5F46040C-344B-4296-96C4-CEB89C0B1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bCs/>
      <w:kern w:val="44"/>
      <w:sz w:val="48"/>
      <w:szCs w:val="48"/>
    </w:rPr>
  </w:style>
  <w:style w:type="paragraph" w:styleId="2">
    <w:name w:val="heading 2"/>
    <w:basedOn w:val="a"/>
    <w:next w:val="a"/>
    <w:qFormat/>
    <w:pPr>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Words>
  <Characters>894</Characters>
  <Application>Microsoft Office Word</Application>
  <DocSecurity>4</DocSecurity>
  <Lines>7</Lines>
  <Paragraphs>2</Paragraphs>
  <ScaleCrop>false</ScaleCrop>
  <Company>sjk</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 庆 工 学 院</dc:title>
  <dc:subject/>
  <dc:creator>sjk</dc:creator>
  <cp:keywords/>
  <dc:description/>
  <cp:lastModifiedBy>子谊 郭</cp:lastModifiedBy>
  <cp:revision>2</cp:revision>
  <dcterms:created xsi:type="dcterms:W3CDTF">2026-05-09T09:01:00Z</dcterms:created>
  <dcterms:modified xsi:type="dcterms:W3CDTF">2026-05-09T09:01:00Z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eyJoZGlkIjoiNjgwNjZlNDc1ODY2NGExMmZmZmVhNTJjZDAxYTNjNmEiLCJ1c2VySWQiOiIxNjU5NDUyOTQ3In0=</vt:lpwstr>
  </property>
  <property fmtid="{D5CDD505-2E9C-101B-9397-08002B2CF9AE}" pid="3" name="KSOProductBuildVer">
    <vt:lpwstr>2052-12.1.0.21541</vt:lpwstr>
  </property>
  <property fmtid="{D5CDD505-2E9C-101B-9397-08002B2CF9AE}" pid="4" name="ICV">
    <vt:lpwstr>4536FE679B0F4DC49718A3AD9C55D830_13</vt:lpwstr>
  </property>
</Properties>
</file>