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Plano de Gerenciamento de Configuração - Nível G MPS.BR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01/10/2016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Criação do plano de Configuração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Rômulo Borges Crispi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04/10/2016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Adequação de itens de Configuração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João Lucas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19/10/2016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Remoção de tópicos descartados do Plano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Rômulo Borges Crispi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23/10/2016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Adição de extensões válidas, estruturação dos diretórios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Rômulo Borges Cripsi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01/11/2016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Revisão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Rômulo Borges Crispi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05/11/2016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Correções de não conformidades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João Lucas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32"/>
        </w:tabs>
        <w:spacing w:after="60" w:before="240" w:lineRule="auto"/>
        <w:ind w:right="720"/>
        <w:contextualSpacing w:val="0"/>
      </w:pPr>
      <w:hyperlink w:anchor="1fob9te">
        <w:r w:rsidDel="00000000" w:rsidR="00000000" w:rsidRPr="00000000">
          <w:rPr>
            <w:color w:val="1155cc"/>
            <w:u w:val="single"/>
            <w:rtl w:val="0"/>
          </w:rPr>
          <w:t xml:space="preserve">1.</w:t>
        </w:r>
      </w:hyperlink>
      <w:hyperlink w:anchor="1fob9te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1fob9te">
        <w:r w:rsidDel="00000000" w:rsidR="00000000" w:rsidRPr="00000000">
          <w:rPr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hyperlink w:anchor="2et92p0">
        <w:r w:rsidDel="00000000" w:rsidR="00000000" w:rsidRPr="00000000">
          <w:rPr>
            <w:color w:val="1155cc"/>
            <w:u w:val="single"/>
            <w:rtl w:val="0"/>
          </w:rPr>
          <w:t xml:space="preserve">1.2</w:t>
        </w:r>
      </w:hyperlink>
      <w:hyperlink w:anchor="2et92p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2et92p0">
        <w:r w:rsidDel="00000000" w:rsidR="00000000" w:rsidRPr="00000000">
          <w:rPr>
            <w:color w:val="1155cc"/>
            <w:u w:val="single"/>
            <w:rtl w:val="0"/>
          </w:rPr>
          <w:t xml:space="preserve">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hyperlink w:anchor="tyjcwt">
        <w:r w:rsidDel="00000000" w:rsidR="00000000" w:rsidRPr="00000000">
          <w:rPr>
            <w:color w:val="1155cc"/>
            <w:u w:val="single"/>
            <w:rtl w:val="0"/>
          </w:rPr>
          <w:t xml:space="preserve">1.3</w:t>
        </w:r>
      </w:hyperlink>
      <w:hyperlink w:anchor="tyjcwt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tyjcwt">
        <w:r w:rsidDel="00000000" w:rsidR="00000000" w:rsidRPr="00000000">
          <w:rPr>
            <w:color w:val="1155cc"/>
            <w:u w:val="single"/>
            <w:rtl w:val="0"/>
          </w:rPr>
          <w:t xml:space="preserve">Definições, Acrônimos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32"/>
        </w:tabs>
        <w:spacing w:after="60" w:before="240" w:lineRule="auto"/>
        <w:ind w:right="720"/>
        <w:contextualSpacing w:val="0"/>
      </w:pPr>
      <w:hyperlink w:anchor="4d34og8">
        <w:r w:rsidDel="00000000" w:rsidR="00000000" w:rsidRPr="00000000">
          <w:rPr>
            <w:color w:val="1155cc"/>
            <w:u w:val="single"/>
            <w:rtl w:val="0"/>
          </w:rPr>
          <w:t xml:space="preserve">2.</w:t>
        </w:r>
      </w:hyperlink>
      <w:hyperlink w:anchor="4d34og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4d34og8">
        <w:r w:rsidDel="00000000" w:rsidR="00000000" w:rsidRPr="00000000">
          <w:rPr>
            <w:color w:val="1155cc"/>
            <w:u w:val="single"/>
            <w:rtl w:val="0"/>
          </w:rPr>
          <w:t xml:space="preserve">Gerenciamento de Configuração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hyperlink w:anchor="2s8eyo1">
        <w:r w:rsidDel="00000000" w:rsidR="00000000" w:rsidRPr="00000000">
          <w:rPr>
            <w:color w:val="1155cc"/>
            <w:u w:val="single"/>
            <w:rtl w:val="0"/>
          </w:rPr>
          <w:t xml:space="preserve">2.1</w:t>
        </w:r>
      </w:hyperlink>
      <w:hyperlink w:anchor="2s8eyo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2s8eyo1">
        <w:r w:rsidDel="00000000" w:rsidR="00000000" w:rsidRPr="00000000">
          <w:rPr>
            <w:color w:val="1155cc"/>
            <w:u w:val="single"/>
            <w:rtl w:val="0"/>
          </w:rPr>
          <w:t xml:space="preserve">Organização, Responsabilidades e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hyperlink w:anchor="17dp8vu">
        <w:r w:rsidDel="00000000" w:rsidR="00000000" w:rsidRPr="00000000">
          <w:rPr>
            <w:color w:val="1155cc"/>
            <w:u w:val="single"/>
            <w:rtl w:val="0"/>
          </w:rPr>
          <w:t xml:space="preserve">2.2</w:t>
        </w:r>
      </w:hyperlink>
      <w:hyperlink w:anchor="17dp8vu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17dp8vu">
        <w:r w:rsidDel="00000000" w:rsidR="00000000" w:rsidRPr="00000000">
          <w:rPr>
            <w:color w:val="1155cc"/>
            <w:u w:val="single"/>
            <w:rtl w:val="0"/>
          </w:rPr>
          <w:t xml:space="preserve">Ferramentas, Ambiente e Infraestrutura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32"/>
        </w:tabs>
        <w:spacing w:after="60" w:before="240" w:lineRule="auto"/>
        <w:ind w:right="720"/>
        <w:contextualSpacing w:val="0"/>
      </w:pPr>
      <w:hyperlink w:anchor="3rdcrjn">
        <w:r w:rsidDel="00000000" w:rsidR="00000000" w:rsidRPr="00000000">
          <w:rPr>
            <w:color w:val="1155cc"/>
            <w:u w:val="single"/>
            <w:rtl w:val="0"/>
          </w:rPr>
          <w:t xml:space="preserve">3.</w:t>
        </w:r>
      </w:hyperlink>
      <w:hyperlink w:anchor="3rdcrjn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3rdcrjn">
        <w:r w:rsidDel="00000000" w:rsidR="00000000" w:rsidRPr="00000000">
          <w:rPr>
            <w:color w:val="1155cc"/>
            <w:u w:val="single"/>
            <w:rtl w:val="0"/>
          </w:rPr>
          <w:t xml:space="preserve">O Programa de Gerenciamento de Configuração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bookmarkStart w:colFirst="0" w:colLast="0" w:name="_gjdgxs" w:id="0"/>
      <w:bookmarkEnd w:id="0"/>
      <w:hyperlink w:anchor="1ksv4uv">
        <w:r w:rsidDel="00000000" w:rsidR="00000000" w:rsidRPr="00000000">
          <w:rPr>
            <w:color w:val="1155cc"/>
            <w:u w:val="single"/>
            <w:rtl w:val="0"/>
          </w:rPr>
          <w:t xml:space="preserve">3.2</w:t>
        </w:r>
      </w:hyperlink>
      <w:hyperlink w:anchor="1ksv4uv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1ksv4uv">
        <w:r w:rsidDel="00000000" w:rsidR="00000000" w:rsidRPr="00000000">
          <w:rPr>
            <w:color w:val="1155cc"/>
            <w:u w:val="single"/>
            <w:rtl w:val="0"/>
          </w:rPr>
          <w:t xml:space="preserve">Controle de Configuração e Mudança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hyperlink w:anchor="44sinio">
        <w:r w:rsidDel="00000000" w:rsidR="00000000" w:rsidRPr="00000000">
          <w:rPr>
            <w:color w:val="1155cc"/>
            <w:u w:val="single"/>
            <w:rtl w:val="0"/>
          </w:rPr>
          <w:t xml:space="preserve">3.2.1</w:t>
        </w:r>
      </w:hyperlink>
      <w:hyperlink w:anchor="44sini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44sinio">
        <w:r w:rsidDel="00000000" w:rsidR="00000000" w:rsidRPr="00000000">
          <w:rPr>
            <w:color w:val="1155cc"/>
            <w:u w:val="single"/>
            <w:rtl w:val="0"/>
          </w:rPr>
          <w:t xml:space="preserve">Processamento e Aprovação de Solicitações de Mudança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hyperlink w:anchor="2jxsxqh">
        <w:r w:rsidDel="00000000" w:rsidR="00000000" w:rsidRPr="00000000">
          <w:rPr>
            <w:color w:val="1155cc"/>
            <w:u w:val="single"/>
            <w:rtl w:val="0"/>
          </w:rPr>
          <w:t xml:space="preserve">3.2.2</w:t>
        </w:r>
      </w:hyperlink>
      <w:hyperlink w:anchor="2jxsxqh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2jxsxqh">
        <w:r w:rsidDel="00000000" w:rsidR="00000000" w:rsidRPr="00000000">
          <w:rPr>
            <w:color w:val="1155cc"/>
            <w:u w:val="single"/>
            <w:rtl w:val="0"/>
          </w:rPr>
          <w:t xml:space="preserve">Comitê de Controle de Mudança (CCB)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ind w:left="432" w:right="720" w:firstLine="0"/>
        <w:contextualSpacing w:val="0"/>
      </w:pPr>
      <w:hyperlink w:anchor="z337ya">
        <w:r w:rsidDel="00000000" w:rsidR="00000000" w:rsidRPr="00000000">
          <w:rPr>
            <w:color w:val="1155cc"/>
            <w:u w:val="single"/>
            <w:rtl w:val="0"/>
          </w:rPr>
          <w:t xml:space="preserve">3.3</w:t>
        </w:r>
      </w:hyperlink>
      <w:hyperlink w:anchor="z337ya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z337ya">
        <w:r w:rsidDel="00000000" w:rsidR="00000000" w:rsidRPr="00000000">
          <w:rPr>
            <w:color w:val="1155cc"/>
            <w:u w:val="single"/>
            <w:rtl w:val="0"/>
          </w:rPr>
          <w:t xml:space="preserve">Estimativa do Status de Configuração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30"/>
        </w:tabs>
        <w:ind w:left="990" w:firstLine="0"/>
        <w:contextualSpacing w:val="0"/>
      </w:pPr>
      <w:hyperlink w:anchor="3j2qqm3">
        <w:r w:rsidDel="00000000" w:rsidR="00000000" w:rsidRPr="00000000">
          <w:rPr>
            <w:color w:val="1155cc"/>
            <w:u w:val="single"/>
            <w:rtl w:val="0"/>
          </w:rPr>
          <w:t xml:space="preserve">3.3.1</w:t>
        </w:r>
      </w:hyperlink>
      <w:hyperlink w:anchor="3j2qqm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ab/>
        </w:r>
      </w:hyperlink>
      <w:hyperlink w:anchor="3j2qqm3">
        <w:r w:rsidDel="00000000" w:rsidR="00000000" w:rsidRPr="00000000">
          <w:rPr>
            <w:color w:val="1155cc"/>
            <w:u w:val="single"/>
            <w:rtl w:val="0"/>
          </w:rPr>
          <w:t xml:space="preserve">Processo de Armazenamento de Mídia e Liberação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32"/>
        </w:tabs>
        <w:spacing w:after="60" w:before="240" w:lineRule="auto"/>
        <w:ind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Plano de Gerenciamento de Configuração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1080" w:hanging="359.00000000000006"/>
        <w:contextualSpacing w:val="1"/>
        <w:rPr/>
      </w:pPr>
      <w:bookmarkStart w:colFirst="0" w:colLast="0" w:name="1fob9te" w:id="2"/>
      <w:bookmarkEnd w:id="2"/>
      <w:r w:rsidDel="00000000" w:rsidR="00000000" w:rsidRPr="00000000">
        <w:rPr>
          <w:sz w:val="20"/>
          <w:szCs w:val="20"/>
          <w:rtl w:val="0"/>
        </w:rPr>
        <w:t xml:space="preserve">Introdução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qb9vxpyqtae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Finalidad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documento em questão fora confeccionado para tratar das diretrizes organizacionais aplicadas ao projeto que tem como contratante a prefeitura de Goiânia.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720" w:hanging="719"/>
        <w:contextualSpacing w:val="1"/>
        <w:rPr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O documento é uma releitura de um modelo que o docente Rubens Castro fornece em sua ministração didática quanto a Gerência de Configuração, e neste artefato, os seguintes itens são diretamente afetados: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Repositório;X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Itens do repositório;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spacing w:line="240" w:lineRule="auto"/>
        <w:ind w:left="720" w:hanging="719"/>
        <w:contextualSpacing w:val="1"/>
        <w:rPr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GCS se refere a: Gerência de Configuração de Software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GPR se refere a: Gerência de Projeto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 se refere a: Gerência de Requisito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GQA se refere a: Gerência de Qualidade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ICS se refere a: Item de Configuração do Software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1080" w:hanging="359.00000000000006"/>
        <w:contextualSpacing w:val="1"/>
        <w:rPr/>
      </w:pPr>
      <w:bookmarkStart w:colFirst="0" w:colLast="0" w:name="4d34og8" w:id="6"/>
      <w:bookmarkEnd w:id="6"/>
      <w:r w:rsidDel="00000000" w:rsidR="00000000" w:rsidRPr="00000000">
        <w:rPr>
          <w:sz w:val="20"/>
          <w:szCs w:val="20"/>
          <w:rtl w:val="0"/>
        </w:rPr>
        <w:t xml:space="preserve">Gerenciamento de Configuração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720" w:hanging="719"/>
        <w:contextualSpacing w:val="1"/>
        <w:rPr/>
      </w:pPr>
      <w:bookmarkStart w:colFirst="0" w:colLast="0" w:name="2s8eyo1" w:id="7"/>
      <w:bookmarkEnd w:id="7"/>
      <w:r w:rsidDel="00000000" w:rsidR="00000000" w:rsidRPr="00000000">
        <w:rPr>
          <w:rtl w:val="0"/>
        </w:rPr>
        <w:t xml:space="preserve">Organização, Responsabilidades e Interfaces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 documento em questão serve como apoio para as demais 03 (três) áreas trabalhadas neste trabalho didático, sendo estas Gerência de projetos (GPR), Gerência de Requisitos (GRE) e Garantia da Qualidade (GQA). Os membros de cada uma dessas áreas são responsáveis pelo uso da organização elicitada por este documento, a interface de contato com estas regras se dá pelo acesso a este documento e a organização dos artefatos deve seguir as diretrizes aqui estabelecidas, sendo de cunho subjetivo uma vez que não abrangerem ou não alcançarem os limites de um eventual impasse estrutural.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720" w:hanging="719"/>
        <w:contextualSpacing w:val="1"/>
        <w:rPr/>
      </w:pPr>
      <w:bookmarkStart w:colFirst="0" w:colLast="0" w:name="17dp8vu" w:id="8"/>
      <w:bookmarkEnd w:id="8"/>
      <w:r w:rsidDel="00000000" w:rsidR="00000000" w:rsidRPr="00000000">
        <w:rPr>
          <w:rtl w:val="0"/>
        </w:rPr>
        <w:t xml:space="preserve">Ferramentas, Ambiente e Infraestrutura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Neste nosso respectivo ambiente, iremos utilizar unicamente a ferramenta Github para controle do Gerenciamento de Configuração. Com esta, ficará responsável pelo controle de versões históricas ou atuais de todo o software, incluindo o código fonte, respectiva documentação, dentre outros. Assim sendo, para o bom uso da ferramenta Github, para cada interação (commit) da mesma, será utilizado um padrão de nomenclatura, sendo do tipo: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#00 - Título do commit (como, por exemplo, #16 - Atualização de tela)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é salutar que, caso o projeto esteja definido por sprints, o mesmo tenha sua nomenclatura atribuída em Sprints ou Etapas.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do artefato - Especiação utilizada (como, por exemplo, Plano de Projeto - Nível G MPS.BR)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Estruturação dos diretórios se dará da seguinte maneira: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2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Processo</w:t>
      </w:r>
    </w:p>
    <w:p w:rsidR="00000000" w:rsidDel="00000000" w:rsidP="00000000" w:rsidRDefault="00000000" w:rsidRPr="00000000">
      <w:pPr>
        <w:spacing w:after="120" w:lineRule="auto"/>
        <w:ind w:left="2160" w:firstLine="0"/>
        <w:contextualSpacing w:val="0"/>
      </w:pPr>
      <w:r w:rsidDel="00000000" w:rsidR="00000000" w:rsidRPr="00000000">
        <w:rPr>
          <w:rtl w:val="0"/>
        </w:rPr>
        <w:t xml:space="preserve">(nesta pasta ficarão os artefatos em seu estado primário, priori a execução dos mesmos no projeto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>
      <w:pPr>
        <w:spacing w:after="12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(escopo dos artefatos validaveis)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spacing w:after="120" w:lineRule="auto"/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(modelo encontrado por uma revisão sistemática e ou herdado de outros projetos os quais foram bem sucedidos)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>
      <w:pPr>
        <w:spacing w:after="120" w:lineRule="auto"/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(estudo da complexidade versus a qualidade dos modelos de artefatos levantados)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2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GPR</w:t>
      </w:r>
    </w:p>
    <w:p w:rsidR="00000000" w:rsidDel="00000000" w:rsidP="00000000" w:rsidRDefault="00000000" w:rsidRPr="00000000">
      <w:pPr>
        <w:spacing w:after="120" w:lineRule="auto"/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(artefatos relacionados a Gerência do Projeto)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</w:t>
      </w:r>
    </w:p>
    <w:p w:rsidR="00000000" w:rsidDel="00000000" w:rsidP="00000000" w:rsidRDefault="00000000" w:rsidRPr="00000000">
      <w:pPr>
        <w:spacing w:after="120" w:lineRule="auto"/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(artefatos relacionados quanto aos Requisitos do Projeto)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12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GQA</w:t>
      </w:r>
    </w:p>
    <w:p w:rsidR="00000000" w:rsidDel="00000000" w:rsidP="00000000" w:rsidRDefault="00000000" w:rsidRPr="00000000">
      <w:pPr>
        <w:spacing w:after="120" w:lineRule="auto"/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(artefatos relacionados quanto a Qualidade do Software)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Para cada arquivo de documento, as extensões esperadas são “.doc”,“.docx”, ”.md”,”.pdf”,”.xls”,”.xlsx”,”.gan”, “.txt”;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Para cada arquivo de código, as extensões permitidas são “.c”,”.o”,”.exe”,”.bat”,”.md”;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1080" w:hanging="359.00000000000006"/>
        <w:contextualSpacing w:val="1"/>
        <w:rPr/>
      </w:pPr>
      <w:bookmarkStart w:colFirst="0" w:colLast="0" w:name="3rdcrjn" w:id="9"/>
      <w:bookmarkEnd w:id="9"/>
      <w:r w:rsidDel="00000000" w:rsidR="00000000" w:rsidRPr="00000000">
        <w:rPr>
          <w:sz w:val="20"/>
          <w:szCs w:val="20"/>
          <w:rtl w:val="0"/>
        </w:rPr>
        <w:t xml:space="preserve">O Programa de Gerenciamento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720" w:hanging="719"/>
        <w:contextualSpacing w:val="1"/>
        <w:rPr/>
      </w:pPr>
      <w:bookmarkStart w:colFirst="0" w:colLast="0" w:name="1ksv4uv" w:id="10"/>
      <w:bookmarkEnd w:id="10"/>
      <w:r w:rsidDel="00000000" w:rsidR="00000000" w:rsidRPr="00000000">
        <w:rPr>
          <w:rtl w:val="0"/>
        </w:rPr>
        <w:t xml:space="preserve">Controle de Configuração e Mudança</w:t>
      </w:r>
    </w:p>
    <w:p w:rsidR="00000000" w:rsidDel="00000000" w:rsidP="00000000" w:rsidRDefault="00000000" w:rsidRPr="00000000">
      <w:pPr>
        <w:pStyle w:val="Heading3"/>
        <w:numPr>
          <w:ilvl w:val="2"/>
          <w:numId w:val="5"/>
        </w:numPr>
        <w:ind w:left="720" w:hanging="719"/>
        <w:contextualSpacing w:val="1"/>
        <w:rPr/>
      </w:pPr>
      <w:bookmarkStart w:colFirst="0" w:colLast="0" w:name="44sinio" w:id="11"/>
      <w:bookmarkEnd w:id="11"/>
      <w:r w:rsidDel="00000000" w:rsidR="00000000" w:rsidRPr="00000000">
        <w:rPr>
          <w:rtl w:val="0"/>
        </w:rPr>
        <w:t xml:space="preserve">Processamento e Aprovação de Solicitações de Mudança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Toda e qualquer mudança necessária deve ser documentada e anterior a sua aplicação deve ser validada pelo gerente de projeto em cargo. Problemas encontrados devem ser comunicados ao gerente de projeto que por sua vez se responsabiliza em corrigi-los.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5"/>
        </w:numPr>
        <w:ind w:left="720" w:hanging="719"/>
        <w:contextualSpacing w:val="1"/>
        <w:rPr/>
      </w:pPr>
      <w:bookmarkStart w:colFirst="0" w:colLast="0" w:name="2jxsxqh" w:id="12"/>
      <w:bookmarkEnd w:id="12"/>
      <w:r w:rsidDel="00000000" w:rsidR="00000000" w:rsidRPr="00000000">
        <w:rPr>
          <w:rtl w:val="0"/>
        </w:rPr>
        <w:t xml:space="preserve">Comitê de Controle de Mudança (CCB)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Dado as três áreas aplicadas neste trabalho(GPR, GRE, GQA), ao menos 01(um) membro de cada uma destas áreas deve fazer parte do Comitê de controle das Mudanças. O membro participante não é fixo e pode ser passível de rearranjo em futuros cenários.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720" w:hanging="719"/>
        <w:contextualSpacing w:val="1"/>
        <w:rPr/>
      </w:pPr>
      <w:bookmarkStart w:colFirst="0" w:colLast="0" w:name="z337ya" w:id="13"/>
      <w:bookmarkEnd w:id="13"/>
      <w:r w:rsidDel="00000000" w:rsidR="00000000" w:rsidRPr="00000000">
        <w:rPr>
          <w:rtl w:val="0"/>
        </w:rPr>
        <w:t xml:space="preserve">Estimativa do Status de Configuração</w:t>
      </w:r>
    </w:p>
    <w:p w:rsidR="00000000" w:rsidDel="00000000" w:rsidP="00000000" w:rsidRDefault="00000000" w:rsidRPr="00000000">
      <w:pPr>
        <w:pStyle w:val="Heading3"/>
        <w:numPr>
          <w:ilvl w:val="2"/>
          <w:numId w:val="5"/>
        </w:numPr>
        <w:ind w:left="720" w:hanging="719"/>
        <w:contextualSpacing w:val="1"/>
        <w:rPr/>
      </w:pPr>
      <w:bookmarkStart w:colFirst="0" w:colLast="0" w:name="3j2qqm3" w:id="14"/>
      <w:bookmarkEnd w:id="14"/>
      <w:r w:rsidDel="00000000" w:rsidR="00000000" w:rsidRPr="00000000">
        <w:rPr>
          <w:rtl w:val="0"/>
        </w:rPr>
        <w:t xml:space="preserve">Processo de Armazenamento de Mídia e Liberação do Projeto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O projeto é armazenado em 03(três) viés de acesso: Google Drive para Artefatos projetuais, Github como repositório da última versão destes artefatos, assim como retenção de todos os documentos estruturais/de código e trello como plataforma com a réplica do cronograma estipulado no Plano de Projeto, assinado digitalmente por todos os membros do projeto.</w:t>
      </w:r>
      <w:r w:rsidDel="00000000" w:rsidR="00000000" w:rsidRPr="00000000">
        <w:rPr>
          <w:i w:val="1"/>
          <w:color w:val="0000ff"/>
          <w:rtl w:val="0"/>
        </w:rPr>
        <w:t xml:space="preserve">                                                                                                                                                                         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2016 - 2 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UFG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17" w:top="1417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69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950"/>
      <w:gridCol w:w="7740"/>
      <w:tblGridChange w:id="0">
        <w:tblGrid>
          <w:gridCol w:w="1950"/>
          <w:gridCol w:w="7740"/>
        </w:tblGrid>
      </w:tblGridChange>
    </w:tblGrid>
    <w:t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b w:val="1"/>
              <w:rtl w:val="0"/>
            </w:rPr>
            <w:t xml:space="preserve">sdc_processo</w:t>
          </w:r>
          <w:r w:rsidDel="00000000" w:rsidR="00000000" w:rsidRPr="00000000">
            <w:rPr>
              <w:rtl w:val="0"/>
            </w:rPr>
            <w:t xml:space="preserve">, 2016</w:t>
          </w:r>
        </w:p>
      </w:tc>
    </w:tr>
  </w:tbl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Processo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5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4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Trabalho Adailton</w:t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  <w:t xml:space="preserve">  Versão:           1.5</w:t>
          </w:r>
        </w:p>
      </w:tc>
    </w:tr>
    <w:tr>
      <w:trPr>
        <w:trHeight w:val="4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Plano de Gerência de Configuração</w:t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  Data:  01/11/2016</w:t>
          </w:r>
        </w:p>
      </w:tc>
    </w:tr>
    <w:t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PS.2016-2.ADA</w:t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spacing w:after="200" w:before="720" w:line="276" w:lineRule="auto"/>
            <w:contextualSpacing w:val="0"/>
          </w:pPr>
          <w:r w:rsidDel="00000000" w:rsidR="00000000" w:rsidRPr="00000000">
            <w:rPr>
              <w:rtl w:val="0"/>
            </w:rPr>
            <w:t xml:space="preserve">07 Páginas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19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19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19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19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