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Risk Scoring Method and Appetite</w:t>
      </w:r>
    </w:p>
    <w:p>
      <w:pPr>
        <w:pStyle w:val="Heading2"/>
      </w:pPr>
      <w:r>
        <w:t>1. Risk Scoring Model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Likelihood (1–5)</w:t>
            </w:r>
          </w:p>
        </w:tc>
        <w:tc>
          <w:tcPr>
            <w:tcW w:type="dxa" w:w="1234"/>
          </w:tcPr>
          <w:p>
            <w:r>
              <w:t>Description</w:t>
            </w:r>
          </w:p>
        </w:tc>
        <w:tc>
          <w:tcPr>
            <w:tcW w:type="dxa" w:w="1234"/>
          </w:tcPr>
          <w:p>
            <w:r>
              <w:t>Impact (1–5)</w:t>
            </w:r>
          </w:p>
        </w:tc>
        <w:tc>
          <w:tcPr>
            <w:tcW w:type="dxa" w:w="1234"/>
          </w:tcPr>
          <w:p>
            <w:r>
              <w:t>Description</w:t>
            </w:r>
          </w:p>
        </w:tc>
        <w:tc>
          <w:tcPr>
            <w:tcW w:type="dxa" w:w="1234"/>
          </w:tcPr>
          <w:p>
            <w:r>
              <w:t>Risk Score (L×I)</w:t>
            </w:r>
          </w:p>
        </w:tc>
        <w:tc>
          <w:tcPr>
            <w:tcW w:type="dxa" w:w="1234"/>
          </w:tcPr>
          <w:p>
            <w:r>
              <w:t>Risk Level</w:t>
            </w:r>
          </w:p>
        </w:tc>
        <w:tc>
          <w:tcPr>
            <w:tcW w:type="dxa" w:w="1234"/>
          </w:tcPr>
          <w:p>
            <w:r>
              <w:t>Treatment Strategy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Rare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Negligible</w:t>
            </w:r>
          </w:p>
        </w:tc>
        <w:tc>
          <w:tcPr>
            <w:tcW w:type="dxa" w:w="1234"/>
          </w:tcPr>
          <w:p>
            <w:r>
              <w:t>1–5</w:t>
            </w:r>
          </w:p>
        </w:tc>
        <w:tc>
          <w:tcPr>
            <w:tcW w:type="dxa" w:w="1234"/>
          </w:tcPr>
          <w:p>
            <w:r>
              <w:t>Low</w:t>
            </w:r>
          </w:p>
        </w:tc>
        <w:tc>
          <w:tcPr>
            <w:tcW w:type="dxa" w:w="1234"/>
          </w:tcPr>
          <w:p>
            <w:r>
              <w:t>Accept / Monitor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Unlikely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Minor</w:t>
            </w:r>
          </w:p>
        </w:tc>
        <w:tc>
          <w:tcPr>
            <w:tcW w:type="dxa" w:w="1234"/>
          </w:tcPr>
          <w:p>
            <w:r>
              <w:t>6–10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>
              <w:t>Mitigate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Possible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Moderate</w:t>
            </w:r>
          </w:p>
        </w:tc>
        <w:tc>
          <w:tcPr>
            <w:tcW w:type="dxa" w:w="1234"/>
          </w:tcPr>
          <w:p>
            <w:r>
              <w:t>11–15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  <w:tc>
          <w:tcPr>
            <w:tcW w:type="dxa" w:w="1234"/>
          </w:tcPr>
          <w:p>
            <w:r>
              <w:t>Mitigate / Escalate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Likely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Major</w:t>
            </w:r>
          </w:p>
        </w:tc>
        <w:tc>
          <w:tcPr>
            <w:tcW w:type="dxa" w:w="1234"/>
          </w:tcPr>
          <w:p>
            <w:r>
              <w:t>16–20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  <w:tc>
          <w:tcPr>
            <w:tcW w:type="dxa" w:w="1234"/>
          </w:tcPr>
          <w:p>
            <w:r>
              <w:t>Escalate / Prioritize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Almost Certain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Severe</w:t>
            </w:r>
          </w:p>
        </w:tc>
        <w:tc>
          <w:tcPr>
            <w:tcW w:type="dxa" w:w="1234"/>
          </w:tcPr>
          <w:p>
            <w:r>
              <w:t>21–25</w:t>
            </w:r>
          </w:p>
        </w:tc>
        <w:tc>
          <w:tcPr>
            <w:tcW w:type="dxa" w:w="1234"/>
          </w:tcPr>
          <w:p>
            <w:r>
              <w:t>Critical</w:t>
            </w:r>
          </w:p>
        </w:tc>
        <w:tc>
          <w:tcPr>
            <w:tcW w:type="dxa" w:w="1234"/>
          </w:tcPr>
          <w:p>
            <w:r>
              <w:t>Immediate Action / Report</w:t>
            </w:r>
          </w:p>
        </w:tc>
      </w:tr>
    </w:tbl>
    <w:p>
      <w:pPr>
        <w:pStyle w:val="Heading2"/>
      </w:pPr>
      <w:r>
        <w:t>2. Risk Appetite Statement</w:t>
      </w:r>
    </w:p>
    <w:p>
      <w:r>
        <w:t>ShopNimbus maintains a low risk appetite for confidentiality and integrity breaches, a medium appetite for controlled operational disruptions (availability), and a zero-tolerance policy for non-compliance with PCI DSS, GDPR, or NIST CSF control failures.</w:t>
      </w:r>
    </w:p>
    <w:p>
      <w:pPr>
        <w:pStyle w:val="Heading2"/>
      </w:pPr>
      <w:r>
        <w:t>3. Evaluation Cadence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Review Type</w:t>
            </w:r>
          </w:p>
        </w:tc>
        <w:tc>
          <w:tcPr>
            <w:tcW w:type="dxa" w:w="2160"/>
          </w:tcPr>
          <w:p>
            <w:r>
              <w:t>Frequency</w:t>
            </w:r>
          </w:p>
        </w:tc>
        <w:tc>
          <w:tcPr>
            <w:tcW w:type="dxa" w:w="2160"/>
          </w:tcPr>
          <w:p>
            <w:r>
              <w:t>Responsible Role</w:t>
            </w:r>
          </w:p>
        </w:tc>
        <w:tc>
          <w:tcPr>
            <w:tcW w:type="dxa" w:w="2160"/>
          </w:tcPr>
          <w:p>
            <w:r>
              <w:t>Notes</w:t>
            </w:r>
          </w:p>
        </w:tc>
      </w:tr>
      <w:tr>
        <w:tc>
          <w:tcPr>
            <w:tcW w:type="dxa" w:w="2160"/>
          </w:tcPr>
          <w:p>
            <w:r>
              <w:t>Risk Register Update</w:t>
            </w:r>
          </w:p>
        </w:tc>
        <w:tc>
          <w:tcPr>
            <w:tcW w:type="dxa" w:w="2160"/>
          </w:tcPr>
          <w:p>
            <w:r>
              <w:t>Monthly</w:t>
            </w:r>
          </w:p>
        </w:tc>
        <w:tc>
          <w:tcPr>
            <w:tcW w:type="dxa" w:w="2160"/>
          </w:tcPr>
          <w:p>
            <w:r>
              <w:t>Security Lead</w:t>
            </w:r>
          </w:p>
        </w:tc>
        <w:tc>
          <w:tcPr>
            <w:tcW w:type="dxa" w:w="2160"/>
          </w:tcPr>
          <w:p>
            <w:r>
              <w:t>Reflects new SCC findings and mitigations</w:t>
            </w:r>
          </w:p>
        </w:tc>
      </w:tr>
      <w:tr>
        <w:tc>
          <w:tcPr>
            <w:tcW w:type="dxa" w:w="2160"/>
          </w:tcPr>
          <w:p>
            <w:r>
              <w:t>Control Effectiveness Test</w:t>
            </w:r>
          </w:p>
        </w:tc>
        <w:tc>
          <w:tcPr>
            <w:tcW w:type="dxa" w:w="2160"/>
          </w:tcPr>
          <w:p>
            <w:r>
              <w:t>Quarterly</w:t>
            </w:r>
          </w:p>
        </w:tc>
        <w:tc>
          <w:tcPr>
            <w:tcW w:type="dxa" w:w="2160"/>
          </w:tcPr>
          <w:p>
            <w:r>
              <w:t>IAM / Network Engineer</w:t>
            </w:r>
          </w:p>
        </w:tc>
        <w:tc>
          <w:tcPr>
            <w:tcW w:type="dxa" w:w="2160"/>
          </w:tcPr>
          <w:p>
            <w:r>
              <w:t>Logs reviewed and tested against thresholds</w:t>
            </w:r>
          </w:p>
        </w:tc>
      </w:tr>
      <w:tr>
        <w:tc>
          <w:tcPr>
            <w:tcW w:type="dxa" w:w="2160"/>
          </w:tcPr>
          <w:p>
            <w:r>
              <w:t>Executive Risk Review</w:t>
            </w:r>
          </w:p>
        </w:tc>
        <w:tc>
          <w:tcPr>
            <w:tcW w:type="dxa" w:w="2160"/>
          </w:tcPr>
          <w:p>
            <w:r>
              <w:t>Biannually</w:t>
            </w:r>
          </w:p>
        </w:tc>
        <w:tc>
          <w:tcPr>
            <w:tcW w:type="dxa" w:w="2160"/>
          </w:tcPr>
          <w:p>
            <w:r>
              <w:t>Project Sponsor</w:t>
            </w:r>
          </w:p>
        </w:tc>
        <w:tc>
          <w:tcPr>
            <w:tcW w:type="dxa" w:w="2160"/>
          </w:tcPr>
          <w:p>
            <w:r>
              <w:t>Summarizes key risks and residual exposure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