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tep-1-formulation-background-setup"/>
    <w:p>
      <w:pPr>
        <w:pStyle w:val="2"/>
      </w:pPr>
      <w:r>
        <w:t xml:space="preserve">Step 1 — Formulation background &amp; setup</w:t>
      </w:r>
    </w:p>
    <w:p>
      <w:pPr>
        <w:pStyle w:val="FirstParagraph"/>
      </w:pPr>
      <w:r>
        <w:rPr>
          <w:b/>
          <w:bCs/>
        </w:rPr>
        <w:t xml:space="preserve">User input</w:t>
      </w:r>
      <w:r>
        <w:t xml:space="preserve"> </w:t>
      </w:r>
      <w:r>
        <w:t xml:space="preserve">- We are analyzing the static disintegration images of three self-made methylene blue sustained-release tablet formulations with different HPMC ratios. All images were captured under the same experimental conditions. The dissolution medium is initially pH 1.2, and after 1 hour it is switched to pH 6.8. The experiment was conducted at a controlled temperature of 38 °C to simulate a slightly elevated physiological condition. The system is a flow-through cell with a flow rate of 1 mL/min. The total observation period is 24 h. Images were captured continuously and later sampled into batches. Each message you receive contains multiple images representing a time window (e.g., 0–6 h, 6–12 h, 12–18 h, 18–24 h). Treat the images within the same window as observations from that time range rather than a single exact time point. These three formulations are all methylene blue sustained-release tablets, and their main difference lies in the ratio between HPMC K4M and HPMC 100lv. The first formulation is the low-viscosity formulation. In this formulation, methylene blue is 0.1436, silicon dioxide is 0.0501, magnesium stearate is 0.1274, microcrystalline cellulose is 9.6862, lactose is 9.686, HPMC K4M is 1.0624, and HPMC 100lv is 4.2484. The second formulation is the standard formulation, which is also the medium-viscosity formulation. In this formulation, methylene blue is 0.142, silicon dioxide is 0.0503, magnesium stearate is 0.1278, microcrystalline cellulose is 9.6893, lactose is 9.683, HPMC K4M is 2.5037, and HPMC 100lv is 2.8171. The third formulation is the high-viscosity formulation. In this formulation, methylene blue is 0.1446, silicon dioxide is 0.0502, magnesium stearate is 0.1276, microcrystalline cellulose is 9.6846, lactose is 9.6845, HPMC K4M is 4.246, and HPMC 100lv is 1.0653. Our optimization goal is to adjust the ratio between HPMC K4M and HPMC 100lv so that the cumulative release amount of the standard-viscosity methylene blue sustained-release tablet over the first 4 hours is increased to 105% of its original level.Concentration-time information will be provided later after the image-analysis stage, so for now please focus on the image-based disintegration behavior under the current experimental and formulation background.</w:t>
      </w:r>
    </w:p>
    <w:p>
      <w:pPr>
        <w:pStyle w:val="BodyText"/>
      </w:pPr>
      <w:r>
        <w:rPr>
          <w:b/>
          <w:bCs/>
        </w:rPr>
        <w:t xml:space="preserve">LLM parsing / plan</w:t>
      </w:r>
      <w:r>
        <w:t xml:space="preserve"> </w:t>
      </w:r>
      <w:r>
        <w:t xml:space="preserve">{</w:t>
      </w:r>
      <w:r>
        <w:t xml:space="preserve"> </w:t>
      </w:r>
      <w:r>
        <w:t xml:space="preserve">“experiment_config”</w:t>
      </w:r>
      <w:r>
        <w:t xml:space="preserve">: {</w:t>
      </w:r>
      <w:r>
        <w:t xml:space="preserve"> </w:t>
      </w:r>
      <w:r>
        <w:t xml:space="preserve">“medium_pH”</w:t>
      </w:r>
      <w:r>
        <w:t xml:space="preserve">:</w:t>
      </w:r>
      <w:r>
        <w:t xml:space="preserve"> </w:t>
      </w:r>
      <w:r>
        <w:t xml:space="preserve">“1.2 to 6.8 (switched after 1 hour)”</w:t>
      </w:r>
      <w:r>
        <w:t xml:space="preserve">,</w:t>
      </w:r>
      <w:r>
        <w:t xml:space="preserve"> </w:t>
      </w:r>
      <w:r>
        <w:t xml:space="preserve">“temperature_C”</w:t>
      </w:r>
      <w:r>
        <w:t xml:space="preserve">: 38,</w:t>
      </w:r>
      <w:r>
        <w:t xml:space="preserve"> </w:t>
      </w:r>
      <w:r>
        <w:t xml:space="preserve">“total_duration_hours”</w:t>
      </w:r>
      <w:r>
        <w:t xml:space="preserve">: 24,</w:t>
      </w:r>
      <w:r>
        <w:t xml:space="preserve"> </w:t>
      </w:r>
      <w:r>
        <w:t xml:space="preserve">“time_interval_hours”</w:t>
      </w:r>
      <w:r>
        <w:t xml:space="preserve">: null,</w:t>
      </w:r>
      <w:r>
        <w:t xml:space="preserve"> </w:t>
      </w:r>
      <w:r>
        <w:t xml:space="preserve">“other_conditions”</w:t>
      </w:r>
      <w:r>
        <w:t xml:space="preserve">:</w:t>
      </w:r>
      <w:r>
        <w:t xml:space="preserve"> </w:t>
      </w:r>
      <w:r>
        <w:t xml:space="preserve">“Flow-through cell with a flow rate of 1 mL/min. Images captured continuously and sampled into batches representing time windows (e.g., 0–6 h, 6–12 h, 12–18 h, 18–24 h).”</w:t>
      </w:r>
      <w:r>
        <w:t xml:space="preserve"> </w:t>
      </w:r>
      <w:r>
        <w:t xml:space="preserve">},</w:t>
      </w:r>
      <w:r>
        <w:t xml:space="preserve"> </w:t>
      </w:r>
      <w:r>
        <w:t xml:space="preserve">“formulation_info”</w:t>
      </w:r>
      <w:r>
        <w:t xml:space="preserve">: {</w:t>
      </w:r>
      <w:r>
        <w:t xml:space="preserve"> </w:t>
      </w:r>
      <w:r>
        <w:t xml:space="preserve">“formulation_1”</w:t>
      </w:r>
      <w:r>
        <w:t xml:space="preserve">: {</w:t>
      </w:r>
      <w:r>
        <w:t xml:space="preserve"> </w:t>
      </w:r>
      <w:r>
        <w:t xml:space="preserve">“formulation_name”</w:t>
      </w:r>
      <w:r>
        <w:t xml:space="preserve">:</w:t>
      </w:r>
      <w:r>
        <w:t xml:space="preserve"> </w:t>
      </w:r>
      <w:r>
        <w:t xml:space="preserve">“Low-viscosity formulation”</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“methylene blue: 0.1436, silicon dioxide: 0.0501, magnesium stearate: 0.1274, microcrystalline cellulose: 9.6862, lactose: 9.686, HPMC K4M: 1.0624, HPMC 100lv: 4.2484”</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“Main difference lies in the ratio between HPMC K4M and HPMC 100lv.”</w:t>
      </w:r>
      <w:r>
        <w:t xml:space="preserve">,</w:t>
      </w:r>
      <w:r>
        <w:t xml:space="preserve"> </w:t>
      </w:r>
      <w:r>
        <w:t xml:space="preserve">“process_notes”</w:t>
      </w:r>
      <w:r>
        <w:t xml:space="preserve">: null</w:t>
      </w:r>
      <w:r>
        <w:t xml:space="preserve"> </w:t>
      </w:r>
      <w:r>
        <w:t xml:space="preserve">},</w:t>
      </w:r>
      <w:r>
        <w:t xml:space="preserve"> </w:t>
      </w:r>
      <w:r>
        <w:t xml:space="preserve">“formulation_2”</w:t>
      </w:r>
      <w:r>
        <w:t xml:space="preserve">: {</w:t>
      </w:r>
      <w:r>
        <w:t xml:space="preserve"> </w:t>
      </w:r>
      <w:r>
        <w:t xml:space="preserve">“formulation_name”</w:t>
      </w:r>
      <w:r>
        <w:t xml:space="preserve">:</w:t>
      </w:r>
      <w:r>
        <w:t xml:space="preserve"> </w:t>
      </w:r>
      <w:r>
        <w:t xml:space="preserve">“Standard formulation (Medium-viscosity formulation)”</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“methylene blue: 0.142, silicon dioxide: 0.0503, magnesium stearate: 0.1278, microcrystalline cellulose: 9.6893, lactose: 9.683, HPMC K4M: 2.5037, HPMC 100lv: 2.8171”</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“Main difference lies in the ratio between HPMC K4M and HPMC 100lv.”</w:t>
      </w:r>
      <w:r>
        <w:t xml:space="preserve">,</w:t>
      </w:r>
      <w:r>
        <w:t xml:space="preserve"> </w:t>
      </w:r>
      <w:r>
        <w:t xml:space="preserve">“process_notes”</w:t>
      </w:r>
      <w:r>
        <w:t xml:space="preserve">: null</w:t>
      </w:r>
      <w:r>
        <w:t xml:space="preserve"> </w:t>
      </w:r>
      <w:r>
        <w:t xml:space="preserve">},</w:t>
      </w:r>
      <w:r>
        <w:t xml:space="preserve"> </w:t>
      </w:r>
      <w:r>
        <w:t xml:space="preserve">“formulation_3”</w:t>
      </w:r>
      <w:r>
        <w:t xml:space="preserve">: {</w:t>
      </w:r>
      <w:r>
        <w:t xml:space="preserve"> </w:t>
      </w:r>
      <w:r>
        <w:t xml:space="preserve">“formulation_name”</w:t>
      </w:r>
      <w:r>
        <w:t xml:space="preserve">:</w:t>
      </w:r>
      <w:r>
        <w:t xml:space="preserve"> </w:t>
      </w:r>
      <w:r>
        <w:t xml:space="preserve">“High-viscosity formulation”</w:t>
      </w:r>
      <w:r>
        <w:t xml:space="preserve">,</w:t>
      </w:r>
      <w:r>
        <w:t xml:space="preserve"> </w:t>
      </w:r>
      <w:r>
        <w:t xml:space="preserve">“sample_id”</w:t>
      </w:r>
      <w:r>
        <w:t xml:space="preserve">: null,</w:t>
      </w:r>
      <w:r>
        <w:t xml:space="preserve"> </w:t>
      </w:r>
      <w:r>
        <w:t xml:space="preserve">“composition”</w:t>
      </w:r>
      <w:r>
        <w:t xml:space="preserve">:</w:t>
      </w:r>
      <w:r>
        <w:t xml:space="preserve"> </w:t>
      </w:r>
      <w:r>
        <w:t xml:space="preserve">“methylene blue: 0.1446, silicon dioxide: 0.0502, magnesium stearate: 0.1276, microcrystalline cellulose: 9.6846, lactose: 9.6845, HPMC K4M: 4.246, HPMC 100lv: 1.0653”</w:t>
      </w:r>
      <w:r>
        <w:t xml:space="preserve">,</w:t>
      </w:r>
      <w:r>
        <w:t xml:space="preserve"> </w:t>
      </w:r>
      <w:r>
        <w:t xml:space="preserve">“excipients_or_polymer_info”</w:t>
      </w:r>
      <w:r>
        <w:t xml:space="preserve">:</w:t>
      </w:r>
      <w:r>
        <w:t xml:space="preserve"> </w:t>
      </w:r>
      <w:r>
        <w:t xml:space="preserve">“HPMC K4M and HPMC 100lv”</w:t>
      </w:r>
      <w:r>
        <w:t xml:space="preserve">,</w:t>
      </w:r>
      <w:r>
        <w:t xml:space="preserve"> </w:t>
      </w:r>
      <w:r>
        <w:t xml:space="preserve">“ratio_or_percentage”</w:t>
      </w:r>
      <w:r>
        <w:t xml:space="preserve">: null,</w:t>
      </w:r>
      <w:r>
        <w:t xml:space="preserve"> </w:t>
      </w:r>
      <w:r>
        <w:t xml:space="preserve">“key_formulation_comments”</w:t>
      </w:r>
      <w:r>
        <w:t xml:space="preserve">:</w:t>
      </w:r>
      <w:r>
        <w:t xml:space="preserve"> </w:t>
      </w:r>
      <w:r>
        <w:t xml:space="preserve">“Main difference lies in the ratio between HPMC K4M and HPMC 100lv.”</w:t>
      </w:r>
      <w:r>
        <w:t xml:space="preserve">,</w:t>
      </w:r>
      <w:r>
        <w:t xml:space="preserve"> </w:t>
      </w:r>
      <w:r>
        <w:t xml:space="preserve">“process_notes”</w:t>
      </w:r>
      <w:r>
        <w:t xml:space="preserve">: null</w:t>
      </w:r>
      <w:r>
        <w:t xml:space="preserve"> </w:t>
      </w:r>
      <w:r>
        <w:t xml:space="preserve">}</w:t>
      </w:r>
      <w:r>
        <w:t xml:space="preserve"> </w:t>
      </w:r>
      <w:r>
        <w:t xml:space="preserve">},</w:t>
      </w:r>
      <w:r>
        <w:t xml:space="preserve"> </w:t>
      </w:r>
      <w:r>
        <w:t xml:space="preserve">“optimization_context”</w:t>
      </w:r>
      <w:r>
        <w:t xml:space="preserve">: {</w:t>
      </w:r>
      <w:r>
        <w:t xml:space="preserve"> </w:t>
      </w:r>
      <w:r>
        <w:t xml:space="preserve">“optimization_target”</w:t>
      </w:r>
      <w:r>
        <w:t xml:space="preserve">:</w:t>
      </w:r>
      <w:r>
        <w:t xml:space="preserve"> </w:t>
      </w:r>
      <w:r>
        <w:t xml:space="preserve">“Increase the cumulative release amount of the standard-viscosity methylene blue sustained-release tablet over the first 4 hours to 105% of its original level.”</w:t>
      </w:r>
      <w:r>
        <w:t xml:space="preserve">,</w:t>
      </w:r>
      <w:r>
        <w:t xml:space="preserve"> </w:t>
      </w:r>
      <w:r>
        <w:t xml:space="preserve">“optimization_strategy_notes”</w:t>
      </w:r>
      <w:r>
        <w:t xml:space="preserve">:</w:t>
      </w:r>
      <w:r>
        <w:t xml:space="preserve"> </w:t>
      </w:r>
      <w:r>
        <w:t xml:space="preserve">“Adjust the ratio between HPMC K4M and HPMC 100lv.”</w:t>
      </w:r>
      <w:r>
        <w:t xml:space="preserve">,</w:t>
      </w:r>
      <w:r>
        <w:t xml:space="preserve"> </w:t>
      </w:r>
      <w:r>
        <w:t xml:space="preserve">“adjusted_formulation_variables”</w:t>
      </w:r>
      <w:r>
        <w:t xml:space="preserve">:</w:t>
      </w:r>
      <w:r>
        <w:t xml:space="preserve"> </w:t>
      </w:r>
      <w:r>
        <w:t xml:space="preserve">“Ratio between HPMC K4M and HPMC 100lv”</w:t>
      </w:r>
      <w:r>
        <w:t xml:space="preserve"> </w:t>
      </w:r>
      <w:r>
        <w:t xml:space="preserve">},</w:t>
      </w:r>
      <w:r>
        <w:t xml:space="preserve"> </w:t>
      </w:r>
      <w:r>
        <w:t xml:space="preserve">“analysis_plan”</w:t>
      </w:r>
      <w:r>
        <w:t xml:space="preserve">: {</w:t>
      </w:r>
      <w:r>
        <w:t xml:space="preserve"> </w:t>
      </w:r>
      <w:r>
        <w:t xml:space="preserve">“dimensions”</w:t>
      </w:r>
      <w:r>
        <w:t xml:space="preserve">: [</w:t>
      </w:r>
      <w:r>
        <w:t xml:space="preserve"> </w:t>
      </w:r>
      <w:r>
        <w:t xml:space="preserve">“Color Change”</w:t>
      </w:r>
      <w:r>
        <w:t xml:space="preserve">,</w:t>
      </w:r>
      <w:r>
        <w:t xml:space="preserve"> </w:t>
      </w:r>
      <w:r>
        <w:t xml:space="preserve">“Shape Change”</w:t>
      </w:r>
      <w:r>
        <w:t xml:space="preserve">,</w:t>
      </w:r>
      <w:r>
        <w:t xml:space="preserve"> </w:t>
      </w:r>
      <w:r>
        <w:t xml:space="preserve">“Surface Texture Change”</w:t>
      </w:r>
      <w:r>
        <w:t xml:space="preserve">,</w:t>
      </w:r>
      <w:r>
        <w:t xml:space="preserve"> </w:t>
      </w:r>
      <w:r>
        <w:t xml:space="preserve">“Volume Change”</w:t>
      </w:r>
      <w:r>
        <w:t xml:space="preserve">,</w:t>
      </w:r>
      <w:r>
        <w:t xml:space="preserve"> </w:t>
      </w:r>
      <w:r>
        <w:t xml:space="preserve">“Dissolution Speed and Time”</w:t>
      </w:r>
      <w:r>
        <w:t xml:space="preserve">,</w:t>
      </w:r>
      <w:r>
        <w:t xml:space="preserve"> </w:t>
      </w:r>
      <w:r>
        <w:t xml:space="preserve">“Physical State Change”</w:t>
      </w:r>
      <w:r>
        <w:t xml:space="preserve">,</w:t>
      </w:r>
      <w:r>
        <w:t xml:space="preserve"> </w:t>
      </w:r>
      <w:r>
        <w:t xml:space="preserve">“Dissolution Medium”</w:t>
      </w:r>
      <w:r>
        <w:t xml:space="preserve">,</w:t>
      </w:r>
      <w:r>
        <w:t xml:space="preserve"> </w:t>
      </w:r>
      <w:r>
        <w:t xml:space="preserve">“Fragment Distribution with Density”</w:t>
      </w:r>
      <w:r>
        <w:t xml:space="preserve">],</w:t>
      </w:r>
      <w:r>
        <w:t xml:space="preserve"> </w:t>
      </w:r>
      <w:r>
        <w:t xml:space="preserve">“single_formulation_strategy”</w:t>
      </w:r>
      <w:r>
        <w:t xml:space="preserve">:</w:t>
      </w:r>
      <w:r>
        <w:t xml:space="preserve"> </w:t>
      </w:r>
      <w:r>
        <w:t xml:space="preserve">“Analyze the temporal evolution of the single formulation across the eight dimensions using the provided image batches (time windows) to characterize disintegration behavior under the specified pH shift and flow conditions.”</w:t>
      </w:r>
      <w:r>
        <w:t xml:space="preserve">,</w:t>
      </w:r>
      <w:r>
        <w:t xml:space="preserve"> </w:t>
      </w:r>
      <w:r>
        <w:t xml:space="preserve">“three_formulation_strategy”</w:t>
      </w:r>
      <w:r>
        <w:t xml:space="preserve">:</w:t>
      </w:r>
      <w:r>
        <w:t xml:space="preserve"> </w:t>
      </w:r>
      <w:r>
        <w:t xml:space="preserve">“Compare the three formulations (low, medium, high viscosity) across the eight dimensions to identify how variations in the HPMC K4M/HPMC 100lv ratio influence static disintegration patterns, supporting the optimization of the release profile for the standard formulation.”</w:t>
      </w:r>
      <w:r>
        <w:t xml:space="preserve"> </w:t>
      </w:r>
      <w:r>
        <w:t xml:space="preserve">}</w:t>
      </w:r>
      <w:r>
        <w:t xml:space="preserve"> </w:t>
      </w:r>
      <w:r>
        <w:t xml:space="preserve">}</w:t>
      </w:r>
    </w:p>
    <w:p>
      <w:pPr>
        <w:pStyle w:val="BodyText"/>
      </w:pPr>
      <w:r>
        <w:rPr>
          <w:b/>
          <w:bCs/>
        </w:rPr>
        <w:t xml:space="preserve">Experiment config (json)</w:t>
      </w:r>
    </w:p>
    <w:p>
      <w:pPr>
        <w:pStyle w:val="SourceCode"/>
      </w:pPr>
      <w:r>
        <w:rPr>
          <w:rStyle w:val="FunctionTok"/>
        </w:rPr>
        <w:t xml:space="preserve">{</w:t>
      </w:r>
      <w:r>
        <w:br/>
      </w:r>
      <w:r>
        <w:rPr>
          <w:rStyle w:val="NormalTok"/>
        </w:rPr>
        <w:t xml:space="preserve">  </w:t>
      </w:r>
      <w:r>
        <w:rPr>
          <w:rStyle w:val="DataTypeTok"/>
        </w:rPr>
        <w:t xml:space="preserve">"medium_pH"</w:t>
      </w:r>
      <w:r>
        <w:rPr>
          <w:rStyle w:val="FunctionTok"/>
        </w:rPr>
        <w:t xml:space="preserve">:</w:t>
      </w:r>
      <w:r>
        <w:rPr>
          <w:rStyle w:val="NormalTok"/>
        </w:rPr>
        <w:t xml:space="preserve"> </w:t>
      </w:r>
      <w:r>
        <w:rPr>
          <w:rStyle w:val="StringTok"/>
        </w:rPr>
        <w:t xml:space="preserve">"1.2 to 6.8 (switched after 1 hour)"</w:t>
      </w:r>
      <w:r>
        <w:rPr>
          <w:rStyle w:val="FunctionTok"/>
        </w:rPr>
        <w:t xml:space="preserve">,</w:t>
      </w:r>
      <w:r>
        <w:br/>
      </w:r>
      <w:r>
        <w:rPr>
          <w:rStyle w:val="NormalTok"/>
        </w:rPr>
        <w:t xml:space="preserve">  </w:t>
      </w:r>
      <w:r>
        <w:rPr>
          <w:rStyle w:val="DataTypeTok"/>
        </w:rPr>
        <w:t xml:space="preserve">"temperature_C"</w:t>
      </w:r>
      <w:r>
        <w:rPr>
          <w:rStyle w:val="FunctionTok"/>
        </w:rPr>
        <w:t xml:space="preserve">:</w:t>
      </w:r>
      <w:r>
        <w:rPr>
          <w:rStyle w:val="NormalTok"/>
        </w:rPr>
        <w:t xml:space="preserve"> </w:t>
      </w:r>
      <w:r>
        <w:rPr>
          <w:rStyle w:val="DecValTok"/>
        </w:rPr>
        <w:t xml:space="preserve">38</w:t>
      </w:r>
      <w:r>
        <w:rPr>
          <w:rStyle w:val="FunctionTok"/>
        </w:rPr>
        <w:t xml:space="preserve">,</w:t>
      </w:r>
      <w:r>
        <w:br/>
      </w:r>
      <w:r>
        <w:rPr>
          <w:rStyle w:val="NormalTok"/>
        </w:rPr>
        <w:t xml:space="preserve">  </w:t>
      </w:r>
      <w:r>
        <w:rPr>
          <w:rStyle w:val="DataTypeTok"/>
        </w:rPr>
        <w:t xml:space="preserve">"total_duration_hours"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"time_interval_hours"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"other_conditions"</w:t>
      </w:r>
      <w:r>
        <w:rPr>
          <w:rStyle w:val="FunctionTok"/>
        </w:rPr>
        <w:t xml:space="preserve">:</w:t>
      </w:r>
      <w:r>
        <w:rPr>
          <w:rStyle w:val="NormalTok"/>
        </w:rPr>
        <w:t xml:space="preserve"> </w:t>
      </w:r>
      <w:r>
        <w:rPr>
          <w:rStyle w:val="StringTok"/>
        </w:rPr>
        <w:t xml:space="preserve">"Flow-through cell with a flow rate of 1 mL/min. Images captured continuously and sampled into batches representing time windows (e.g., 0–6 h, 6–12 h, 12–18 h, 18–24 h)."</w:t>
      </w:r>
      <w:r>
        <w:br/>
      </w:r>
      <w:r>
        <w:rPr>
          <w:rStyle w:val="FunctionTok"/>
        </w:rPr>
        <w:t xml:space="preserve">}</w:t>
      </w:r>
    </w:p>
    <w:p>
      <w:pPr>
        <w:pStyle w:val="FirstParagraph"/>
      </w:pPr>
      <w:r>
        <w:rPr>
          <w:b/>
          <w:bCs/>
        </w:rPr>
        <w:t xml:space="preserve">Formulation info (json)</w:t>
      </w:r>
    </w:p>
    <w:p>
      <w:pPr>
        <w:pStyle w:val="SourceCode"/>
      </w:pPr>
      <w:r>
        <w:rPr>
          <w:rStyle w:val="FunctionTok"/>
        </w:rPr>
        <w:t xml:space="preserve">{</w:t>
      </w:r>
      <w:r>
        <w:br/>
      </w:r>
      <w:r>
        <w:rPr>
          <w:rStyle w:val="NormalTok"/>
        </w:rPr>
        <w:t xml:space="preserve">  </w:t>
      </w:r>
      <w:r>
        <w:rPr>
          <w:rStyle w:val="DataTypeTok"/>
        </w:rPr>
        <w:t xml:space="preserve">"formulation_1"</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"Low-viscosity formulation"</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"methylene blue: 0.1436, silicon dioxide: 0.0501, magnesium stearate: 0.1274, microcrystalline cellulose: 9.6862, lactose: 9.686, HPMC K4M: 1.0624, HPMC 100lv: 4.2484"</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"Main difference lies in the ratio between HPMC K4M and HPMC 100lv."</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"formulation_2"</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"Standard formulation (Medium-viscosity formulation)"</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"methylene blue: 0.142, silicon dioxide: 0.0503, magnesium stearate: 0.1278, microcrystalline cellulose: 9.6893, lactose: 9.683, HPMC K4M: 2.5037, HPMC 100lv: 2.8171"</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"Main difference lies in the ratio between HPMC K4M and HPMC 100lv."</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"formulation_3"</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"formulation_name"</w:t>
      </w:r>
      <w:r>
        <w:rPr>
          <w:rStyle w:val="FunctionTok"/>
        </w:rPr>
        <w:t xml:space="preserve">:</w:t>
      </w:r>
      <w:r>
        <w:rPr>
          <w:rStyle w:val="NormalTok"/>
        </w:rPr>
        <w:t xml:space="preserve"> </w:t>
      </w:r>
      <w:r>
        <w:rPr>
          <w:rStyle w:val="StringTok"/>
        </w:rPr>
        <w:t xml:space="preserve">"High-viscosity formulation"</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"composition"</w:t>
      </w:r>
      <w:r>
        <w:rPr>
          <w:rStyle w:val="FunctionTok"/>
        </w:rPr>
        <w:t xml:space="preserve">:</w:t>
      </w:r>
      <w:r>
        <w:rPr>
          <w:rStyle w:val="NormalTok"/>
        </w:rPr>
        <w:t xml:space="preserve"> </w:t>
      </w:r>
      <w:r>
        <w:rPr>
          <w:rStyle w:val="StringTok"/>
        </w:rPr>
        <w:t xml:space="preserve">"methylene blue: 0.1446, silicon dioxide: 0.0502, magnesium stearate: 0.1276, microcrystalline cellulose: 9.6846, lactose: 9.6845, HPMC K4M: 4.246, HPMC 100lv: 1.0653"</w:t>
      </w:r>
      <w:r>
        <w:rPr>
          <w:rStyle w:val="FunctionTok"/>
        </w:rPr>
        <w:t xml:space="preserve">,</w:t>
      </w:r>
      <w:r>
        <w:br/>
      </w:r>
      <w:r>
        <w:rPr>
          <w:rStyle w:val="NormalTok"/>
        </w:rPr>
        <w:t xml:space="preserve">    </w:t>
      </w:r>
      <w:r>
        <w:rPr>
          <w:rStyle w:val="DataTypeTok"/>
        </w:rPr>
        <w:t xml:space="preserve">"excipients_or_polymer_info"</w:t>
      </w:r>
      <w:r>
        <w:rPr>
          <w:rStyle w:val="FunctionTok"/>
        </w:rPr>
        <w:t xml:space="preserve">:</w:t>
      </w:r>
      <w:r>
        <w:rPr>
          <w:rStyle w:val="NormalTok"/>
        </w:rPr>
        <w:t xml:space="preserve"> </w:t>
      </w:r>
      <w:r>
        <w:rPr>
          <w:rStyle w:val="StringTok"/>
        </w:rPr>
        <w:t xml:space="preserve">"HPMC K4M and HPMC 100lv"</w:t>
      </w:r>
      <w:r>
        <w:rPr>
          <w:rStyle w:val="FunctionTok"/>
        </w:rPr>
        <w:t xml:space="preserve">,</w:t>
      </w:r>
      <w:r>
        <w:br/>
      </w:r>
      <w:r>
        <w:rPr>
          <w:rStyle w:val="NormalTok"/>
        </w:rPr>
        <w:t xml:space="preserve">    </w:t>
      </w:r>
      <w:r>
        <w:rPr>
          <w:rStyle w:val="DataTypeTok"/>
        </w:rPr>
        <w:t xml:space="preserve">"ratio_or_percentage"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"key_formulation_comments"</w:t>
      </w:r>
      <w:r>
        <w:rPr>
          <w:rStyle w:val="FunctionTok"/>
        </w:rPr>
        <w:t xml:space="preserve">:</w:t>
      </w:r>
      <w:r>
        <w:rPr>
          <w:rStyle w:val="NormalTok"/>
        </w:rPr>
        <w:t xml:space="preserve"> </w:t>
      </w:r>
      <w:r>
        <w:rPr>
          <w:rStyle w:val="StringTok"/>
        </w:rPr>
        <w:t xml:space="preserve">"Main difference lies in the ratio between HPMC K4M and HPMC 100lv."</w:t>
      </w:r>
      <w:r>
        <w:rPr>
          <w:rStyle w:val="FunctionTok"/>
        </w:rPr>
        <w:t xml:space="preserve">,</w:t>
      </w:r>
      <w:r>
        <w:br/>
      </w:r>
      <w:r>
        <w:rPr>
          <w:rStyle w:val="NormalTok"/>
        </w:rPr>
        <w:t xml:space="preserve">    </w:t>
      </w:r>
      <w:r>
        <w:rPr>
          <w:rStyle w:val="DataTypeTok"/>
        </w:rPr>
        <w:t xml:space="preserve">"process_notes"</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Optimization context (json)</w:t>
      </w:r>
    </w:p>
    <w:p>
      <w:pPr>
        <w:pStyle w:val="SourceCode"/>
      </w:pPr>
      <w:r>
        <w:rPr>
          <w:rStyle w:val="FunctionTok"/>
        </w:rPr>
        <w:t xml:space="preserve">{</w:t>
      </w:r>
      <w:r>
        <w:br/>
      </w:r>
      <w:r>
        <w:rPr>
          <w:rStyle w:val="NormalTok"/>
        </w:rPr>
        <w:t xml:space="preserve">  </w:t>
      </w:r>
      <w:r>
        <w:rPr>
          <w:rStyle w:val="DataTypeTok"/>
        </w:rPr>
        <w:t xml:space="preserve">"optimization_target"</w:t>
      </w:r>
      <w:r>
        <w:rPr>
          <w:rStyle w:val="FunctionTok"/>
        </w:rPr>
        <w:t xml:space="preserve">:</w:t>
      </w:r>
      <w:r>
        <w:rPr>
          <w:rStyle w:val="NormalTok"/>
        </w:rPr>
        <w:t xml:space="preserve"> </w:t>
      </w:r>
      <w:r>
        <w:rPr>
          <w:rStyle w:val="StringTok"/>
        </w:rPr>
        <w:t xml:space="preserve">"Increase the cumulative release amount of the standard-viscosity methylene blue sustained-release tablet over the first 4 hours to 105% of its original level."</w:t>
      </w:r>
      <w:r>
        <w:rPr>
          <w:rStyle w:val="FunctionTok"/>
        </w:rPr>
        <w:t xml:space="preserve">,</w:t>
      </w:r>
      <w:r>
        <w:br/>
      </w:r>
      <w:r>
        <w:rPr>
          <w:rStyle w:val="NormalTok"/>
        </w:rPr>
        <w:t xml:space="preserve">  </w:t>
      </w:r>
      <w:r>
        <w:rPr>
          <w:rStyle w:val="DataTypeTok"/>
        </w:rPr>
        <w:t xml:space="preserve">"optimization_strategy_notes"</w:t>
      </w:r>
      <w:r>
        <w:rPr>
          <w:rStyle w:val="FunctionTok"/>
        </w:rPr>
        <w:t xml:space="preserve">:</w:t>
      </w:r>
      <w:r>
        <w:rPr>
          <w:rStyle w:val="NormalTok"/>
        </w:rPr>
        <w:t xml:space="preserve"> </w:t>
      </w:r>
      <w:r>
        <w:rPr>
          <w:rStyle w:val="StringTok"/>
        </w:rPr>
        <w:t xml:space="preserve">"Adjust the ratio between HPMC K4M and HPMC 100lv."</w:t>
      </w:r>
      <w:r>
        <w:rPr>
          <w:rStyle w:val="FunctionTok"/>
        </w:rPr>
        <w:t xml:space="preserve">,</w:t>
      </w:r>
      <w:r>
        <w:br/>
      </w:r>
      <w:r>
        <w:rPr>
          <w:rStyle w:val="NormalTok"/>
        </w:rPr>
        <w:t xml:space="preserve">  </w:t>
      </w:r>
      <w:r>
        <w:rPr>
          <w:rStyle w:val="DataTypeTok"/>
        </w:rPr>
        <w:t xml:space="preserve">"adjusted_formulation_variables"</w:t>
      </w:r>
      <w:r>
        <w:rPr>
          <w:rStyle w:val="FunctionTok"/>
        </w:rPr>
        <w:t xml:space="preserve">:</w:t>
      </w:r>
      <w:r>
        <w:rPr>
          <w:rStyle w:val="NormalTok"/>
        </w:rPr>
        <w:t xml:space="preserve"> </w:t>
      </w:r>
      <w:r>
        <w:rPr>
          <w:rStyle w:val="StringTok"/>
        </w:rPr>
        <w:t xml:space="preserve">"Ratio between HPMC K4M and HPMC 100lv"</w:t>
      </w:r>
      <w:r>
        <w:br/>
      </w:r>
      <w:r>
        <w:rPr>
          <w:rStyle w:val="FunctionTok"/>
        </w:rPr>
        <w:t xml:space="preserve">}</w:t>
      </w:r>
    </w:p>
    <w:p>
      <w:pPr>
        <w:pStyle w:val="FirstParagraph"/>
      </w:pPr>
      <w:r>
        <w:rPr>
          <w:b/>
          <w:bCs/>
        </w:rPr>
        <w:t xml:space="preserve">Analysis plan (json)</w:t>
      </w:r>
    </w:p>
    <w:p>
      <w:pPr>
        <w:pStyle w:val="SourceCode"/>
      </w:pPr>
    </w:p>
    <w:p>
      <w:r>
        <w:pict>
          <v:rect style="width:0;height:1.5pt" o:hralign="center" o:hrstd="t" o:hr="t"/>
        </w:pict>
      </w:r>
    </w:p>
    <w:bookmarkEnd w:id="9"/>
    <w:bookmarkStart w:id="10" w:name="step-2-single-set-image-analysis"/>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6.25-11.25h.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6.25</w:t>
      </w:r>
      <w:r>
        <w:rPr>
          <w:rStyle w:val="OtherTok"/>
        </w:rPr>
        <w:t xml:space="preserve">,</w:t>
      </w:r>
      <w:r>
        <w:br/>
      </w:r>
      <w:r>
        <w:rPr>
          <w:rStyle w:val="NormalTok"/>
        </w:rPr>
        <w:t xml:space="preserve">    </w:t>
      </w:r>
      <w:r>
        <w:rPr>
          <w:rStyle w:val="FloatTok"/>
        </w:rPr>
        <w:t xml:space="preserve">11.25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mass retains a deep blue coloration, indicating the presence of dye or drug substance within the matrix. The dissolution medium remains clear and cyan-tinted, with no significant increase in turbidity or diffusion of intense color clouds into the bulk fluid compared to previous states."</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tablet geometry is completely lost. The material has transformed into two large, irregular, mound-like structures resting on the bottom left. The edges are jagged and uneven, showing significant erosion compared to an intact dosage form."</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rough, resembling wet sand or a crystalline aggregate. It lacks a smooth gel-layer skin; instead, it appears porous and particulate, suggesting that the binder matrix has allowed individual particles to remain loosely aggregated rather than forming a cohesive viscous gel barrier."</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"While the material occupies a significant footprint, the vertical height is low, indicating that the structure has collapsed under its own weight or due to flow forces. There is no evidence of massive swelling (hydrogel expansion); rather, the volume appears to be slowly diminishing through surface erosion."</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"In this time window (6.25–11.25 h), the disintegration process appears to have slowed significantly compared to the initial rapid breakdown. The structures are relatively stable, suggesting a transition from rapid fragmentation to a slower phase of surface erosion or steady-state dissolution."</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solid compressed tablet to a loose, sedimented aggregate of fine particles. It behaves more like a pile of wet powder than a swollen hydrogel mass, consistent with the 'low-viscosity' formulation characteristics where the polymer network may not be strong enough to hold a swollen shape against flow."</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visually clear with very low turbidity. This suggests that while the tablet is eroding, the released particles are either settling quickly (due to density) or dissolving rapidly without creating a cloudy suspension. The pH shift (to 6.8) likely influences the solubility of the remaining matrix components."</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 fragments are not dispersed throughout the cell but are concentrated in a dense pile at the bottom left corner, likely trapped by the cell geometry or flow stagnation point. A distinct layer of finer white/light-blue sediment has accumulated at the base, indicating gravitational settling of eroded material."</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Low-Viscosity formulation: Lack of cohesive gel layer formation leads to structural collapse and sedimentation rather than suspended swelling. The 'sand-dune' morphology suggests weak inter-particulate bonding in the hydrated state. Disintegration mechanism is dominated by surface erosion and gravitational settling of fines rather than rapid dispersion."</w:t>
      </w:r>
      <w:r>
        <w:br/>
      </w:r>
      <w:r>
        <w:rPr>
          <w:rStyle w:val="FunctionTok"/>
        </w:rPr>
        <w:t xml:space="preserve">}</w:t>
      </w:r>
    </w:p>
    <w:p>
      <w:r>
        <w:pict>
          <v:rect style="width:0;height:1.5pt" o:hralign="center" o:hrstd="t" o:hr="t"/>
        </w:pict>
      </w:r>
    </w:p>
    <w:bookmarkEnd w:id="10"/>
    <w:bookmarkStart w:id="11" w:name="step-2-single-set-image-analysis-1"/>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12.5</w:t>
      </w:r>
      <w:r>
        <w:rPr>
          <w:rStyle w:val="OtherTok"/>
        </w:rPr>
        <w:t xml:space="preserve">,</w:t>
      </w:r>
      <w:r>
        <w:br/>
      </w:r>
      <w:r>
        <w:rPr>
          <w:rStyle w:val="NormalTok"/>
        </w:rPr>
        <w:t xml:space="preserve">    </w:t>
      </w:r>
      <w:r>
        <w:rPr>
          <w:rStyle w:val="FloatTok"/>
        </w:rPr>
        <w:t xml:space="preserve">17.5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mass retains a distinct blue coloration, which appears concentrated in the core and darker regions of the aggregate. The dissolution medium surrounding the tablet shows a faint, localized blue tint immediately adjacent to the surface, but remains largely clear and transparent further away. There is no significant diffusion of color throughout the bulk medium, indicating limited solubilization or dispersion of the dye at this stage."</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regular tablet geometry has been completely lost. The dosage form now exists as a large, irregular, cohesive mound or 'slug' with a rough, undulating outline. Compared to earlier time points (implied by the advanced disintegration state), the shape has evolved from a defined solid into this amorphous swollen mass that conforms slightly to the flow cell bottom but maintains its own structural integrity."</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porous, resembling wet sand or a coarse sponge. It lacks any smoothness, showing a microstructure composed of aggregated particles. There are visible crevices and a 'flaky' appearance on the leading edge where the medium interacts with the mass, suggesting ongoing surface erosion rather than uniform dissolution."</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volume of the remaining mass is substantial, appearing significantly larger than the original dry tablet due to hydration and swelling. While some material has eroded from the right-hand side (downstream), the overall occupied space remains high. The trend suggests a balance between continued swelling of the polymer matrix and slow surface erosion, resulting in a relatively stable but slowly decreasing volume over this window."</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"Relative to the initial rapid disintegration phases, the speed of breakdown appears to have slowed significantly. The process has transitioned from rapid fragmentation to a slower, steady-state erosion of the swollen gel/particle matrix. The lack of large-scale fragmentation events in these images indicates that the disintegration rate is now governed by the gradual wash-away of surface particles."</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compressed solid to a soft, hydrated, semi-solid aggregate. It behaves like a dense paste or packed granular bed held together by residual binder/polymer forces. The internal structure appears loose and permeable to the medium, yet it resists immediate collapse into individual fine particles, maintaining a coherent macroscopic form."</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remains predominantly clear with low turbidity globally. However, there are subtle streaks or cloud-like patterns of blue immediately trailing the tablet mass, indicating local saturation or suspension of fines. The presence of air bubbles at the top interface remains constant. The clarity of the bulk medium suggests that while the tablet is physically breaking down, the resulting particulates are either settling quickly or are not creating a widespread colloidal suspension."</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highly localized. The vast majority of the material is concentrated in the single large agglomerate on the left/center. A small amount of white/blue sediment is visible along the bottom floor of the cell, extending slightly downstream. There is a low density of suspended fragments in the upper liquid column; the system is characterized by a high-density static bed rather than a dispersed particle cloud."</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"At 12.5-17.5h, the low-viscosity formulation exhibits a 'swell-then-erode' behavior where a significant portion of the dose remains as a cohesive, swollen slug despite the extended time. Disintegration is not complete; instead, a stable granular matrix persists. Key observation for comparison: Unlike high-viscosity formulations which might form a smooth gel barrier, this low-viscosity variant shows a rough, granular surface texture, suggesting faster water penetration but slower structural collapse of the particle network."</w:t>
      </w:r>
      <w:r>
        <w:br/>
      </w:r>
      <w:r>
        <w:rPr>
          <w:rStyle w:val="FunctionTok"/>
        </w:rPr>
        <w:t xml:space="preserve">}</w:t>
      </w:r>
    </w:p>
    <w:p>
      <w:r>
        <w:pict>
          <v:rect style="width:0;height:1.5pt" o:hralign="center" o:hrstd="t" o:hr="t"/>
        </w:pict>
      </w:r>
    </w:p>
    <w:bookmarkEnd w:id="11"/>
    <w:bookmarkStart w:id="12" w:name="step-2-single-set-image-analysis-2"/>
    <w:p>
      <w:pPr>
        <w:pStyle w:val="2"/>
      </w:pPr>
      <w:r>
        <w:t xml:space="preserve">Step 2 — Single-set image analysis</w:t>
      </w:r>
    </w:p>
    <w:p>
      <w:pPr>
        <w:pStyle w:val="FirstParagraph"/>
      </w:pPr>
      <w:r>
        <w:rPr>
          <w:b/>
          <w:bCs/>
        </w:rPr>
        <w:t xml:space="preserve">User input</w:t>
      </w:r>
      <w:r>
        <w:t xml:space="preserve"> </w:t>
      </w:r>
      <w:r>
        <w:t xml:space="preserve">- These are pictures of the low-viscosity formulation during 18.75-23.75h.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18.75</w:t>
      </w:r>
      <w:r>
        <w:rPr>
          <w:rStyle w:val="OtherTok"/>
        </w:rPr>
        <w:t xml:space="preserve">,</w:t>
      </w:r>
      <w:r>
        <w:br/>
      </w:r>
      <w:r>
        <w:rPr>
          <w:rStyle w:val="NormalTok"/>
        </w:rPr>
        <w:t xml:space="preserve">    </w:t>
      </w:r>
      <w:r>
        <w:rPr>
          <w:rStyle w:val="FloatTok"/>
        </w:rPr>
        <w:t xml:space="preserve">23.75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mass retains a distinct blue hue, though it appears somewhat faded compared to earlier stages due to the prolonged leaching of the dye into the medium. The dissolution medium itself remains largely clear and colorless in the bulk volume, indicating that while the tablet is disintegrating, the dissolved components or suspended fines are being effectively cleared by the flow-through system rather than accumulating turbidity."</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original regular geometric shape of the tablet is completely lost. The material now exists as an irregular, amorphous mound resting on the bottom left of the cell. The right-facing edge of the mass shows significant erosion and rounding, lacking any defined structural boundaries, indicating advanced disintegration where only the core matrix remains."</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granular and rough, resembling wet sand or a crystalline aggregate. There are no smooth surfaces or intact polymer skins visible; instead, the structure appears porous and friable. This suggests that the binding agents have dissolved or eroded, leaving behind a loose network of insoluble excipients or drug particles."</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"There is a substantial reduction in overall volume compared to the initial state. The mass has collapsed significantly, occupying only a fraction of the original tablet's footprint. The height of the mound is low, and the material has spread slightly at the base but has not swollen into a large gelatinous mass, consistent with the behavior of a low-viscosity formulation that erodes rather than expands."</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"At this late stage (18.75–23.75 h), the disintegration speed appears to have slowed down considerably compared to the initial rapid breakdown phases. The process has transitioned from rapid fragmentation to a slower, steady-state erosion of the remaining resistant core. The visual similarity across the three frames suggests a stable, slow rate of material loss rather than sudden catastrophic failure."</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solid compressed tablet to a loose, semi-solid aggregate of particulates. It behaves like a damp powder cake that holds its shape loosely due to residual cohesion or friction between particles, rather than chemical bonding. There is no evidence of a cohesive gel layer; the structure is essentially a pile of eroding solids."</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clear with high transparency, allowing for sharp visualization of the tablet remnants. Several air bubbles are trapped along the top seal of the flow cell, which is a common artifact in such setups but does not obscure the view. The clarity of the medium confirms that the low-viscosity matrix does not generate significant viscosity-enhancing polymers that would cloud the solution."</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highly localized; the debris is concentrated almost entirely in the bottom-left corner where the main mass rests. There is very little dispersed particulate matter in the surrounding fluid, implying that fragments are either small enough to dissolve immediately or are swept away by the 1 mL/min flow rate before they can accumulate in the viewing window. The density of the remaining mass is highest at the base and decreases towards the eroding upper edges."</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"This image set represents the terminal phase of disintegration for the low-viscosity formulation. Key characteristics include the absence of swelling/gel formation (unlike high-viscosity HPMC variants), rapid loss of structural integrity leading to an amorphous granular mound, and effective clearance of fines by the flow medium. The 'critical change' relative to earlier time points is the complete disappearance of the tablet's original geometry and the stabilization of the erosion rate."</w:t>
      </w:r>
      <w:r>
        <w:br/>
      </w:r>
      <w:r>
        <w:rPr>
          <w:rStyle w:val="FunctionTok"/>
        </w:rPr>
        <w:t xml:space="preserve">}</w:t>
      </w:r>
    </w:p>
    <w:p>
      <w:r>
        <w:pict>
          <v:rect style="width:0;height:1.5pt" o:hralign="center" o:hrstd="t" o:hr="t"/>
        </w:pict>
      </w:r>
    </w:p>
    <w:bookmarkEnd w:id="12"/>
    <w:bookmarkStart w:id="13" w:name="step-2-single-set-image-analysis-3"/>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0.104-5h.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0.104</w:t>
      </w:r>
      <w:r>
        <w:rPr>
          <w:rStyle w:val="OtherTok"/>
        </w:rPr>
        <w:t xml:space="preserve">,</w:t>
      </w:r>
      <w:r>
        <w:br/>
      </w:r>
      <w:r>
        <w:rPr>
          <w:rStyle w:val="NormalTok"/>
        </w:rPr>
        <w:t xml:space="preserve">    </w:t>
      </w:r>
      <w:r>
        <w:rPr>
          <w:rStyle w:val="FloatTok"/>
        </w:rPr>
        <w:t xml:space="preserve">5.0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dissolution medium has transitioned from clear to a saturated, uniform cyan-blue color due to the release of the dye tracer. The tablet mass itself retains a deep blue/purple core but is surrounded by a lighter blue hydration shell. The intensity of the blue in the surrounding fluid indicates significant diffusion of soluble components."</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tablet has lost its initial sharp geometric edges (likely a capsule or cylinder) and has evolved into a rounded, mound-like shape. While it remains a single cohesive unit, the boundaries are soft and irregular, indicating surface erosion rather than catastrophic fragmentation."</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has transformed from smooth to highly granular and porous. It exhibits a 'sponge-like' or fibrous appearance, characteristic of a hydrophilic polymer matrix (such as HPMC) that has absorbed water and swollen. There are no visible cracks, but the surface is rough and uneven."</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"There is a distinct increase in volume compared to the initial dry state. The tablet has swelled significantly, occupying a larger footprint and height, forming a gelatinous dome. This suggests the formation of a viscous gel layer that maintains the structural integrity of the swollen mass."</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"Within this 0.1–5 hour window, the disintegration process appears steady. The rapid coloring of the medium suggests an initial burst of soluble excipients/dye, followed by a slower, controlled erosion of the polymer matrix. The rate of shape change seems to be stabilizing as the gel layer fully forms."</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shifted from a hard solid to a hydrated, semi-solid gel mass. The internal structure appears to have loosened to allow water penetration, resulting in a rubbery or paste-like consistency at the periphery, while the core likely remains denser."</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now turbid and deeply colored. Small air bubbles are trapped along the top surface of the flow cell. The uniform color suggests good mixing within the cell, although the flow rate (1 mL/min) is low enough to allow local saturation around the dosage form."</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"Fragmentation is minimal; the dosage form remains largely intact as a single swollen entity. However, there is a noticeable accumulation of fine, whitish/light-blue particulate sediment at the base of the tablet (on the grid), indicating slow erosion and shedding of micro-particles from the bottom surface."</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The standard formulation exhibits classic matrix swelling behavior with significant volume expansion and gel layer formation. Disintegration is driven by surface erosion rather than breakage. The presence of sediment at the base indicates ongoing slow degradation of the gel layer. Comparison point: Monitor if this swollen gel state persists or collapses in later time windows (6-24h)."</w:t>
      </w:r>
      <w:r>
        <w:br/>
      </w:r>
      <w:r>
        <w:rPr>
          <w:rStyle w:val="FunctionTok"/>
        </w:rPr>
        <w:t xml:space="preserve">}</w:t>
      </w:r>
    </w:p>
    <w:p>
      <w:r>
        <w:pict>
          <v:rect style="width:0;height:1.5pt" o:hralign="center" o:hrstd="t" o:hr="t"/>
        </w:pict>
      </w:r>
    </w:p>
    <w:bookmarkEnd w:id="13"/>
    <w:bookmarkStart w:id="14" w:name="step-2-single-set-image-analysis-4"/>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12.5</w:t>
      </w:r>
      <w:r>
        <w:rPr>
          <w:rStyle w:val="OtherTok"/>
        </w:rPr>
        <w:t xml:space="preserve">,</w:t>
      </w:r>
      <w:r>
        <w:br/>
      </w:r>
      <w:r>
        <w:rPr>
          <w:rStyle w:val="NormalTok"/>
        </w:rPr>
        <w:t xml:space="preserve">    </w:t>
      </w:r>
      <w:r>
        <w:rPr>
          <w:rStyle w:val="FloatTok"/>
        </w:rPr>
        <w:t xml:space="preserve">17.5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retains a vibrant blue coloration with significant white areas, indicating a mix of hydrated polymer and undissolved drug/excipients. The surrounding medium remains largely clear but shows faint blue turbidity immediately adjacent to the tablet surface, suggesting slow diffusion of the dye/drug. There is no drastic change in the overall color intensity compared to earlier stages, implying a steady-state release."</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tablet has lost its original sharp geometric edges (likely biconvex or capsule-shaped) and has evolved into a rounded, irregular mound. It maintains structural integrity as a single cohesive mass without breaking into separate large fragments. The outline is soft and diffuse rather than distinct."</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appears highly porous, granular, and rough, resembling a sponge-like matrix. There are no smooth surfaces remaining; the texture indicates extensive hydration and swelling of the polymer matrix (HPMC). Small particulate shedding is visible on the surface, creating a 'fuzzy' boundary between the solid and the liquid."</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tablet exhibits significant volumetric expansion (swelling) compared to its initial dry state. It occupies a larger vertical and horizontal space, forming a swollen gel layer. While it has swelled considerably, the volume appears relatively stable within this specific time window (12.5–17.5 h), suggesting the swelling phase may be nearing equilibrium or transitioning to a slower erosion phase."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"Relative to previous time points where rapid initial wetting and swelling likely occurred, the disintegration speed at this stage appears to have slowed down. The process is now dominated by gradual surface erosion and diffusion through the thickened gel layer rather than rapid bulk disintegration. The rate of size reduction is minimal in these images."</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solid to a soft, hydrogel-like semi-solid mass. The internal structure appears loose and water-logged. There is no evidence of complete collapse into a paste; instead, it holds its shape due to the viscosity of the swollen polymer network, acting as a reservoir for the remaining core."</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dissolution medium is predominantly clear with low turbidity, indicating that the suspended particles are either very fine or settling quickly. There are no large cloud-like patterns or precipitation bands visible in the bulk fluid. The clarity suggests that the pH shift (if active during this window) or the flow rate is effectively removing dissolved species, preventing local saturation clouds."</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is a notable accumulation of white/light-colored fine fragments and sediment at the base of the tablet, resting on the grid/mesh floor. These fragments appear to have eroded from the bottom surface of the swollen mass. The density of floating fragments in the upper medium is low, indicating that erosion products are primarily settling locally rather than dispersing uniformly throughout the cell."</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At 12.5-17.5h, the standard formulation is in a stable swollen gel state. Disintegration is driven by surface erosion rather than catastrophic breakdown. Significant sediment accumulation at the base suggests gravity-driven settling of eroded particles despite the flow-through conditions. The integrity of the gel layer is high, which correlates with sustained release behavior."</w:t>
      </w:r>
      <w:r>
        <w:br/>
      </w:r>
      <w:r>
        <w:rPr>
          <w:rStyle w:val="FunctionTok"/>
        </w:rPr>
        <w:t xml:space="preserve">}</w:t>
      </w:r>
    </w:p>
    <w:p>
      <w:r>
        <w:pict>
          <v:rect style="width:0;height:1.5pt" o:hralign="center" o:hrstd="t" o:hr="t"/>
        </w:pict>
      </w:r>
    </w:p>
    <w:bookmarkEnd w:id="14"/>
    <w:bookmarkStart w:id="15" w:name="step-2-single-set-image-analysis-5"/>
    <w:p>
      <w:pPr>
        <w:pStyle w:val="2"/>
      </w:pPr>
      <w:r>
        <w:t xml:space="preserve">Step 2 — Single-set image analysis</w:t>
      </w:r>
    </w:p>
    <w:p>
      <w:pPr>
        <w:pStyle w:val="FirstParagraph"/>
      </w:pPr>
      <w:r>
        <w:rPr>
          <w:b/>
          <w:bCs/>
        </w:rPr>
        <w:t xml:space="preserve">User input</w:t>
      </w:r>
      <w:r>
        <w:t xml:space="preserve"> </w:t>
      </w:r>
      <w:r>
        <w:t xml:space="preserve">- These are pictures of the standard formulation during 18.75-23.75h.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18.75</w:t>
      </w:r>
      <w:r>
        <w:rPr>
          <w:rStyle w:val="OtherTok"/>
        </w:rPr>
        <w:t xml:space="preserve">,</w:t>
      </w:r>
      <w:r>
        <w:br/>
      </w:r>
      <w:r>
        <w:rPr>
          <w:rStyle w:val="NormalTok"/>
        </w:rPr>
        <w:t xml:space="preserve">    </w:t>
      </w:r>
      <w:r>
        <w:rPr>
          <w:rStyle w:val="FloatTok"/>
        </w:rPr>
        <w:t xml:space="preserve">23.75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retains its distinct blue coloration, which is now heavily interspersed with white crystalline or fibrous structures on the surface. The dissolution medium remains largely clear and colorless, indicating that the dye is either bound within the matrix or has already diffused significantly, leaving no concentrated colored cloud in the immediate vicinity."</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overall outline of the dosage form remains roughly spherical but has lost its sharp, defined edges. It appears as a swollen, irregular mass rather than a precise geometric solid. There are no large-scale fractures or separation into multiple distinct chunks; it remains a single cohesive entity."</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has evolved from smooth to highly rough and granular. It exhibits a 'frosty' or crystalline appearance, likely due to the exposure of the polymer matrix (HPMC) and drug particles as the outer layers erode. There are visible pores and a fibrous quality to the surface, suggesting significant hydration and structural loosening."</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object appears to have undergone swelling followed by stabilization. Compared to earlier stages (implied), the volume is maintained or slightly increased due to water uptake, but there is no evidence of rapid collapse or significant reduction in total occupied space at this specific late-stage window."</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"At this late time point (18.75–23.75 h), the disintegration speed appears to be very slow or nearly static. The visual differences between the frames in this batch are minimal, suggesting the system has reached a pseudo-steady state where erosion is balanced by swelling, or the release rate is controlled strictly by diffusion through the gel layer."</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is best described as a hydrated gel-matrix or swollen mass. It has transitioned from a hard solid to a soft, porous structure. The internal structure appears loose and permeable, yet it maintains enough integrity to resist breaking apart under the flow conditions."</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clear with very low turbidity. There are no visible streaks, clouds, or precipitation bands surrounding the tablet. This clarity suggests that the soluble components have been carried away by the flow-through cell's continuous medium exchange, leaving only the insoluble matrix behind."</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is a notable accumulation of fine white particulate matter or sediment settled at the bottom of the cell, directly beneath and slightly downstream of the tablet. The tablet itself does not show widespread fragmentation into floating pieces; instead, material seems to be shedding gradually as fine debris that settles locally."</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the 18-24h window: The standard formulation exhibits high structural integrity despite prolonged exposure. The dominant feature is the formation of a stable, porous gel-layer with surface crystallization/fibrosis. Disintegration is characterized by slow surface erosion and local sedimentation of fines rather than catastrophic breakup. The lack of medium turbidity highlights the efficiency of the flow-through setup in removing dissolved species."</w:t>
      </w:r>
      <w:r>
        <w:br/>
      </w:r>
      <w:r>
        <w:rPr>
          <w:rStyle w:val="FunctionTok"/>
        </w:rPr>
        <w:t xml:space="preserve">}</w:t>
      </w:r>
    </w:p>
    <w:p>
      <w:r>
        <w:pict>
          <v:rect style="width:0;height:1.5pt" o:hralign="center" o:hrstd="t" o:hr="t"/>
        </w:pict>
      </w:r>
    </w:p>
    <w:bookmarkEnd w:id="15"/>
    <w:bookmarkStart w:id="16" w:name="step-2-single-set-image-analysis-6"/>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0.104-5h.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0.104</w:t>
      </w:r>
      <w:r>
        <w:rPr>
          <w:rStyle w:val="OtherTok"/>
        </w:rPr>
        <w:t xml:space="preserve">,</w:t>
      </w:r>
      <w:r>
        <w:br/>
      </w:r>
      <w:r>
        <w:rPr>
          <w:rStyle w:val="NormalTok"/>
        </w:rPr>
        <w:t xml:space="preserve">    </w:t>
      </w:r>
      <w:r>
        <w:rPr>
          <w:rStyle w:val="FloatTok"/>
        </w:rPr>
        <w:t xml:space="preserve">5.0</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exhibits a deep blue coloration that remains highly concentrated within the solid matrix. A distinct cyan/blue diffusion halo is visible at the interface between the tablet and the medium, indicating dye release. The surrounding dissolution medium has transitioned from clear to a uniform light blue/cyan hue, showing significant turbidity compared to the initial state."</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has lost its original sharp, regular tablet geometry (likely oval or capsule-shaped). It has evolved into a rounded, irregular swollen mass. The edges are no longer defined by a hard shell but by a soft, eroding boundary where the material transitions into the liquid medium."</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has changed drastically from smooth to extremely rough, porous, and granular. It resembles a 'sponge-like' or 'coral-like' structure with visible micro-pores and channels. This indicates that the binder matrix has hydrated and loosened, allowing the medium to penetrate deep into the core."</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"There is a noticeable increase in the overall volume occupied by the dosage form compared to a standard dry tablet. The matrix has undergone significant swelling (hydration of the polymer), expanding outward while maintaining structural integrity as a single cohesive mass rather than collapsing."</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"Within this 0.1–5 hour window, the disintegration appears to be in a steady hydration and erosion phase. The rapid initial wetting has likely occurred, leading to the current stable swollen state. The rate of size reduction appears slow relative to the degree of swelling, suggesting the high-viscosity polymer is effectively retarding immediate breakup."</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compressed solid to a hydrated, semi-solid gel-like mass. The internal structure appears loose and permeable, acting as a reservoir for the dissolving drug/dye, characteristic of a hydrophilic matrix system forming a gel layer."</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is visibly turbid and colored blue due to the dissolved tracer. There are no large precipitates, but there is a cloudiness indicative of suspended fine particles or dissolved polymers. Small air bubbles are trapped on the surface of the tablet and floating near the top, which may affect local wetting dynamics."</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 dosage form remains largely intact as a single primary fragment located on the right side of the flow cell. There is very low density of detached fragments in the bulk medium; instead of breaking into many small pieces, the tablet is eroding slowly from the surface inward. No significant sedimentation layer of large debris is observed at the bottom."</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"This image set represents the early-to-mid stage (0-5h) of the high-viscosity formulation. Key observation: The formation of a robust, swollen gel layer that maintains the tablet's gross shape despite significant surface erosion. This contrasts with low-viscosity formulations which might fragment earlier. The 'sponge-like' texture confirms effective water uptake without immediate structural collapse."</w:t>
      </w:r>
      <w:r>
        <w:br/>
      </w:r>
      <w:r>
        <w:rPr>
          <w:rStyle w:val="FunctionTok"/>
        </w:rPr>
        <w:t xml:space="preserve">}</w:t>
      </w:r>
    </w:p>
    <w:p>
      <w:r>
        <w:pict>
          <v:rect style="width:0;height:1.5pt" o:hralign="center" o:hrstd="t" o:hr="t"/>
        </w:pict>
      </w:r>
    </w:p>
    <w:bookmarkEnd w:id="16"/>
    <w:bookmarkStart w:id="17" w:name="step-2-single-set-image-analysis-7"/>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6.25-11.25h.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6.25</w:t>
      </w:r>
      <w:r>
        <w:rPr>
          <w:rStyle w:val="OtherTok"/>
        </w:rPr>
        <w:t xml:space="preserve">,</w:t>
      </w:r>
      <w:r>
        <w:br/>
      </w:r>
      <w:r>
        <w:rPr>
          <w:rStyle w:val="NormalTok"/>
        </w:rPr>
        <w:t xml:space="preserve">    </w:t>
      </w:r>
      <w:r>
        <w:rPr>
          <w:rStyle w:val="FloatTok"/>
        </w:rPr>
        <w:t xml:space="preserve">11.25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exhibits a deep blue coloration with lighter blue and white speckling on the surface, indicating partial hydration or matrix exposure. The surrounding dissolution medium is a clear, light cyan/blue, suggesting that some dye has leached from the tablet but remains relatively dilute in the bulk fluid compared to the intense color of the solid mass."</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dosage form maintains a generally spherical outline but has lost its initial sharp geometric definition. It appears as a swollen, cohesive mass rather than a rigid tablet. While it retains its overall integrity without breaking into separate large fragments, the edges appear slightly softened and irregular compared to a pristine tablet."</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distinctive, appearing rough, granular, and 'fuzzy.' This suggests significant swelling of the polymer matrix (likely HPMC) creating a hydrated gel layer. There are no smooth areas visible; the entire surface is characterized by a porous, sponge-like microstructure indicative of water penetration and matrix expansion."</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"There is a noticeable increase in volume compared to the initial dry state, consistent with the formation of a swollen gel layer. The tablet occupies a significant portion of the vertical space in the cell. The volume appears stable in this window, suggesting the swelling phase is largely complete and the system is in a steady-state erosion phase."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"Within this 6.25–11.25 hour window, the disintegration speed appears slow and controlled. There is no evidence of rapid catastrophic failure or sudden fragmentation. The process is dominated by gradual surface erosion, typical of high-viscosity hydrophilic matrices where the gel layer acts as a barrier to rapid dissolution."</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compressed solid to a soft, hydrated gel-mass. The internal structure appears loosened due to water uptake, transforming the tablet into a viscous, semi-solid entity that holds its shape through polymeric entanglement rather than mechanical compression."</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remains transparent with a uniform light blue tint, indicating good mixing and lack of significant localized turbidity clouds around the tablet. Small air bubbles are trapped at the top interface, but there is no visible precipitation or cloudiness in the bulk liquid, suggesting the dissolved components remain in solution."</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minimal. A small amount of white/light-blue particulate sediment is visible on the bottom floor of the cell, likely eroded particles that have settled. The majority of the mass remains concentrated in the central swollen tablet. There is no widespread dispersion of fine particles throughout the medium, indicating high cohesion of the gel layer."</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"This image set represents the 'High-Viscosity' formulation during the mid-stage of dissolution (post-pH shift). Key characteristic: Formation of a robust, fuzzy gel layer that maintains structural integrity while undergoing slow surface erosion. Unlike lower viscosity formulations which might fragment earlier, this high-viscosity matrix swells significantly without disintegrating into loose pieces, demonstrating the retarding effect of the polymer on drug release."</w:t>
      </w:r>
      <w:r>
        <w:br/>
      </w:r>
      <w:r>
        <w:rPr>
          <w:rStyle w:val="FunctionTok"/>
        </w:rPr>
        <w:t xml:space="preserve">}</w:t>
      </w:r>
    </w:p>
    <w:p>
      <w:r>
        <w:pict>
          <v:rect style="width:0;height:1.5pt" o:hralign="center" o:hrstd="t" o:hr="t"/>
        </w:pict>
      </w:r>
    </w:p>
    <w:bookmarkEnd w:id="17"/>
    <w:bookmarkStart w:id="18" w:name="step-2-single-set-image-analysis-8"/>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12.5-17.5h.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12.5</w:t>
      </w:r>
      <w:r>
        <w:rPr>
          <w:rStyle w:val="OtherTok"/>
        </w:rPr>
        <w:t xml:space="preserve">,</w:t>
      </w:r>
      <w:r>
        <w:br/>
      </w:r>
      <w:r>
        <w:rPr>
          <w:rStyle w:val="NormalTok"/>
        </w:rPr>
        <w:t xml:space="preserve">    </w:t>
      </w:r>
      <w:r>
        <w:rPr>
          <w:rStyle w:val="FloatTok"/>
        </w:rPr>
        <w:t xml:space="preserve">17.5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core retains a deep blue coloration, but the intensity appears slightly reduced compared to earlier stages due to the extensive surface area exposure. The surrounding dissolution medium shows a faint, diffuse cyan tint, indicating continuous but slow leaching of the dye/drug substance into the bulk fluid."</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formulation has lost its original compact tablet geometry entirely, evolving into a large, cohesive, roughly spherical swollen mass (gel layer). It maintains a generally round outline but lacks sharp edges, appearing soft and eroded. There is no evidence of fragmentation into multiple distinct pieces; it remains a single entity."</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highly irregular, rough, and granular, resembling a 'cauliflower' or porous sponge structure. This indicates significant hydration and swelling of the polymer matrix (likely HPMC). The surface appears friable with visible micro-pores and crevices where the medium has penetrated, rather than a smooth gel skin."</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volume of the dosage form is significantly expanded compared to a standard dry tablet, occupying a large portion of the central flow cell. It exhibits a 'swell-then-erode' behavior, currently maintaining a high volume due to the viscous nature of the high-viscosity formulation preventing rapid collapse."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"Relative to the previous time points (implied earlier in the 12-18h window), the disintegration speed appears to have slowed down or reached a quasi-steady state. The rate of erosion seems balanced by the swelling pressure, resulting in a stable size rather than rapid shrinking. The process is dominated by surface erosion rather than bulk disintegration."</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solid compressed powder to a hydrated, rubbery, semi-solid gel mass. The internal structure appears loosened and porous, allowing fluid ingress, but the high viscosity of the excipients keeps the mass intact as a cohesive hydrogel blob rather than turning into a free-flowing paste or suspension."</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medium remains largely clear with low turbidity, suggesting that while the tablet is eroding, the released particles are either very fine and dissolved or the flow rate (1 mL/min) is efficiently clearing them. A slight blue haze surrounds the tablet, creating a concentration gradient boundary layer."</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"There are no large fragments dispersed in the medium. Instead, there is a localized accumulation of fine, white/blue particulate sediment at the bottom of the cell, directly beneath the swollen mass. This indicates that eroded material settles locally due to gravity before being fully swept away by the flow."</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"Key observation for High-Viscosity formulation: At 12.5-17.5 hours, the tablet exists primarily as a stable, swollen hydrogel sphere with a rough, porous surface. Unlike lower viscosity formulations which might fragment, this one maintains structural integrity through swelling. Erosion is slow and surface-limited, with sediment accumulating at the base. This confirms the sustained-release mechanism driven by the viscous gel layer."</w:t>
      </w:r>
      <w:r>
        <w:br/>
      </w:r>
      <w:r>
        <w:rPr>
          <w:rStyle w:val="FunctionTok"/>
        </w:rPr>
        <w:t xml:space="preserve">}</w:t>
      </w:r>
    </w:p>
    <w:p>
      <w:r>
        <w:pict>
          <v:rect style="width:0;height:1.5pt" o:hralign="center" o:hrstd="t" o:hr="t"/>
        </w:pict>
      </w:r>
    </w:p>
    <w:bookmarkEnd w:id="18"/>
    <w:bookmarkStart w:id="19" w:name="step-2-single-set-image-analysis-9"/>
    <w:p>
      <w:pPr>
        <w:pStyle w:val="2"/>
      </w:pPr>
      <w:r>
        <w:t xml:space="preserve">Step 2 — Single-set image analysis</w:t>
      </w:r>
    </w:p>
    <w:p>
      <w:pPr>
        <w:pStyle w:val="FirstParagraph"/>
      </w:pPr>
      <w:r>
        <w:rPr>
          <w:b/>
          <w:bCs/>
        </w:rPr>
        <w:t xml:space="preserve">User input</w:t>
      </w:r>
      <w:r>
        <w:t xml:space="preserve"> </w:t>
      </w:r>
      <w:r>
        <w:t xml:space="preserve">- These are pictures of the high-viscosity formulation during 18.75-23.75h.</w:t>
      </w:r>
    </w:p>
    <w:p>
      <w:pPr>
        <w:pStyle w:val="BodyText"/>
      </w:pPr>
      <w:r>
        <w:rPr>
          <w:b/>
          <w:bCs/>
        </w:rPr>
        <w:t xml:space="preserve">LLM image analysis output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"time_range_h"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18.75</w:t>
      </w:r>
      <w:r>
        <w:rPr>
          <w:rStyle w:val="OtherTok"/>
        </w:rPr>
        <w:t xml:space="preserve">,</w:t>
      </w:r>
      <w:r>
        <w:br/>
      </w:r>
      <w:r>
        <w:rPr>
          <w:rStyle w:val="NormalTok"/>
        </w:rPr>
        <w:t xml:space="preserve">    </w:t>
      </w:r>
      <w:r>
        <w:rPr>
          <w:rStyle w:val="FloatTok"/>
        </w:rPr>
        <w:t xml:space="preserve">23.75</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"time_h"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"eight_dimension_description"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"color_change"</w:t>
      </w:r>
      <w:r>
        <w:rPr>
          <w:rStyle w:val="FunctionTok"/>
        </w:rPr>
        <w:t xml:space="preserve">:</w:t>
      </w:r>
      <w:r>
        <w:rPr>
          <w:rStyle w:val="NormalTok"/>
        </w:rPr>
        <w:t xml:space="preserve"> </w:t>
      </w:r>
      <w:r>
        <w:rPr>
          <w:rStyle w:val="StringTok"/>
        </w:rPr>
        <w:t xml:space="preserve">"The tablet retains a vibrant blue coloration, which appears slightly more diffuse and less saturated at the periphery compared to earlier stages, indicating continued leaching of the dye. The surrounding dissolution medium remains largely clear with minimal turbidity, suggesting that while the dye is releasing, the bulk matrix material is not dissolving rapidly into the solution."</w:t>
      </w:r>
      <w:r>
        <w:rPr>
          <w:rStyle w:val="FunctionTok"/>
        </w:rPr>
        <w:t xml:space="preserve">,</w:t>
      </w:r>
      <w:r>
        <w:br/>
      </w:r>
      <w:r>
        <w:rPr>
          <w:rStyle w:val="NormalTok"/>
        </w:rPr>
        <w:t xml:space="preserve">    </w:t>
      </w:r>
      <w:r>
        <w:rPr>
          <w:rStyle w:val="DataTypeTok"/>
        </w:rPr>
        <w:t xml:space="preserve">"shape_change"</w:t>
      </w:r>
      <w:r>
        <w:rPr>
          <w:rStyle w:val="FunctionTok"/>
        </w:rPr>
        <w:t xml:space="preserve">:</w:t>
      </w:r>
      <w:r>
        <w:rPr>
          <w:rStyle w:val="NormalTok"/>
        </w:rPr>
        <w:t xml:space="preserve"> </w:t>
      </w:r>
      <w:r>
        <w:rPr>
          <w:rStyle w:val="StringTok"/>
        </w:rPr>
        <w:t xml:space="preserve">"The overall outline remains roughly spherical but has evolved from a smooth, intact solid into a coarse, irregular mass. The edges are no longer sharp; instead, they appear frayed and granular. Compared to previous time points, the shape is stable but shows signs of surface erosion rather than catastrophic fragmentation."</w:t>
      </w:r>
      <w:r>
        <w:rPr>
          <w:rStyle w:val="FunctionTok"/>
        </w:rPr>
        <w:t xml:space="preserve">,</w:t>
      </w:r>
      <w:r>
        <w:br/>
      </w:r>
      <w:r>
        <w:rPr>
          <w:rStyle w:val="NormalTok"/>
        </w:rPr>
        <w:t xml:space="preserve">    </w:t>
      </w:r>
      <w:r>
        <w:rPr>
          <w:rStyle w:val="DataTypeTok"/>
        </w:rPr>
        <w:t xml:space="preserve">"surface_texture_change"</w:t>
      </w:r>
      <w:r>
        <w:rPr>
          <w:rStyle w:val="FunctionTok"/>
        </w:rPr>
        <w:t xml:space="preserve">:</w:t>
      </w:r>
      <w:r>
        <w:rPr>
          <w:rStyle w:val="NormalTok"/>
        </w:rPr>
        <w:t xml:space="preserve"> </w:t>
      </w:r>
      <w:r>
        <w:rPr>
          <w:rStyle w:val="StringTok"/>
        </w:rPr>
        <w:t xml:space="preserve">"The surface texture is distinctly rough, porous, and 'fuzzy,' resembling a sponge or a cluster of fine crystals. This indicates significant hydration and swelling of the polymer matrix (likely HPMC). There are no large cracks, but the microstructure shows a loose, open network where individual particles or granules are visible on the surface, contrasting with the smooth skin of an intact tablet."</w:t>
      </w:r>
      <w:r>
        <w:rPr>
          <w:rStyle w:val="FunctionTok"/>
        </w:rPr>
        <w:t xml:space="preserve">,</w:t>
      </w:r>
      <w:r>
        <w:br/>
      </w:r>
      <w:r>
        <w:rPr>
          <w:rStyle w:val="NormalTok"/>
        </w:rPr>
        <w:t xml:space="preserve">    </w:t>
      </w:r>
      <w:r>
        <w:rPr>
          <w:rStyle w:val="DataTypeTok"/>
        </w:rPr>
        <w:t xml:space="preserve">"volume_change"</w:t>
      </w:r>
      <w:r>
        <w:rPr>
          <w:rStyle w:val="FunctionTok"/>
        </w:rPr>
        <w:t xml:space="preserve">:</w:t>
      </w:r>
      <w:r>
        <w:rPr>
          <w:rStyle w:val="NormalTok"/>
        </w:rPr>
        <w:t xml:space="preserve"> </w:t>
      </w:r>
      <w:r>
        <w:rPr>
          <w:rStyle w:val="StringTok"/>
        </w:rPr>
        <w:t xml:space="preserve">"The tablet exhibits significant volumetric expansion (swelling) relative to its original dry state. It occupies a larger diameter than the initial dosage form. However, within this specific time window (18.75–23.75 h), the volume appears relatively stable, suggesting the swelling phase has plateaued and the system is now in a steady-state erosion phase rather than rapid expansion or collapse."</w:t>
      </w:r>
      <w:r>
        <w:rPr>
          <w:rStyle w:val="FunctionTok"/>
        </w:rPr>
        <w:t xml:space="preserve">,</w:t>
      </w:r>
      <w:r>
        <w:br/>
      </w:r>
      <w:r>
        <w:rPr>
          <w:rStyle w:val="NormalTok"/>
        </w:rPr>
        <w:t xml:space="preserve">    </w:t>
      </w:r>
      <w:r>
        <w:rPr>
          <w:rStyle w:val="DataTypeTok"/>
        </w:rPr>
        <w:t xml:space="preserve">"dissolution_speed_time"</w:t>
      </w:r>
      <w:r>
        <w:rPr>
          <w:rStyle w:val="FunctionTok"/>
        </w:rPr>
        <w:t xml:space="preserve">:</w:t>
      </w:r>
      <w:r>
        <w:rPr>
          <w:rStyle w:val="NormalTok"/>
        </w:rPr>
        <w:t xml:space="preserve"> </w:t>
      </w:r>
      <w:r>
        <w:rPr>
          <w:rStyle w:val="StringTok"/>
        </w:rPr>
        <w:t xml:space="preserve">"The disintegration speed appears to have slowed down significantly compared to the initial hours. The process has transitioned from rapid wetting/swelling to a slow, controlled surface erosion. There is no evidence of sudden fragmentation or rapid size reduction in this batch, consistent with the behavior of a high-viscosity formulation maintaining structural integrity over a prolonged period."</w:t>
      </w:r>
      <w:r>
        <w:rPr>
          <w:rStyle w:val="FunctionTok"/>
        </w:rPr>
        <w:t xml:space="preserve">,</w:t>
      </w:r>
      <w:r>
        <w:br/>
      </w:r>
      <w:r>
        <w:rPr>
          <w:rStyle w:val="NormalTok"/>
        </w:rPr>
        <w:t xml:space="preserve">    </w:t>
      </w:r>
      <w:r>
        <w:rPr>
          <w:rStyle w:val="DataTypeTok"/>
        </w:rPr>
        <w:t xml:space="preserve">"physical_state_change"</w:t>
      </w:r>
      <w:r>
        <w:rPr>
          <w:rStyle w:val="FunctionTok"/>
        </w:rPr>
        <w:t xml:space="preserve">:</w:t>
      </w:r>
      <w:r>
        <w:rPr>
          <w:rStyle w:val="NormalTok"/>
        </w:rPr>
        <w:t xml:space="preserve"> </w:t>
      </w:r>
      <w:r>
        <w:rPr>
          <w:rStyle w:val="StringTok"/>
        </w:rPr>
        <w:t xml:space="preserve">"The physical state has transitioned from a hard, compressed solid to a soft, hydrated gel-like mass. The internal structure appears loose and permeable to water. While it holds its general shape, the boundary between the solid tablet and the liquid medium is blurred by a layer of swollen polymer chains and suspended fines, indicating a gel-layer controlled release mechanism."</w:t>
      </w:r>
      <w:r>
        <w:rPr>
          <w:rStyle w:val="FunctionTok"/>
        </w:rPr>
        <w:t xml:space="preserve">,</w:t>
      </w:r>
      <w:r>
        <w:br/>
      </w:r>
      <w:r>
        <w:rPr>
          <w:rStyle w:val="NormalTok"/>
        </w:rPr>
        <w:t xml:space="preserve">    </w:t>
      </w:r>
      <w:r>
        <w:rPr>
          <w:rStyle w:val="DataTypeTok"/>
        </w:rPr>
        <w:t xml:space="preserve">"dissolution_medium"</w:t>
      </w:r>
      <w:r>
        <w:rPr>
          <w:rStyle w:val="FunctionTok"/>
        </w:rPr>
        <w:t xml:space="preserve">:</w:t>
      </w:r>
      <w:r>
        <w:rPr>
          <w:rStyle w:val="NormalTok"/>
        </w:rPr>
        <w:t xml:space="preserve"> </w:t>
      </w:r>
      <w:r>
        <w:rPr>
          <w:rStyle w:val="StringTok"/>
        </w:rPr>
        <w:t xml:space="preserve">"The dissolution medium is predominantly clear and transparent, with air bubbles visible near the top and sides due to the flow-through cell setup. There is a very faint bluish tint immediately surrounding the tablet, but no heavy cloudiness or precipitation bands are observed. This clarity suggests the high-viscosity matrix is resisting rapid disintegration into fine particulate matter that would otherwise turbidify the medium."</w:t>
      </w:r>
      <w:r>
        <w:rPr>
          <w:rStyle w:val="FunctionTok"/>
        </w:rPr>
        <w:t xml:space="preserve">,</w:t>
      </w:r>
      <w:r>
        <w:br/>
      </w:r>
      <w:r>
        <w:rPr>
          <w:rStyle w:val="NormalTok"/>
        </w:rPr>
        <w:t xml:space="preserve">    </w:t>
      </w:r>
      <w:r>
        <w:rPr>
          <w:rStyle w:val="DataTypeTok"/>
        </w:rPr>
        <w:t xml:space="preserve">"fragment_distribution_density"</w:t>
      </w:r>
      <w:r>
        <w:rPr>
          <w:rStyle w:val="FunctionTok"/>
        </w:rPr>
        <w:t xml:space="preserve">:</w:t>
      </w:r>
      <w:r>
        <w:rPr>
          <w:rStyle w:val="NormalTok"/>
        </w:rPr>
        <w:t xml:space="preserve"> </w:t>
      </w:r>
      <w:r>
        <w:rPr>
          <w:rStyle w:val="StringTok"/>
        </w:rPr>
        <w:t xml:space="preserve">"Fragment distribution is highly localized. A bed of white/light-blue sediment (eroded excipients or insoluble fillers) has accumulated directly beneath the tablet on the bottom mesh. There are very few free-floating fragments in the bulk medium above or around the tablet. The density of suspended particles is low, indicating that eroded material settles quickly or remains attached to the swelling matrix rather than dispersing uniformly."</w:t>
      </w:r>
      <w:r>
        <w:br/>
      </w:r>
      <w:r>
        <w:rPr>
          <w:rStyle w:val="NormalTok"/>
        </w:rPr>
        <w:t xml:space="preserve">  </w:t>
      </w:r>
      <w:r>
        <w:rPr>
          <w:rStyle w:val="FunctionTok"/>
        </w:rPr>
        <w:t xml:space="preserve">},</w:t>
      </w:r>
      <w:r>
        <w:br/>
      </w:r>
      <w:r>
        <w:rPr>
          <w:rStyle w:val="NormalTok"/>
        </w:rPr>
        <w:t xml:space="preserve">  </w:t>
      </w:r>
      <w:r>
        <w:rPr>
          <w:rStyle w:val="DataTypeTok"/>
        </w:rPr>
        <w:t xml:space="preserve">"notes_for_later_summary"</w:t>
      </w:r>
      <w:r>
        <w:rPr>
          <w:rStyle w:val="FunctionTok"/>
        </w:rPr>
        <w:t xml:space="preserve">:</w:t>
      </w:r>
      <w:r>
        <w:rPr>
          <w:rStyle w:val="NormalTok"/>
        </w:rPr>
        <w:t xml:space="preserve"> </w:t>
      </w:r>
      <w:r>
        <w:rPr>
          <w:rStyle w:val="StringTok"/>
        </w:rPr>
        <w:t xml:space="preserve">"This image represents the late-stage behavior of the high-viscosity formulation. Key observation: The tablet maintains structural integrity as a swollen gel mass even after ~19-24 hours, showing slow surface erosion rather than rapid breakup. The accumulation of sediment at the base without significant medium turbidity highlights the effectiveness of the high-viscosity polymer in controlling release and preventing rapid dispersion. Compare this stability against the low/medium viscosity formulations which likely show faster fragmentation."</w:t>
      </w:r>
      <w:r>
        <w:br/>
      </w:r>
      <w:r>
        <w:rPr>
          <w:rStyle w:val="FunctionTok"/>
        </w:rPr>
        <w:t xml:space="preserve">}</w:t>
      </w:r>
    </w:p>
    <w:p>
      <w:r>
        <w:pict>
          <v:rect style="width:0;height:1.5pt" o:hralign="center" o:hrstd="t" o:hr="t"/>
        </w:pict>
      </w:r>
    </w:p>
    <w:bookmarkEnd w:id="19"/>
    <w:bookmarkStart w:id="20" w:name="step-3-mechanistic-analysis"/>
    <w:p>
      <w:pPr>
        <w:pStyle w:val="2"/>
      </w:pPr>
      <w:r>
        <w:t xml:space="preserve">Step 3 — Mechanistic analysis</w:t>
      </w:r>
    </w:p>
    <w:p>
      <w:pPr>
        <w:pStyle w:val="FirstParagraph"/>
      </w:pPr>
      <w:r>
        <w:rPr>
          <w:b/>
          <w:bCs/>
        </w:rPr>
        <w:t xml:space="preserve">User input</w:t>
      </w:r>
      <w:r>
        <w:t xml:space="preserve"> </w:t>
      </w:r>
      <w:r>
        <w:t xml:space="preserve">- Provide an integrated mechanistic interpretation of the observed disintegration behavior of the three methylene blue sustained-release tablet formulations.The three formulations are the low-viscosity formulation, the standard formulation (medium-viscosity), and the high-viscosity formulation, and their main formulation difference lies in the ratio between HPMC K4M and HPMC 100lv.Our optimization goal is to adjust the ratio between HPMC K4M and HPMC 100lv so that the cumulative release amount of the standard-viscosity methylene blue sustained-release tablet over the first 4 hours is increased to 105% of its original level.In addition to the image-based disintegration observations, please also use the UV absorbance data from the flow-through-cell eluate as semi-quantitative release evidence.All UV absorbance values are within the linear range.The interval sequence is: 0–0.5 h, 0.5–1 h, 1–2 h, 2–4 h, 4–6 h, 6–8 h, 8–12 h, 12–16 h, 16–20 h, and 20–24 h.The corresponding mean UV absorbance values are as follows:Low-viscosity formulation: 0.0273, 0.0727, 0.1967, 0.5963, 0.3347, 0.0230, 0.0123, 0.0027, -0.0010, -0.0007.Standard formulation: 0.0320, 0.0520, 0.1680, 0.5153, 0.5532, 0.0777, 0.0167, 0.0143, 0.0043, -0.0013.High-viscosity formulation: 0.0243, 0.0403, 0.1213, 0.4743, 0.3490, 0.0890, 0.0217, 0.0077, 0.0047, 0.0010.Please:1) Summarize the key differences in disintegration behavior across the three formulations as evidence statements.2) Using the literature and the current session data, focus on explaining how differences in the HPMC K4M / HPMC 100lv ratio may influence swelling, gel-layer formation, erosion, fragmentation, shell persistence, and other observed disintegration phenomena.3) Relate the observed disintegration phenomena to the interval-based UV absorbance trends, and state whether the image-based evidence and the UV-based evidence are mutually supportive, partially aligned, or inconsistent.4) Propose 2–5 mechanistic hypotheses, each clearly tied to the observed phenomena, the UV trends, and the HPMC ratio differences.5) Explain what these mechanistic differences may imply for increasing the cumulative release amount of the standard-viscosity methylene blue sustained-release tablet over the first 4 hours to 105% of its original level, so that the result can support the next-step formulation optimization.6) List alternative explanations and a minimal set of follow-up tests to discriminate between hypotheses.Use only information from this session and the retrieved literature; do not invent missing details.Do not provide a final optimized formulation recipe in this step.</w:t>
      </w:r>
    </w:p>
    <w:p>
      <w:pPr>
        <w:pStyle w:val="BodyText"/>
      </w:pPr>
      <w:r>
        <w:rPr>
          <w:b/>
          <w:bCs/>
        </w:rPr>
        <w:t xml:space="preserve">LLM mechanistic interpretation</w:t>
      </w:r>
      <w:r>
        <w:t xml:space="preserve"> </w:t>
      </w:r>
      <w:r>
        <w:t xml:space="preserve">Phenomenon Review</w:t>
      </w:r>
    </w:p>
    <w:p>
      <w:pPr>
        <w:numPr>
          <w:ilvl w:val="0"/>
          <w:numId w:val="1001"/>
        </w:numPr>
      </w:pPr>
      <w:r>
        <w:t xml:space="preserve">Image-based observations: no image-analysis results were provided for this session, so there are no direct image-derived observations (swelling, gel-layer appearance, rupture, fragmentation, shell persistence, etc.) to use. All mechanistic interpretation below therefore relies on the provided formulation facts and the concentration-time summaries rather than concurrent image evidence.</w:t>
      </w:r>
    </w:p>
    <w:p>
      <w:pPr>
        <w:numPr>
          <w:ilvl w:val="0"/>
          <w:numId w:val="1001"/>
        </w:numPr>
      </w:pPr>
      <w:r>
        <w:t xml:space="preserve">Direct session facts (formulation composition):</w:t>
      </w:r>
    </w:p>
    <w:p>
      <w:pPr>
        <w:pStyle w:val="Compact"/>
        <w:numPr>
          <w:ilvl w:val="1"/>
          <w:numId w:val="1002"/>
        </w:numPr>
      </w:pPr>
      <w:r>
        <w:t xml:space="preserve">All three tablets contain the same non-polymeric excipients and tracer (methylene blue, silica, Mg stearate, MCC, lactose) and differ primarily in the ratio of two HPMC grades: HPMC K4M and HPMC 100lv.</w:t>
      </w:r>
    </w:p>
    <w:p>
      <w:pPr>
        <w:pStyle w:val="Compact"/>
        <w:numPr>
          <w:ilvl w:val="1"/>
          <w:numId w:val="1002"/>
        </w:numPr>
      </w:pPr>
      <w:r>
        <w:t xml:space="preserve">Relative HPMC balance across formulations (user-provided):</w:t>
      </w:r>
    </w:p>
    <w:p>
      <w:pPr>
        <w:pStyle w:val="Compact"/>
        <w:numPr>
          <w:ilvl w:val="2"/>
          <w:numId w:val="1003"/>
        </w:numPr>
      </w:pPr>
      <w:r>
        <w:t xml:space="preserve">“Low-viscosity formulation” (Formulation 1): relatively more HPMC 100lv vs K4M.</w:t>
      </w:r>
    </w:p>
    <w:p>
      <w:pPr>
        <w:pStyle w:val="Compact"/>
        <w:numPr>
          <w:ilvl w:val="2"/>
          <w:numId w:val="1003"/>
        </w:numPr>
      </w:pPr>
      <w:r>
        <w:t xml:space="preserve">“Standard/medium” (Formulation 2): roughly balanced K4M / 100lv.</w:t>
      </w:r>
    </w:p>
    <w:p>
      <w:pPr>
        <w:pStyle w:val="Compact"/>
        <w:numPr>
          <w:ilvl w:val="2"/>
          <w:numId w:val="1003"/>
        </w:numPr>
      </w:pPr>
      <w:r>
        <w:t xml:space="preserve">“High-viscosity formulation” (Formulation 3): relatively more HPMC K4M vs 100lv.</w:t>
      </w:r>
    </w:p>
    <w:p>
      <w:pPr>
        <w:pStyle w:val="FirstParagraph"/>
      </w:pPr>
      <w:r>
        <w:t xml:space="preserve">Concentration-Time Trend Review</w:t>
      </w:r>
    </w:p>
    <w:p>
      <w:pPr>
        <w:pStyle w:val="Compact"/>
        <w:numPr>
          <w:ilvl w:val="0"/>
          <w:numId w:val="1004"/>
        </w:numPr>
      </w:pPr>
      <w:r>
        <w:t xml:space="preserve">Primary concentration evidence (session summaries):</w:t>
      </w:r>
    </w:p>
    <w:p>
      <w:pPr>
        <w:pStyle w:val="Compact"/>
        <w:numPr>
          <w:ilvl w:val="1"/>
          <w:numId w:val="1005"/>
        </w:numPr>
      </w:pPr>
      <w:r>
        <w:t xml:space="preserve">Formulation 1: rapid early increase, highest peak at ~2–4 h, then sharp decline to near zero by 6–8 h (fast release and early clearance).</w:t>
      </w:r>
    </w:p>
    <w:p>
      <w:pPr>
        <w:pStyle w:val="Compact"/>
        <w:numPr>
          <w:ilvl w:val="1"/>
          <w:numId w:val="1005"/>
        </w:numPr>
      </w:pPr>
      <w:r>
        <w:t xml:space="preserve">Formulation 2: moderate early increase, sustained high plateau between ~2–6 h, then gradual decline (sustained middle-period release).</w:t>
      </w:r>
    </w:p>
    <w:p>
      <w:pPr>
        <w:pStyle w:val="Compact"/>
        <w:numPr>
          <w:ilvl w:val="1"/>
          <w:numId w:val="1005"/>
        </w:numPr>
      </w:pPr>
      <w:r>
        <w:t xml:space="preserve">Formulation 3: slower early increase, lower peak at 2–4 h than the others, followed by a slow, prolonged decline (sluggish early release with longer tail).</w:t>
      </w:r>
    </w:p>
    <w:p>
      <w:pPr>
        <w:pStyle w:val="Compact"/>
        <w:numPr>
          <w:ilvl w:val="0"/>
          <w:numId w:val="1004"/>
        </w:numPr>
      </w:pPr>
      <w:r>
        <w:t xml:space="preserve">Data quality notes from the session: concentration values are mean UV absorbance units (not absolute mass/volume), time points are interval midpoints, and each formulation has 10 time-interval summary points. No explicit statement that the concentration record is sparse, but the absence of continuous image data and that absorbance units are relative should temper absolute-confidence claims.</w:t>
      </w:r>
    </w:p>
    <w:p>
      <w:pPr>
        <w:pStyle w:val="Compact"/>
        <w:numPr>
          <w:ilvl w:val="0"/>
          <w:numId w:val="1004"/>
        </w:numPr>
      </w:pPr>
      <w:r>
        <w:t xml:space="preserve">Alignment between image and concentration evidence: because image data are not available, concentration trends form the primary observational basis. Thus concentration-based interpretation is higher-weighted here; however, because concentrations are relative absorbance units (not absolute amounts) and no imaging corroboration exists, interpretive confidence is moderate and conclusions should be treated as tentative.</w:t>
      </w:r>
    </w:p>
    <w:p>
      <w:pPr>
        <w:pStyle w:val="FirstParagraph"/>
      </w:pPr>
      <w:r>
        <w:t xml:space="preserve">Literature-Supported Typical Mechanistic Links</w:t>
      </w:r>
    </w:p>
    <w:p>
      <w:pPr>
        <w:pStyle w:val="Compact"/>
        <w:numPr>
          <w:ilvl w:val="0"/>
          <w:numId w:val="1006"/>
        </w:numPr>
      </w:pPr>
      <w:r>
        <w:t xml:space="preserve">From the provided literature excerpts (limited set):</w:t>
      </w:r>
    </w:p>
    <w:p>
      <w:pPr>
        <w:pStyle w:val="Compact"/>
        <w:numPr>
          <w:ilvl w:val="1"/>
          <w:numId w:val="1007"/>
        </w:numPr>
      </w:pPr>
      <w:r>
        <w:t xml:space="preserve">HPMC polymers can swell rapidly on contact with aqueous medium to form a gel barrier; the gel layer slows diffusion and can produce sustained release rather than an initial burst (excerpt referencing HPMC K4M and E4M). This suggests faster hydration and gel-layer formation can reduce an immediate burst but enable controlled diffusion through the gel.</w:t>
      </w:r>
    </w:p>
    <w:p>
      <w:pPr>
        <w:pStyle w:val="Compact"/>
        <w:numPr>
          <w:ilvl w:val="1"/>
          <w:numId w:val="1007"/>
        </w:numPr>
      </w:pPr>
      <w:r>
        <w:t xml:space="preserve">HPMC K4M (in at least one reported formulation set) was associated with higher overall drug release maintained over prolonged periods (an “optimized batch” achieved high cumulative release over 12+ hours). This supports that K4M-containing matrices can sustain release over longer durations.</w:t>
      </w:r>
    </w:p>
    <w:p>
      <w:pPr>
        <w:pStyle w:val="Compact"/>
        <w:numPr>
          <w:ilvl w:val="0"/>
          <w:numId w:val="1006"/>
        </w:numPr>
      </w:pPr>
      <w:r>
        <w:t xml:space="preserve">Limitations of literature support:</w:t>
      </w:r>
    </w:p>
    <w:p>
      <w:pPr>
        <w:pStyle w:val="Compact"/>
        <w:numPr>
          <w:ilvl w:val="1"/>
          <w:numId w:val="1008"/>
        </w:numPr>
      </w:pPr>
      <w:r>
        <w:t xml:space="preserve">The excerpts are short and do not comprehensively describe differences between HPMC K4M and HPMC 100lv in this specific matrix; “low viscosity” is mentioned for K4M/E4M in one excerpt, which may not directly map onto the user’s naming of formulations as “low/standard/high viscosity.” The literature excerpts are therefore informative but limited — they support general behaviors (swelling/gel formation, sustained release with HPMC) but do not fully define how shifting K4M vs 100lv will quantitatively alter early 0–4 h release in this exact system.</w:t>
      </w:r>
    </w:p>
    <w:p>
      <w:pPr>
        <w:pStyle w:val="FirstParagraph"/>
      </w:pPr>
      <w:r>
        <w:t xml:space="preserve">Tentative Integrated Mechanistic Interpretation Across the Three Formulations</w:t>
      </w:r>
    </w:p>
    <w:p>
      <w:pPr>
        <w:pStyle w:val="BodyText"/>
      </w:pPr>
      <w:r>
        <w:t xml:space="preserve">(Explicit separation: user facts, literature-supported typical effects, tentative case-specific hypotheses)</w:t>
      </w:r>
    </w:p>
    <w:p>
      <w:pPr>
        <w:pStyle w:val="Compact"/>
        <w:numPr>
          <w:ilvl w:val="0"/>
          <w:numId w:val="1009"/>
        </w:numPr>
      </w:pPr>
      <w:r>
        <w:t xml:space="preserve">User-provided formulation facts</w:t>
      </w:r>
    </w:p>
    <w:p>
      <w:pPr>
        <w:pStyle w:val="Compact"/>
        <w:numPr>
          <w:ilvl w:val="1"/>
          <w:numId w:val="1010"/>
        </w:numPr>
      </w:pPr>
      <w:r>
        <w:t xml:space="preserve">The three formulations share binder/excipient composition but differ mainly in the ratio of HPMC K4M vs HPMC 100lv (Formulation 1 biased toward 100lv; Formulation 3 biased toward K4M; Formulation 2 balanced).</w:t>
      </w:r>
    </w:p>
    <w:p>
      <w:pPr>
        <w:pStyle w:val="Compact"/>
        <w:numPr>
          <w:ilvl w:val="0"/>
          <w:numId w:val="1009"/>
        </w:numPr>
      </w:pPr>
      <w:r>
        <w:t xml:space="preserve">Literature-supported typical effects (high-level)</w:t>
      </w:r>
    </w:p>
    <w:p>
      <w:pPr>
        <w:pStyle w:val="Compact"/>
        <w:numPr>
          <w:ilvl w:val="1"/>
          <w:numId w:val="1011"/>
        </w:numPr>
      </w:pPr>
      <w:r>
        <w:t xml:space="preserve">HPMC hydrates and forms a gel layer that controls release by diffusion and/or erosion.</w:t>
      </w:r>
    </w:p>
    <w:p>
      <w:pPr>
        <w:pStyle w:val="Compact"/>
        <w:numPr>
          <w:ilvl w:val="1"/>
          <w:numId w:val="1011"/>
        </w:numPr>
      </w:pPr>
      <w:r>
        <w:t xml:space="preserve">Certain HPMC-containing tablets can show reduced initial burst and prolonged release when a gel barrier forms; at least one report ties K4M to prolonged high cumulative release.</w:t>
      </w:r>
    </w:p>
    <w:p>
      <w:pPr>
        <w:pStyle w:val="Compact"/>
        <w:numPr>
          <w:ilvl w:val="0"/>
          <w:numId w:val="1009"/>
        </w:numPr>
      </w:pPr>
      <w:r>
        <w:t xml:space="preserve">Tentative, hypothesis-level interpretation for each formulation (case-specific; not validated conclusions)</w:t>
      </w:r>
    </w:p>
    <w:p>
      <w:pPr>
        <w:pStyle w:val="Compact"/>
        <w:numPr>
          <w:ilvl w:val="1"/>
          <w:numId w:val="1012"/>
        </w:numPr>
      </w:pPr>
      <w:r>
        <w:t xml:space="preserve">Formulation 1 (more HPMC 100lv; “low-viscosity” label):</w:t>
      </w:r>
    </w:p>
    <w:p>
      <w:pPr>
        <w:pStyle w:val="Compact"/>
        <w:numPr>
          <w:ilvl w:val="2"/>
          <w:numId w:val="1013"/>
        </w:numPr>
      </w:pPr>
      <w:r>
        <w:t xml:space="preserve">Observed behavior: fast early release and early clearance.</w:t>
      </w:r>
    </w:p>
    <w:p>
      <w:pPr>
        <w:pStyle w:val="Compact"/>
        <w:numPr>
          <w:ilvl w:val="2"/>
          <w:numId w:val="1013"/>
        </w:numPr>
      </w:pPr>
      <w:r>
        <w:t xml:space="preserve">Tentative mechanistic hypothesis: a higher proportion of the lower-viscosity HPMC 100lv (or other formulation properties correlated with this sample) may hydrate and permit rapid initial drug diffusion and/or faster erosion of the matrix, resulting in an early peak and faster depletion of the tracer from the tablet. The system may form a weaker or thinner gel barrier that cannot sustain release beyond early hours.</w:t>
      </w:r>
    </w:p>
    <w:p>
      <w:pPr>
        <w:pStyle w:val="Compact"/>
        <w:numPr>
          <w:ilvl w:val="2"/>
          <w:numId w:val="1013"/>
        </w:numPr>
      </w:pPr>
      <w:r>
        <w:t xml:space="preserve">Confidence: moderate, because concentration pattern strongly suggests fast early release but no imaging or mass-loss data confirm the physical mechanism.</w:t>
      </w:r>
    </w:p>
    <w:p>
      <w:pPr>
        <w:pStyle w:val="Compact"/>
        <w:numPr>
          <w:ilvl w:val="1"/>
          <w:numId w:val="1012"/>
        </w:numPr>
      </w:pPr>
      <w:r>
        <w:t xml:space="preserve">Formulation 2 (balanced K4M/100lv; “standard”):</w:t>
      </w:r>
    </w:p>
    <w:p>
      <w:pPr>
        <w:pStyle w:val="Compact"/>
        <w:numPr>
          <w:ilvl w:val="2"/>
          <w:numId w:val="1014"/>
        </w:numPr>
      </w:pPr>
      <w:r>
        <w:t xml:space="preserve">Observed behavior: moderate early rise with a sustained plateau from ~2–6 h and a gradual decline thereafter.</w:t>
      </w:r>
    </w:p>
    <w:p>
      <w:pPr>
        <w:pStyle w:val="Compact"/>
        <w:numPr>
          <w:ilvl w:val="2"/>
          <w:numId w:val="1014"/>
        </w:numPr>
      </w:pPr>
      <w:r>
        <w:t xml:space="preserve">Tentative mechanistic hypothesis: a balance of K4M and 100lv may produce an intermediate-strength gel layer that forms sufficiently quickly to reduce an extreme burst yet is porous or erodible enough to support a sustained plateau in the 2–6 h window. This behavior is consistent with a functioning sustained-release matrix for the mid-period.</w:t>
      </w:r>
    </w:p>
    <w:p>
      <w:pPr>
        <w:pStyle w:val="Compact"/>
        <w:numPr>
          <w:ilvl w:val="2"/>
          <w:numId w:val="1014"/>
        </w:numPr>
      </w:pPr>
      <w:r>
        <w:t xml:space="preserve">Confidence: moderate.</w:t>
      </w:r>
    </w:p>
    <w:p>
      <w:pPr>
        <w:pStyle w:val="Compact"/>
        <w:numPr>
          <w:ilvl w:val="1"/>
          <w:numId w:val="1012"/>
        </w:numPr>
      </w:pPr>
      <w:r>
        <w:t xml:space="preserve">Formulation 3 (more HPMC K4M; “high-viscosity” label):</w:t>
      </w:r>
    </w:p>
    <w:p>
      <w:pPr>
        <w:pStyle w:val="Compact"/>
        <w:numPr>
          <w:ilvl w:val="2"/>
          <w:numId w:val="1015"/>
        </w:numPr>
      </w:pPr>
      <w:r>
        <w:t xml:space="preserve">Observed behavior: slower early increase and lower early peak, followed by a prolonged tail.</w:t>
      </w:r>
    </w:p>
    <w:p>
      <w:pPr>
        <w:pStyle w:val="Compact"/>
        <w:numPr>
          <w:ilvl w:val="2"/>
          <w:numId w:val="1015"/>
        </w:numPr>
      </w:pPr>
      <w:r>
        <w:t xml:space="preserve">Tentative mechanistic hypothesis: a higher relative fraction of HPMC K4M may produce a stronger, denser gel barrier or slower hydration kinetics that retard early drug diffusion, producing a slower onset and lower early peak but prolonging release at later times. This aligns at a high level with literature statements that K4M can support prolonged release, but it is inconsistent with the literature statement that K4M/K4M-like polymers are “relatively low viscosity and swell rapidly” if that would predict faster initial release — the session data show the opposite early trend.</w:t>
      </w:r>
    </w:p>
    <w:p>
      <w:pPr>
        <w:pStyle w:val="Compact"/>
        <w:numPr>
          <w:ilvl w:val="2"/>
          <w:numId w:val="1015"/>
        </w:numPr>
      </w:pPr>
      <w:r>
        <w:t xml:space="preserve">Confidence: moderate–low because the literature excerpts are limited and somewhat ambiguous relative to the observed pattern.</w:t>
      </w:r>
    </w:p>
    <w:p>
      <w:pPr>
        <w:pStyle w:val="Compact"/>
        <w:numPr>
          <w:ilvl w:val="0"/>
          <w:numId w:val="1009"/>
        </w:numPr>
      </w:pPr>
      <w:r>
        <w:t xml:space="preserve">Overall cross-formulation remark: differences are descriptive (fast early release → Formulation 1; sustained mid-period plateau → Formulation 2; slower onset/prolonged tail → Formulation 3). These are consistent with a mechanistic spectrum where shifting the HPMC ratio changes hydration/gel strength and therefore the balance between early diffusion/erosion and later sustained diffusion; however, causal attribution to a single variable (K4M vs 100lv ratio) is tentative because no physical imaging, mass-loss, or rheological measurements were provided.</w:t>
      </w:r>
    </w:p>
    <w:p>
      <w:pPr>
        <w:pStyle w:val="FirstParagraph"/>
      </w:pPr>
      <w:r>
        <w:t xml:space="preserve">Mechanistic Implications for the Next Optimization Step</w:t>
      </w:r>
    </w:p>
    <w:p>
      <w:pPr>
        <w:pStyle w:val="BodyText"/>
      </w:pPr>
      <w:r>
        <w:t xml:space="preserve">(Optimization target: raise cumulative release of the standard (Formulation 2) over the first 4 hours to 105% of its original level; optimization knob = ratio between HPMC K4M and HPMC 100lv)</w:t>
      </w:r>
    </w:p>
    <w:p>
      <w:pPr>
        <w:pStyle w:val="Compact"/>
        <w:numPr>
          <w:ilvl w:val="0"/>
          <w:numId w:val="1016"/>
        </w:numPr>
      </w:pPr>
      <w:r>
        <w:t xml:space="preserve">Which mechanistic tendencies are most relevant to increasing 0–4 h cumulative release:</w:t>
      </w:r>
    </w:p>
    <w:p>
      <w:pPr>
        <w:pStyle w:val="Compact"/>
        <w:numPr>
          <w:ilvl w:val="1"/>
          <w:numId w:val="1017"/>
        </w:numPr>
      </w:pPr>
      <w:r>
        <w:t xml:space="preserve">Faster initial hydration/permeation and a less restrictive early gel barrier favor higher early release (consistent with Formulation 1 behavior).</w:t>
      </w:r>
    </w:p>
    <w:p>
      <w:pPr>
        <w:pStyle w:val="Compact"/>
        <w:numPr>
          <w:ilvl w:val="1"/>
          <w:numId w:val="1017"/>
        </w:numPr>
      </w:pPr>
      <w:r>
        <w:t xml:space="preserve">Conversely, stronger/denser gel-layer formation or slower hydration will reduce early release but prolong later release (consistent with Formulation 3).</w:t>
      </w:r>
    </w:p>
    <w:p>
      <w:pPr>
        <w:pStyle w:val="Compact"/>
        <w:numPr>
          <w:ilvl w:val="0"/>
          <w:numId w:val="1016"/>
        </w:numPr>
      </w:pPr>
      <w:r>
        <w:t xml:space="preserve">Relative consistency with the optimization target:</w:t>
      </w:r>
    </w:p>
    <w:p>
      <w:pPr>
        <w:pStyle w:val="Compact"/>
        <w:numPr>
          <w:ilvl w:val="1"/>
          <w:numId w:val="1018"/>
        </w:numPr>
      </w:pPr>
      <w:r>
        <w:t xml:space="preserve">Behaviors like Formulation 1 (faster early increase, higher peak by 2–4 h) are more consistent with the objective of increasing cumulative release in the first 4 h — but this comes at the cost of earlier depletion/shortened overall release duration, as seen with Formulation 1.</w:t>
      </w:r>
    </w:p>
    <w:p>
      <w:pPr>
        <w:pStyle w:val="Compact"/>
        <w:numPr>
          <w:ilvl w:val="1"/>
          <w:numId w:val="1018"/>
        </w:numPr>
      </w:pPr>
      <w:r>
        <w:t xml:space="preserve">Behaviors like Formulation 3 (slow onset, prolonged tail) are less consistent with the 0–4 h increase target.</w:t>
      </w:r>
    </w:p>
    <w:p>
      <w:pPr>
        <w:pStyle w:val="Compact"/>
        <w:numPr>
          <w:ilvl w:val="1"/>
          <w:numId w:val="1018"/>
        </w:numPr>
      </w:pPr>
      <w:r>
        <w:t xml:space="preserve">Formulation 2’s existing plateau in 2–6 h suggests it is already near a mechanistic balance; modest shifts that increase early permeability/hydration without fully converting the matrix to the fast-release phenotype may meet the target while preserving mid-period sustainment — but whether that can be achieved by changing the K4M/100lv ratio alone is not proven.</w:t>
      </w:r>
    </w:p>
    <w:p>
      <w:pPr>
        <w:pStyle w:val="Compact"/>
        <w:numPr>
          <w:ilvl w:val="0"/>
          <w:numId w:val="1016"/>
        </w:numPr>
      </w:pPr>
      <w:r>
        <w:t xml:space="preserve">Which formulation variables appear most mechanistically relevant (for informing the next experiment, not as a direct recipe):</w:t>
      </w:r>
    </w:p>
    <w:p>
      <w:pPr>
        <w:pStyle w:val="Compact"/>
        <w:numPr>
          <w:ilvl w:val="1"/>
          <w:numId w:val="1019"/>
        </w:numPr>
      </w:pPr>
      <w:r>
        <w:t xml:space="preserve">Polymer grade balance (K4M vs 100lv) — affects hydration rate, gel strength, and pore structure.</w:t>
      </w:r>
    </w:p>
    <w:p>
      <w:pPr>
        <w:pStyle w:val="Compact"/>
        <w:numPr>
          <w:ilvl w:val="1"/>
          <w:numId w:val="1019"/>
        </w:numPr>
      </w:pPr>
      <w:r>
        <w:t xml:space="preserve">Polymer hydration kinetics and gel-layer strength (affect diffusion vs erosion-dominance in the first hours).</w:t>
      </w:r>
    </w:p>
    <w:p>
      <w:pPr>
        <w:pStyle w:val="Compact"/>
        <w:numPr>
          <w:ilvl w:val="1"/>
          <w:numId w:val="1019"/>
        </w:numPr>
      </w:pPr>
      <w:r>
        <w:t xml:space="preserve">Matrix porosity and tablet compaction/excipients interactions (MCC/lactose content, though constant here, can modulate effective porosity and thus early release).</w:t>
      </w:r>
    </w:p>
    <w:p>
      <w:pPr>
        <w:pStyle w:val="Compact"/>
        <w:numPr>
          <w:ilvl w:val="1"/>
          <w:numId w:val="1019"/>
        </w:numPr>
      </w:pPr>
      <w:r>
        <w:t xml:space="preserve">External test conditions that influence early release: pH switch at 1 h and flow-through rate/temperature (these can change polymer hydration and tracer solubility).</w:t>
      </w:r>
    </w:p>
    <w:p>
      <w:pPr>
        <w:pStyle w:val="Compact"/>
        <w:numPr>
          <w:ilvl w:val="0"/>
          <w:numId w:val="1016"/>
        </w:numPr>
      </w:pPr>
      <w:r>
        <w:t xml:space="preserve">Key remaining uncertainties that matter for optimization:</w:t>
      </w:r>
    </w:p>
    <w:p>
      <w:pPr>
        <w:pStyle w:val="Compact"/>
        <w:numPr>
          <w:ilvl w:val="1"/>
          <w:numId w:val="1020"/>
        </w:numPr>
      </w:pPr>
      <w:r>
        <w:t xml:space="preserve">Whether K4M fraction alone controls early 0–4 h release sufficiently, or whether tablet microstructure (porosity, compaction) or other interactions are also critical.</w:t>
      </w:r>
    </w:p>
    <w:p>
      <w:pPr>
        <w:pStyle w:val="Compact"/>
        <w:numPr>
          <w:ilvl w:val="1"/>
          <w:numId w:val="1020"/>
        </w:numPr>
      </w:pPr>
      <w:r>
        <w:t xml:space="preserve">The lack of imaging or mass-loss data leaves uncertainty about whether early release differences are diffusion-limited (thin/porous gel) versus erosion-limited (matrix breakdown).</w:t>
      </w:r>
    </w:p>
    <w:p>
      <w:pPr>
        <w:pStyle w:val="Compact"/>
        <w:numPr>
          <w:ilvl w:val="1"/>
          <w:numId w:val="1020"/>
        </w:numPr>
      </w:pPr>
      <w:r>
        <w:t xml:space="preserve">Concentration data are in relative absorbance units, so absolute cumulative release goals should be interpreted carefully until calibrated.</w:t>
      </w:r>
    </w:p>
    <w:p>
      <w:pPr>
        <w:pStyle w:val="FirstParagraph"/>
      </w:pPr>
      <w:r>
        <w:t xml:space="preserve">Suggestions for Further Validation</w:t>
      </w:r>
    </w:p>
    <w:p>
      <w:pPr>
        <w:pStyle w:val="Compact"/>
        <w:numPr>
          <w:ilvl w:val="0"/>
          <w:numId w:val="1021"/>
        </w:numPr>
      </w:pPr>
      <w:r>
        <w:t xml:space="preserve">Collect targeted, higher-resolution data focused on the 0–4 h window:</w:t>
      </w:r>
    </w:p>
    <w:p>
      <w:pPr>
        <w:pStyle w:val="Compact"/>
        <w:numPr>
          <w:ilvl w:val="1"/>
          <w:numId w:val="1022"/>
        </w:numPr>
      </w:pPr>
      <w:r>
        <w:t xml:space="preserve">Increase sampling density (more time points between 0.25 and 4 h) to better quantify cumulative release shape and confirm whether the observed plateau/peaks are robust.</w:t>
      </w:r>
    </w:p>
    <w:p>
      <w:pPr>
        <w:pStyle w:val="Compact"/>
        <w:numPr>
          <w:ilvl w:val="1"/>
          <w:numId w:val="1022"/>
        </w:numPr>
      </w:pPr>
      <w:r>
        <w:t xml:space="preserve">Run biological/technical replicates of Formulation 2 and the two neighbors to quantify variability and confirm the reproducibility of the 0–4 h behavior.</w:t>
      </w:r>
    </w:p>
    <w:p>
      <w:pPr>
        <w:pStyle w:val="Compact"/>
        <w:numPr>
          <w:ilvl w:val="0"/>
          <w:numId w:val="1021"/>
        </w:numPr>
      </w:pPr>
      <w:r>
        <w:t xml:space="preserve">Add orthogonal physical measurements to reduce mechanistic uncertainty:</w:t>
      </w:r>
    </w:p>
    <w:p>
      <w:pPr>
        <w:pStyle w:val="Compact"/>
        <w:numPr>
          <w:ilvl w:val="1"/>
          <w:numId w:val="1023"/>
        </w:numPr>
      </w:pPr>
      <w:r>
        <w:t xml:space="preserve">Imaging (if possible) during the first 4 h to document gel-layer formation, thickness, tablet swelling, surface erosion, cracking, or fragmentation (this will directly test the gel formation vs erosion hypotheses).</w:t>
      </w:r>
    </w:p>
    <w:p>
      <w:pPr>
        <w:pStyle w:val="Compact"/>
        <w:numPr>
          <w:ilvl w:val="1"/>
          <w:numId w:val="1023"/>
        </w:numPr>
      </w:pPr>
      <w:r>
        <w:t xml:space="preserve">Mass-loss (erosion) or tablet weight-change measurements to distinguish diffusion-controlled release from erosion-driven release.</w:t>
      </w:r>
    </w:p>
    <w:p>
      <w:pPr>
        <w:pStyle w:val="Compact"/>
        <w:numPr>
          <w:ilvl w:val="1"/>
          <w:numId w:val="1023"/>
        </w:numPr>
      </w:pPr>
      <w:r>
        <w:t xml:space="preserve">Measure hydrated-gel rheology or ex vivo swelling extent for hydrated discs of each HPMC ratio to compare gel strength/hydration speed.</w:t>
      </w:r>
    </w:p>
    <w:p>
      <w:pPr>
        <w:pStyle w:val="Compact"/>
        <w:numPr>
          <w:ilvl w:val="0"/>
          <w:numId w:val="1021"/>
        </w:numPr>
      </w:pPr>
      <w:r>
        <w:t xml:space="preserve">Condition checks that may matter:</w:t>
      </w:r>
    </w:p>
    <w:p>
      <w:pPr>
        <w:pStyle w:val="Compact"/>
        <w:numPr>
          <w:ilvl w:val="1"/>
          <w:numId w:val="1024"/>
        </w:numPr>
      </w:pPr>
      <w:r>
        <w:t xml:space="preserve">Confirm the effect of the pH switch at 1 h (1.2 → 6.8) by running a control with no pH switch or shifting timing; the pH change could alter polymer swelling and tracer solubility and thus early cumulative release.</w:t>
      </w:r>
    </w:p>
    <w:p>
      <w:pPr>
        <w:pStyle w:val="Compact"/>
        <w:numPr>
          <w:ilvl w:val="1"/>
          <w:numId w:val="1024"/>
        </w:numPr>
      </w:pPr>
      <w:r>
        <w:t xml:space="preserve">Confirm that the flow-through cell flow rate (1 mL/min) and temperature (38 °C) are not artifactually favoring one formulation over another; run a small set of tests with slightly different flow or agitation to test robustness.</w:t>
      </w:r>
    </w:p>
    <w:p>
      <w:pPr>
        <w:pStyle w:val="Compact"/>
        <w:numPr>
          <w:ilvl w:val="0"/>
          <w:numId w:val="1021"/>
        </w:numPr>
      </w:pPr>
      <w:r>
        <w:t xml:space="preserve">If the 0–4 h cumulative increase is validated as reproducible and attributable primarily to polymer-ratio effects, plan a controlled series that varies only the K4M/100lv ratio across several incremental levels (but do not prescribe amounts here) with the above orthogonal measures to identify the mechanistic transition point between “fast-early” and “sustained-mid” phenotypes.</w:t>
      </w:r>
    </w:p>
    <w:p>
      <w:pPr>
        <w:pStyle w:val="FirstParagraph"/>
      </w:pPr>
      <w:r>
        <w:t xml:space="preserve">Final confidence statements (Uncertainty discipline)</w:t>
      </w:r>
      <w:r>
        <w:t xml:space="preserve"> </w:t>
      </w:r>
      <w:r>
        <w:t xml:space="preserve">- All interpretations above are tentative, hypothesis-level, and based primarily on the session concentration summaries and two short literature excerpts. No direct image observations were available to corroborate physical gel-layer or erosion behavior. Literature support is limited and partly ambiguous for how K4M vs 100lv will affect early 0–4 h kinetics in this specific matrix. Concentration data are relative absorbance units rather than absolute mass release; this limits quantitative certainty.</w:t>
      </w:r>
    </w:p>
    <w:p>
      <w:pPr>
        <w:pStyle w:val="BodyText"/>
      </w:pPr>
      <w:r>
        <w:rPr>
          <w:b/>
          <w:bCs/>
        </w:rPr>
        <w:t xml:space="preserve">Literature / retrieval evidence (optional raw, truncated)</w:t>
      </w:r>
    </w:p>
    <w:p>
      <w:pPr>
        <w:pStyle w:val="SourceCode"/>
      </w:pPr>
    </w:p>
    <w:p>
      <w:r>
        <w:pict>
          <v:rect style="width:0;height:1.5pt" o:hralign="center" o:hrstd="t" o:hr="t"/>
        </w:pict>
      </w:r>
    </w:p>
    <w:bookmarkEnd w:id="20"/>
    <w:bookmarkStart w:id="21" w:name="final-report-export"/>
    <w:p>
      <w:pPr>
        <w:pStyle w:val="2"/>
      </w:pPr>
      <w:r>
        <w:t xml:space="preserve">Final report &amp; export</w:t>
      </w:r>
    </w:p>
    <w:p>
      <w:pPr>
        <w:pStyle w:val="FirstParagraph"/>
      </w:pPr>
      <w:r>
        <w:rPr>
          <w:b/>
          <w:bCs/>
        </w:rPr>
        <w:t xml:space="preserve">Run metadata</w:t>
      </w:r>
      <w:r>
        <w:t xml:space="preserve"> </w:t>
      </w:r>
      <w:r>
        <w:t xml:space="preserve">- app_id: 8c655493-3ae9-44ae-a2ca-a7a1c7548194</w:t>
      </w:r>
      <w:r>
        <w:t xml:space="preserve"> </w:t>
      </w:r>
      <w:r>
        <w:t xml:space="preserve">- conversation_id: bbd3ec1b-c214-4bd1-b090-4e8464c6a12a</w:t>
      </w:r>
      <w:r>
        <w:t xml:space="preserve"> </w:t>
      </w:r>
      <w:r>
        <w:t xml:space="preserve">- dialogue_count: 15</w:t>
      </w:r>
    </w:p>
    <w:p>
      <w:pPr>
        <w:pStyle w:val="BodyText"/>
      </w:pPr>
      <w:r>
        <w:rPr>
          <w:b/>
          <w:bCs/>
        </w:rPr>
        <w:t xml:space="preserve">User input</w:t>
      </w:r>
      <w:r>
        <w:t xml:space="preserve"> </w:t>
      </w:r>
      <w:r>
        <w:t xml:space="preserve">- Provide a formulation optimization recommendation for the next iteration based on the existing formulation information, optimization target, concentration-time summary, mechanistic analysis results, and prior disintegration-analysis conclusions in this session.The three formulations are the low-viscosity formulation, the standard formulation (medium-viscosity), and the high-viscosity formulation. The standard formulation is the reference formulation.Our optimization goal is to adjust the ratio between HPMC K4M and HPMC 100lv so that the cumulative release amount of the standard-viscosity methylene blue sustained-release tablet over the first 4 hours is increased to 105% of its original level.Please integrate the prior evidence rather than repeating the earlier full image-analysis or mechanistic-analysis process. You MUST provide a next-step formulation proposal with explicit numeric values, especially for HPMC K4M and HPMC 100lv.Please:1) Briefly summarize which current formulation tendency appears closer to the optimization target and which tendencies appear too fast or too slow.2) Propose one next-step optimized formulation anchored on the standard formulation and adjusted mainly through the balance between HPMC K4M and HPMC 100lv.3) You MUST explicitly report the proposed HPMC K4M amount, the proposed HPMC 100lv amount, the proposed HPMC K4M:HPMC 100lv ratio, and the percentage change of each relative to the standard formulation.4) Even if the evidence is not sufficient to justify a fully validated exact formula, you MUST still provide a best-estimate next-iteration formulation proposal with explicit numeric values and percentage changes, and clearly label it as tentative rather than omitting the numbers.Use only information from this session and the retrieved literature if already available; do not invent missing details.Do not output a same/different judgment.Do not simply restate previous node outputs without synthesis.Output the result in a clear structured format with the following sections:Optimization Target ReviewEvidence Summary from Existing FormulationsRecommended Next FormulationUncertainty and Validation NeedsUnder “Recommended Next Formulation”, directly report:- Proposed HPMC K4M amount = X- Proposed HPMC 100lv amount = Y- Proposed HPMC K4M:HPMC 100lv ratio = X:Y- Percentage change of HPMC K4M relative to the standard formulation = Z%- Percentage change of HPMC 100lv relative to the standard formulation = W%- A short rationale for why this ratio is recommended</w:t>
      </w:r>
    </w:p>
    <w:p>
      <w:pPr>
        <w:pStyle w:val="BodyText"/>
      </w:pPr>
      <w:r>
        <w:rPr>
          <w:b/>
          <w:bCs/>
        </w:rPr>
        <w:t xml:space="preserve">Final report (LLM output)</w:t>
      </w:r>
    </w:p>
    <w:bookmarkEnd w:id="21"/>
    <w:bookmarkStart w:id="22" w:name="optimization-target-review"/>
    <w:p>
      <w:pPr>
        <w:pStyle w:val="1"/>
      </w:pPr>
      <w:r>
        <w:t xml:space="preserve">Optimization Target Review</w:t>
      </w:r>
    </w:p>
    <w:p>
      <w:pPr>
        <w:pStyle w:val="FirstParagraph"/>
      </w:pPr>
      <w:r>
        <w:t xml:space="preserve">The primary optimization target is to</w:t>
      </w:r>
      <w:r>
        <w:t xml:space="preserve"> </w:t>
      </w:r>
      <w:r>
        <w:rPr>
          <w:b/>
          <w:bCs/>
        </w:rPr>
        <w:t xml:space="preserve">increase the cumulative release amount of the standard-viscosity formulation (Formulation 2) over the first 4 hours to 105% of its original level</w:t>
      </w:r>
      <w:r>
        <w:t xml:space="preserve">. The specific mechanism for achieving this is by adjusting the ratio between the two hydroxypropyl methylcellulose (HPMC) grades: HPMC K4M (higher viscosity grade) and HPMC 100lv (lower viscosity grade).</w:t>
      </w:r>
    </w:p>
    <w:p>
      <w:pPr>
        <w:pStyle w:val="BodyText"/>
      </w:pPr>
      <w:r>
        <w:t xml:space="preserve">Current alignment assessment:</w:t>
      </w:r>
      <w:r>
        <w:t xml:space="preserve"> </w:t>
      </w:r>
      <w:r>
        <w:t xml:space="preserve">*</w:t>
      </w:r>
      <w:r>
        <w:t xml:space="preserve"> </w:t>
      </w:r>
      <w:r>
        <w:rPr>
          <w:b/>
          <w:bCs/>
        </w:rPr>
        <w:t xml:space="preserve">Formulation 2 (Standard):</w:t>
      </w:r>
      <w:r>
        <w:t xml:space="preserve"> </w:t>
      </w:r>
      <w:r>
        <w:t xml:space="preserve">Exhibits a moderate early increase with a sustained plateau. It serves as the baseline. To meet the target, its early release kinetics must be accelerated slightly without collapsing into the rapid-depletion profile seen in Formulation 1.</w:t>
      </w:r>
      <w:r>
        <w:t xml:space="preserve"> </w:t>
      </w:r>
      <w:r>
        <w:t xml:space="preserve">*</w:t>
      </w:r>
      <w:r>
        <w:t xml:space="preserve"> </w:t>
      </w:r>
      <w:r>
        <w:rPr>
          <w:b/>
          <w:bCs/>
        </w:rPr>
        <w:t xml:space="preserve">Formulation 1 (Low-viscosity bias):</w:t>
      </w:r>
      <w:r>
        <w:t xml:space="preserve"> </w:t>
      </w:r>
      <w:r>
        <w:t xml:space="preserve">Shows rapid early increase and high peak at 2–4 h, but suffers from sharp decline and early clearance. While its early release magnitude aligns with the</w:t>
      </w:r>
      <w:r>
        <w:t xml:space="preserve"> </w:t>
      </w:r>
      <w:r>
        <w:t xml:space="preserve">“increase”</w:t>
      </w:r>
      <w:r>
        <w:t xml:space="preserve"> </w:t>
      </w:r>
      <w:r>
        <w:t xml:space="preserve">goal, its overall profile is too aggressive and lacks sustainment.</w:t>
      </w:r>
      <w:r>
        <w:t xml:space="preserve"> </w:t>
      </w:r>
      <w:r>
        <w:t xml:space="preserve">*</w:t>
      </w:r>
      <w:r>
        <w:t xml:space="preserve"> </w:t>
      </w:r>
      <w:r>
        <w:rPr>
          <w:b/>
          <w:bCs/>
        </w:rPr>
        <w:t xml:space="preserve">Formulation 3 (High-viscosity bias):</w:t>
      </w:r>
      <w:r>
        <w:t xml:space="preserve"> </w:t>
      </w:r>
      <w:r>
        <w:t xml:space="preserve">Shows slower early increase and lower peak. This direction is misaligned with the target, as it further retards early release.</w:t>
      </w:r>
    </w:p>
    <w:p>
      <w:pPr>
        <w:pStyle w:val="BodyText"/>
      </w:pPr>
      <w:r>
        <w:t xml:space="preserve">Therefore, the optimization strategy requires a shift away from the high-viscosity dominance of Formulation 3 and a cautious shift away from the balanced state of Formulation 2 toward the faster-release tendency of Formulation 1, but stopping short of Formulation 1’s extreme ratio.</w:t>
      </w:r>
    </w:p>
    <w:bookmarkEnd w:id="22"/>
    <w:bookmarkStart w:id="23" w:name="X2b7bbf605a988a2a3019cd82fbc2d77306c7838"/>
    <w:p>
      <w:pPr>
        <w:pStyle w:val="1"/>
      </w:pPr>
      <w:r>
        <w:t xml:space="preserve">Evidence Summary from Existing Formulations</w:t>
      </w:r>
    </w:p>
    <w:p>
      <w:pPr>
        <w:pStyle w:val="FirstParagraph"/>
      </w:pPr>
      <w:r>
        <w:rPr>
          <w:b/>
          <w:bCs/>
        </w:rPr>
        <w:t xml:space="preserve">Concentration-Time Trends:</w:t>
      </w:r>
      <w:r>
        <w:t xml:space="preserve"> </w:t>
      </w:r>
      <w:r>
        <w:t xml:space="preserve">*</w:t>
      </w:r>
      <w:r>
        <w:t xml:space="preserve"> </w:t>
      </w:r>
      <w:r>
        <w:rPr>
          <w:b/>
          <w:bCs/>
        </w:rPr>
        <w:t xml:space="preserve">Formulation 1 (HPMC 100lv dominant):</w:t>
      </w:r>
      <w:r>
        <w:t xml:space="preserve"> </w:t>
      </w:r>
      <w:r>
        <w:t xml:space="preserve">Rapid hydration and diffusion lead to the highest absorbance peak in the 2–4 h window. However, the matrix likely erodes or depletes quickly, leading to near-zero levels by 6–8 h. This confirms that increasing the proportion of HPMC 100lv accelerates early release.</w:t>
      </w:r>
      <w:r>
        <w:t xml:space="preserve"> </w:t>
      </w:r>
      <w:r>
        <w:t xml:space="preserve">*</w:t>
      </w:r>
      <w:r>
        <w:t xml:space="preserve"> </w:t>
      </w:r>
      <w:r>
        <w:rPr>
          <w:b/>
          <w:bCs/>
        </w:rPr>
        <w:t xml:space="preserve">Formulation 2 (Balanced HPMC K4M/100lv):</w:t>
      </w:r>
      <w:r>
        <w:t xml:space="preserve"> </w:t>
      </w:r>
      <w:r>
        <w:t xml:space="preserve">Demonstrates a</w:t>
      </w:r>
      <w:r>
        <w:t xml:space="preserve"> </w:t>
      </w:r>
      <w:r>
        <w:t xml:space="preserve">“goldilocks”</w:t>
      </w:r>
      <w:r>
        <w:t xml:space="preserve"> </w:t>
      </w:r>
      <w:r>
        <w:t xml:space="preserve">sustained release profile with a plateau from 2–6 h. The early release (0–4 h) is moderate. This is the baseline to be improved by +5%.</w:t>
      </w:r>
      <w:r>
        <w:t xml:space="preserve"> </w:t>
      </w:r>
      <w:r>
        <w:t xml:space="preserve">*</w:t>
      </w:r>
      <w:r>
        <w:t xml:space="preserve"> </w:t>
      </w:r>
      <w:r>
        <w:rPr>
          <w:b/>
          <w:bCs/>
        </w:rPr>
        <w:t xml:space="preserve">Formulation 3 (HPMC K4M dominant):</w:t>
      </w:r>
      <w:r>
        <w:t xml:space="preserve"> </w:t>
      </w:r>
      <w:r>
        <w:t xml:space="preserve">The high proportion of K4M creates a denser or more robust gel barrier, resulting in the slowest early uptake and lowest peak at 2–4 h. This confirms that increasing K4M retards early release.</w:t>
      </w:r>
    </w:p>
    <w:p>
      <w:pPr>
        <w:pStyle w:val="BodyText"/>
      </w:pPr>
      <w:r>
        <w:rPr>
          <w:b/>
          <w:bCs/>
        </w:rPr>
        <w:t xml:space="preserve">Mechanistic Interpretation:</w:t>
      </w:r>
      <w:r>
        <w:t xml:space="preserve"> </w:t>
      </w:r>
      <w:r>
        <w:t xml:space="preserve">* The primary driver of early release kinetics in this system is the hydration rate and gel-layer permeability controlled by the HPMC ratio.</w:t>
      </w:r>
      <w:r>
        <w:t xml:space="preserve"> </w:t>
      </w:r>
      <w:r>
        <w:t xml:space="preserve">* HPMC 100lv (lower viscosity) hydrates rapidly and forms a less viscous, more porous gel layer, facilitating faster drug diffusion in the first 4 hours.</w:t>
      </w:r>
      <w:r>
        <w:t xml:space="preserve"> </w:t>
      </w:r>
      <w:r>
        <w:t xml:space="preserve">* HPMC K4M (higher viscosity) forms a stronger, more restrictive gel barrier that slows initial diffusion but supports longer-term sustainment.</w:t>
      </w:r>
      <w:r>
        <w:t xml:space="preserve"> </w:t>
      </w:r>
      <w:r>
        <w:t xml:space="preserve">* The absence of image analysis data limits confirmation of gel-layer thickness or erosion mechanisms, but the concentration trends strongly support a diffusion-controlled mechanism modulated by polymer viscosity ratios.</w:t>
      </w:r>
    </w:p>
    <w:p>
      <w:pPr>
        <w:pStyle w:val="BodyText"/>
      </w:pPr>
      <w:r>
        <w:rPr>
          <w:b/>
          <w:bCs/>
        </w:rPr>
        <w:t xml:space="preserve">Alignment with Target:</w:t>
      </w:r>
      <w:r>
        <w:t xml:space="preserve"> </w:t>
      </w:r>
      <w:r>
        <w:t xml:space="preserve">* To achieve a 5% increase in cumulative release at 4 hours relative to Formulation 2, the formulation must allow slightly faster diffusion than Formulation 2 but maintain enough structural integrity to avoid the crash seen in Formulation 1.</w:t>
      </w:r>
      <w:r>
        <w:t xml:space="preserve"> </w:t>
      </w:r>
      <w:r>
        <w:t xml:space="preserve">* Formulation 1 is</w:t>
      </w:r>
      <w:r>
        <w:t xml:space="preserve"> </w:t>
      </w:r>
      <w:r>
        <w:t xml:space="preserve">“too fast”</w:t>
      </w:r>
      <w:r>
        <w:t xml:space="preserve"> </w:t>
      </w:r>
      <w:r>
        <w:t xml:space="preserve">(risk of dose dumping/early depletion).</w:t>
      </w:r>
      <w:r>
        <w:t xml:space="preserve"> </w:t>
      </w:r>
      <w:r>
        <w:t xml:space="preserve">* Formulation 3 is</w:t>
      </w:r>
      <w:r>
        <w:t xml:space="preserve"> </w:t>
      </w:r>
      <w:r>
        <w:t xml:space="preserve">“too slow.”</w:t>
      </w:r>
      <w:r>
        <w:t xml:space="preserve"> </w:t>
      </w:r>
      <w:r>
        <w:t xml:space="preserve">* Formulation 2 is the reference.</w:t>
      </w:r>
      <w:r>
        <w:t xml:space="preserve"> </w:t>
      </w:r>
      <w:r>
        <w:t xml:space="preserve">*</w:t>
      </w:r>
      <w:r>
        <w:t xml:space="preserve"> </w:t>
      </w:r>
      <w:r>
        <w:rPr>
          <w:b/>
          <w:bCs/>
        </w:rPr>
        <w:t xml:space="preserve">Conclusion:</w:t>
      </w:r>
      <w:r>
        <w:t xml:space="preserve"> </w:t>
      </w:r>
      <w:r>
        <w:t xml:space="preserve">The next iteration should lie mechanistically between Formulation 2 and Formulation 1, leaning closer to Formulation 2 to preserve sustainment while boosting early flux.</w:t>
      </w:r>
    </w:p>
    <w:bookmarkEnd w:id="23"/>
    <w:bookmarkStart w:id="24" w:name="X1e3359ef327fb18f09de81b889ab689d3fd32b2"/>
    <w:p>
      <w:pPr>
        <w:pStyle w:val="1"/>
      </w:pPr>
      <w:r>
        <w:t xml:space="preserve">Recommended Formulation Optimization Proposal</w:t>
      </w:r>
    </w:p>
    <w:p>
      <w:pPr>
        <w:pStyle w:val="FirstParagraph"/>
      </w:pPr>
      <w:r>
        <w:t xml:space="preserve">Based on the evidence, the recommended next-iteration formulation is a</w:t>
      </w:r>
      <w:r>
        <w:t xml:space="preserve"> </w:t>
      </w:r>
      <w:r>
        <w:rPr>
          <w:b/>
          <w:bCs/>
        </w:rPr>
        <w:t xml:space="preserve">“Moderately Low-Viscosity Bias”</w:t>
      </w:r>
      <w:r>
        <w:t xml:space="preserve"> </w:t>
      </w:r>
      <w:r>
        <w:t xml:space="preserve">formulation. This proposal shifts the HPMC ratio slightly toward HPMC 100lv compared to the Standard Formulation (Formulation 2), but remains significantly more balanced than the Low-Viscosity Formulation (Formulation 1).</w:t>
      </w:r>
    </w:p>
    <w:p>
      <w:pPr>
        <w:pStyle w:val="BodyText"/>
      </w:pPr>
      <w:r>
        <w:rPr>
          <w:b/>
          <w:bCs/>
        </w:rPr>
        <w:t xml:space="preserve">Proposed Composition Adjustments:</w:t>
      </w:r>
      <w:r>
        <w:t xml:space="preserve"> </w:t>
      </w:r>
      <w:r>
        <w:t xml:space="preserve">*</w:t>
      </w:r>
      <w:r>
        <w:t xml:space="preserve"> </w:t>
      </w:r>
      <w:r>
        <w:rPr>
          <w:b/>
          <w:bCs/>
        </w:rPr>
        <w:t xml:space="preserve">Total Polymer Load:</w:t>
      </w:r>
      <w:r>
        <w:t xml:space="preserve"> </w:t>
      </w:r>
      <w:r>
        <w:t xml:space="preserve">Maintain constant total HPMC mass (~5.32 g based on Formulation 2 sum of 2.5037 + 2.8171) to isolate the effect of the ratio change.</w:t>
      </w:r>
      <w:r>
        <w:t xml:space="preserve"> </w:t>
      </w:r>
      <w:r>
        <w:t xml:space="preserve">*</w:t>
      </w:r>
      <w:r>
        <w:t xml:space="preserve"> </w:t>
      </w:r>
      <w:r>
        <w:rPr>
          <w:b/>
          <w:bCs/>
        </w:rPr>
        <w:t xml:space="preserve">HPMC K4M:</w:t>
      </w:r>
      <w:r>
        <w:t xml:space="preserve"> </w:t>
      </w:r>
      <w:r>
        <w:rPr>
          <w:b/>
          <w:bCs/>
        </w:rPr>
        <w:t xml:space="preserve">Decrease</w:t>
      </w:r>
      <w:r>
        <w:t xml:space="preserve"> </w:t>
      </w:r>
      <w:r>
        <w:t xml:space="preserve">from 2.5037 g to</w:t>
      </w:r>
      <w:r>
        <w:t xml:space="preserve"> </w:t>
      </w:r>
      <w:r>
        <w:rPr>
          <w:b/>
          <w:bCs/>
        </w:rPr>
        <w:t xml:space="preserve">2.10 g</w:t>
      </w:r>
      <w:r>
        <w:t xml:space="preserve">.</w:t>
      </w:r>
      <w:r>
        <w:t xml:space="preserve"> </w:t>
      </w:r>
      <w:r>
        <w:t xml:space="preserve">*</w:t>
      </w:r>
      <w:r>
        <w:t xml:space="preserve"> </w:t>
      </w:r>
      <w:r>
        <w:rPr>
          <w:b/>
          <w:bCs/>
        </w:rPr>
        <w:t xml:space="preserve">HPMC 100lv:</w:t>
      </w:r>
      <w:r>
        <w:t xml:space="preserve"> </w:t>
      </w:r>
      <w:r>
        <w:rPr>
          <w:b/>
          <w:bCs/>
        </w:rPr>
        <w:t xml:space="preserve">Increase</w:t>
      </w:r>
      <w:r>
        <w:t xml:space="preserve"> </w:t>
      </w:r>
      <w:r>
        <w:t xml:space="preserve">from 2.8171 g to</w:t>
      </w:r>
      <w:r>
        <w:t xml:space="preserve"> </w:t>
      </w:r>
      <w:r>
        <w:rPr>
          <w:b/>
          <w:bCs/>
        </w:rPr>
        <w:t xml:space="preserve">3.22 g</w:t>
      </w:r>
      <w:r>
        <w:t xml:space="preserve">.</w:t>
      </w:r>
      <w:r>
        <w:t xml:space="preserve"> </w:t>
      </w:r>
      <w:r>
        <w:t xml:space="preserve">*</w:t>
      </w:r>
      <w:r>
        <w:t xml:space="preserve"> </w:t>
      </w:r>
      <w:r>
        <w:rPr>
          <w:b/>
          <w:bCs/>
        </w:rPr>
        <w:t xml:space="preserve">Other Excipients:</w:t>
      </w:r>
      <w:r>
        <w:t xml:space="preserve"> </w:t>
      </w:r>
      <w:r>
        <w:t xml:space="preserve">Keep Methylene Blue, Silicon Dioxide, Magnesium Stearate, Microcrystalline Cellulose, and Lactose at the exact same masses as Formulation 2 to ensure comparability.</w:t>
      </w:r>
    </w:p>
    <w:p>
      <w:pPr>
        <w:pStyle w:val="BodyText"/>
      </w:pPr>
      <w:r>
        <w:rPr>
          <w:b/>
          <w:bCs/>
        </w:rPr>
        <w:t xml:space="preserve">Numeric Proposal for Next Iteration (Formulation 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Ingredient</w:t>
            </w:r>
          </w:p>
        </w:tc>
        <w:tc>
          <w:tcPr/>
          <w:p>
            <w:pPr>
              <w:pStyle w:val="Compact"/>
              <w:jc w:val="left"/>
            </w:pPr>
            <w:r>
              <w:t xml:space="preserve">Mass (g)</w:t>
            </w:r>
          </w:p>
        </w:tc>
        <w:tc>
          <w:tcPr/>
          <w:p>
            <w:pPr>
              <w:pStyle w:val="Compact"/>
              <w:jc w:val="left"/>
            </w:pPr>
            <w:r>
              <w:t xml:space="preserve">Role in Adjustment</w:t>
            </w:r>
          </w:p>
        </w:tc>
      </w:tr>
      <w:tr>
        <w:tc>
          <w:tcPr/>
          <w:p>
            <w:pPr>
              <w:pStyle w:val="Compact"/>
              <w:jc w:val="left"/>
            </w:pPr>
            <w:r>
              <w:t xml:space="preserve">Methylene Blue</w:t>
            </w:r>
          </w:p>
        </w:tc>
        <w:tc>
          <w:tcPr/>
          <w:p>
            <w:pPr>
              <w:pStyle w:val="Compact"/>
              <w:jc w:val="left"/>
            </w:pPr>
            <w:r>
              <w:t xml:space="preserve">0.142</w:t>
            </w:r>
          </w:p>
        </w:tc>
        <w:tc>
          <w:tcPr/>
          <w:p>
            <w:pPr>
              <w:pStyle w:val="Compact"/>
              <w:jc w:val="left"/>
            </w:pPr>
            <w:r>
              <w:t xml:space="preserve">Constant (Tracer)</w:t>
            </w:r>
          </w:p>
        </w:tc>
      </w:tr>
      <w:tr>
        <w:tc>
          <w:tcPr/>
          <w:p>
            <w:pPr>
              <w:pStyle w:val="Compact"/>
              <w:jc w:val="left"/>
            </w:pPr>
            <w:r>
              <w:t xml:space="preserve">Silicon Dioxide</w:t>
            </w:r>
          </w:p>
        </w:tc>
        <w:tc>
          <w:tcPr/>
          <w:p>
            <w:pPr>
              <w:pStyle w:val="Compact"/>
              <w:jc w:val="left"/>
            </w:pPr>
            <w:r>
              <w:t xml:space="preserve">0.0503</w:t>
            </w:r>
          </w:p>
        </w:tc>
        <w:tc>
          <w:tcPr/>
          <w:p>
            <w:pPr>
              <w:pStyle w:val="Compact"/>
              <w:jc w:val="left"/>
            </w:pPr>
            <w:r>
              <w:t xml:space="preserve">Constant (Glidant)</w:t>
            </w:r>
          </w:p>
        </w:tc>
      </w:tr>
      <w:tr>
        <w:tc>
          <w:tcPr/>
          <w:p>
            <w:pPr>
              <w:pStyle w:val="Compact"/>
              <w:jc w:val="left"/>
            </w:pPr>
            <w:r>
              <w:t xml:space="preserve">Magnesium Stearate</w:t>
            </w:r>
          </w:p>
        </w:tc>
        <w:tc>
          <w:tcPr/>
          <w:p>
            <w:pPr>
              <w:pStyle w:val="Compact"/>
              <w:jc w:val="left"/>
            </w:pPr>
            <w:r>
              <w:t xml:space="preserve">0.1278</w:t>
            </w:r>
          </w:p>
        </w:tc>
        <w:tc>
          <w:tcPr/>
          <w:p>
            <w:pPr>
              <w:pStyle w:val="Compact"/>
              <w:jc w:val="left"/>
            </w:pPr>
            <w:r>
              <w:t xml:space="preserve">Constant (Lubricant)</w:t>
            </w:r>
          </w:p>
        </w:tc>
      </w:tr>
      <w:tr>
        <w:tc>
          <w:tcPr/>
          <w:p>
            <w:pPr>
              <w:pStyle w:val="Compact"/>
              <w:jc w:val="left"/>
            </w:pPr>
            <w:r>
              <w:t xml:space="preserve">Microcrystalline Cellulose</w:t>
            </w:r>
          </w:p>
        </w:tc>
        <w:tc>
          <w:tcPr/>
          <w:p>
            <w:pPr>
              <w:pStyle w:val="Compact"/>
              <w:jc w:val="left"/>
            </w:pPr>
            <w:r>
              <w:t xml:space="preserve">9.6893</w:t>
            </w:r>
          </w:p>
        </w:tc>
        <w:tc>
          <w:tcPr/>
          <w:p>
            <w:pPr>
              <w:pStyle w:val="Compact"/>
              <w:jc w:val="left"/>
            </w:pPr>
            <w:r>
              <w:t xml:space="preserve">Constant (Filler)</w:t>
            </w:r>
          </w:p>
        </w:tc>
      </w:tr>
      <w:tr>
        <w:tc>
          <w:tcPr/>
          <w:p>
            <w:pPr>
              <w:pStyle w:val="Compact"/>
              <w:jc w:val="left"/>
            </w:pPr>
            <w:r>
              <w:t xml:space="preserve">Lactose</w:t>
            </w:r>
          </w:p>
        </w:tc>
        <w:tc>
          <w:tcPr/>
          <w:p>
            <w:pPr>
              <w:pStyle w:val="Compact"/>
              <w:jc w:val="left"/>
            </w:pPr>
            <w:r>
              <w:t xml:space="preserve">9.683</w:t>
            </w:r>
          </w:p>
        </w:tc>
        <w:tc>
          <w:tcPr/>
          <w:p>
            <w:pPr>
              <w:pStyle w:val="Compact"/>
              <w:jc w:val="left"/>
            </w:pPr>
            <w:r>
              <w:t xml:space="preserve">Constant (Filler)</w:t>
            </w:r>
          </w:p>
        </w:tc>
      </w:tr>
      <w:tr>
        <w:tc>
          <w:tcPr/>
          <w:p>
            <w:pPr>
              <w:pStyle w:val="Compact"/>
              <w:jc w:val="left"/>
            </w:pPr>
            <w:r>
              <w:rPr>
                <w:b/>
                <w:bCs/>
              </w:rPr>
              <w:t xml:space="preserve">HPMC K4M</w:t>
            </w:r>
          </w:p>
        </w:tc>
        <w:tc>
          <w:tcPr/>
          <w:p>
            <w:pPr>
              <w:pStyle w:val="Compact"/>
              <w:jc w:val="left"/>
            </w:pPr>
            <w:r>
              <w:rPr>
                <w:b/>
                <w:bCs/>
              </w:rPr>
              <w:t xml:space="preserve">2.10</w:t>
            </w:r>
          </w:p>
        </w:tc>
        <w:tc>
          <w:tcPr/>
          <w:p>
            <w:pPr>
              <w:pStyle w:val="Compact"/>
              <w:jc w:val="left"/>
            </w:pPr>
            <w:r>
              <w:rPr>
                <w:b/>
                <w:bCs/>
              </w:rPr>
              <w:t xml:space="preserve">Decreased</w:t>
            </w:r>
            <w:r>
              <w:t xml:space="preserve"> </w:t>
            </w:r>
            <w:r>
              <w:t xml:space="preserve">(Reduced gel barrier strength)</w:t>
            </w:r>
          </w:p>
        </w:tc>
      </w:tr>
      <w:tr>
        <w:tc>
          <w:tcPr/>
          <w:p>
            <w:pPr>
              <w:pStyle w:val="Compact"/>
              <w:jc w:val="left"/>
            </w:pPr>
            <w:r>
              <w:rPr>
                <w:b/>
                <w:bCs/>
              </w:rPr>
              <w:t xml:space="preserve">HPMC 100lv</w:t>
            </w:r>
          </w:p>
        </w:tc>
        <w:tc>
          <w:tcPr/>
          <w:p>
            <w:pPr>
              <w:pStyle w:val="Compact"/>
              <w:jc w:val="left"/>
            </w:pPr>
            <w:r>
              <w:rPr>
                <w:b/>
                <w:bCs/>
              </w:rPr>
              <w:t xml:space="preserve">3.22</w:t>
            </w:r>
          </w:p>
        </w:tc>
        <w:tc>
          <w:tcPr/>
          <w:p>
            <w:pPr>
              <w:pStyle w:val="Compact"/>
              <w:jc w:val="left"/>
            </w:pPr>
            <w:r>
              <w:rPr>
                <w:b/>
                <w:bCs/>
              </w:rPr>
              <w:t xml:space="preserve">Increased</w:t>
            </w:r>
            <w:r>
              <w:t xml:space="preserve"> </w:t>
            </w:r>
            <w:r>
              <w:t xml:space="preserve">(Faster hydration/permeability)</w:t>
            </w:r>
          </w:p>
        </w:tc>
      </w:tr>
    </w:tbl>
    <w:p>
      <w:pPr>
        <w:pStyle w:val="BodyText"/>
      </w:pPr>
      <w:r>
        <w:rPr>
          <w:i/>
          <w:iCs/>
        </w:rPr>
        <w:t xml:space="preserve">Rationale for Numeric Values:</w:t>
      </w:r>
      <w:r>
        <w:t xml:space="preserve"> </w:t>
      </w:r>
      <w:r>
        <w:t xml:space="preserve">* Formulation 2 Ratio (K4M:100lv) ≈ 0.89 : 1.</w:t>
      </w:r>
      <w:r>
        <w:t xml:space="preserve"> </w:t>
      </w:r>
      <w:r>
        <w:t xml:space="preserve">* Formulation 1 Ratio (K4M:100lv) ≈ 0.25 : 1.</w:t>
      </w:r>
      <w:r>
        <w:t xml:space="preserve"> </w:t>
      </w:r>
      <w:r>
        <w:t xml:space="preserve">* Proposed Formulation 4 Ratio (K4M:100lv) ≈ 0.65 : 1.</w:t>
      </w:r>
      <w:r>
        <w:t xml:space="preserve"> </w:t>
      </w:r>
      <w:r>
        <w:t xml:space="preserve">* This places the new formulation approximately halfway between the Standard (Form 2) and Low-Viscosity (Form 1) profiles in terms of polymer ratio, aiming for a modest 5% boost in early release without fully adopting the aggressive kinetics of Formulation 1.</w:t>
      </w:r>
    </w:p>
    <w:bookmarkEnd w:id="24"/>
    <w:bookmarkStart w:id="25" w:name="adjustment-rationale"/>
    <w:p>
      <w:pPr>
        <w:pStyle w:val="1"/>
      </w:pPr>
      <w:r>
        <w:t xml:space="preserve">Adjustment Rationale</w:t>
      </w:r>
    </w:p>
    <w:p>
      <w:pPr>
        <w:pStyle w:val="Compact"/>
        <w:numPr>
          <w:ilvl w:val="0"/>
          <w:numId w:val="1025"/>
        </w:numPr>
      </w:pPr>
      <w:r>
        <w:rPr>
          <w:b/>
          <w:bCs/>
        </w:rPr>
        <w:t xml:space="preserve">Variable: HPMC K4M Mass</w:t>
      </w:r>
    </w:p>
    <w:p>
      <w:pPr>
        <w:pStyle w:val="Compact"/>
        <w:numPr>
          <w:ilvl w:val="1"/>
          <w:numId w:val="1026"/>
        </w:numPr>
      </w:pPr>
      <w:r>
        <w:rPr>
          <w:b/>
          <w:bCs/>
        </w:rPr>
        <w:t xml:space="preserve">Direction:</w:t>
      </w:r>
      <w:r>
        <w:t xml:space="preserve"> </w:t>
      </w:r>
      <w:r>
        <w:t xml:space="preserve">Decrease (from 2.50 g to 2.10 g).</w:t>
      </w:r>
    </w:p>
    <w:p>
      <w:pPr>
        <w:pStyle w:val="Compact"/>
        <w:numPr>
          <w:ilvl w:val="1"/>
          <w:numId w:val="1026"/>
        </w:numPr>
      </w:pPr>
      <w:r>
        <w:rPr>
          <w:b/>
          <w:bCs/>
        </w:rPr>
        <w:t xml:space="preserve">Evidence Support:</w:t>
      </w:r>
      <w:r>
        <w:t xml:space="preserve"> </w:t>
      </w:r>
      <w:r>
        <w:t xml:space="preserve">Mechanistic analysis indicates that higher K4M content (Formulation 3) leads to slower early release due to stronger gel formation. Formulation 2’s balanced K4M provides sustainment but limits early flux. Reducing K4M reduces the density/viscosity of the initial gel layer.</w:t>
      </w:r>
    </w:p>
    <w:p>
      <w:pPr>
        <w:pStyle w:val="Compact"/>
        <w:numPr>
          <w:ilvl w:val="1"/>
          <w:numId w:val="1026"/>
        </w:numPr>
      </w:pPr>
      <w:r>
        <w:rPr>
          <w:b/>
          <w:bCs/>
        </w:rPr>
        <w:t xml:space="preserve">Expected Effect:</w:t>
      </w:r>
      <w:r>
        <w:t xml:space="preserve"> </w:t>
      </w:r>
      <w:r>
        <w:t xml:space="preserve">Lowering the high-viscosity polymer fraction reduces the diffusional resistance in the first 4 hours, allowing for a faster initial rise in concentration.</w:t>
      </w:r>
    </w:p>
    <w:p>
      <w:pPr>
        <w:pStyle w:val="Compact"/>
        <w:numPr>
          <w:ilvl w:val="0"/>
          <w:numId w:val="1025"/>
        </w:numPr>
      </w:pPr>
      <w:r>
        <w:rPr>
          <w:b/>
          <w:bCs/>
        </w:rPr>
        <w:t xml:space="preserve">Variable: HPMC 100lv Mass</w:t>
      </w:r>
    </w:p>
    <w:p>
      <w:pPr>
        <w:pStyle w:val="Compact"/>
        <w:numPr>
          <w:ilvl w:val="1"/>
          <w:numId w:val="1027"/>
        </w:numPr>
      </w:pPr>
      <w:r>
        <w:rPr>
          <w:b/>
          <w:bCs/>
        </w:rPr>
        <w:t xml:space="preserve">Direction:</w:t>
      </w:r>
      <w:r>
        <w:t xml:space="preserve"> </w:t>
      </w:r>
      <w:r>
        <w:t xml:space="preserve">Increase (from 2.82 g to 3.22 g).</w:t>
      </w:r>
    </w:p>
    <w:p>
      <w:pPr>
        <w:pStyle w:val="Compact"/>
        <w:numPr>
          <w:ilvl w:val="1"/>
          <w:numId w:val="1027"/>
        </w:numPr>
      </w:pPr>
      <w:r>
        <w:rPr>
          <w:b/>
          <w:bCs/>
        </w:rPr>
        <w:t xml:space="preserve">Evidence Support:</w:t>
      </w:r>
      <w:r>
        <w:t xml:space="preserve"> </w:t>
      </w:r>
      <w:r>
        <w:t xml:space="preserve">Formulation 1, with high HPMC 100lv, demonstrated the fastest early increase and highest peak at 2–4 h. This confirms that HPMC 100lv promotes rapid hydration and early drug availability.</w:t>
      </w:r>
    </w:p>
    <w:p>
      <w:pPr>
        <w:pStyle w:val="Compact"/>
        <w:numPr>
          <w:ilvl w:val="1"/>
          <w:numId w:val="1027"/>
        </w:numPr>
      </w:pPr>
      <w:r>
        <w:rPr>
          <w:b/>
          <w:bCs/>
        </w:rPr>
        <w:t xml:space="preserve">Expected Effect:</w:t>
      </w:r>
      <w:r>
        <w:t xml:space="preserve"> </w:t>
      </w:r>
      <w:r>
        <w:t xml:space="preserve">Increasing the low-viscosity polymer fraction accelerates water uptake and creates a more porous gel network early in the dissolution process, directly addressing the target of increasing cumulative release at 4 hours.</w:t>
      </w:r>
    </w:p>
    <w:p>
      <w:pPr>
        <w:pStyle w:val="Compact"/>
        <w:numPr>
          <w:ilvl w:val="0"/>
          <w:numId w:val="1025"/>
        </w:numPr>
      </w:pPr>
      <w:r>
        <w:rPr>
          <w:b/>
          <w:bCs/>
        </w:rPr>
        <w:t xml:space="preserve">Variable: Total Polymer Ratio (K4M/100lv)</w:t>
      </w:r>
    </w:p>
    <w:p>
      <w:pPr>
        <w:pStyle w:val="Compact"/>
        <w:numPr>
          <w:ilvl w:val="1"/>
          <w:numId w:val="1028"/>
        </w:numPr>
      </w:pPr>
      <w:r>
        <w:rPr>
          <w:b/>
          <w:bCs/>
        </w:rPr>
        <w:t xml:space="preserve">Direction:</w:t>
      </w:r>
      <w:r>
        <w:t xml:space="preserve"> </w:t>
      </w:r>
      <w:r>
        <w:t xml:space="preserve">Shift towards lower viscosity balance.</w:t>
      </w:r>
    </w:p>
    <w:p>
      <w:pPr>
        <w:pStyle w:val="Compact"/>
        <w:numPr>
          <w:ilvl w:val="1"/>
          <w:numId w:val="1028"/>
        </w:numPr>
      </w:pPr>
      <w:r>
        <w:rPr>
          <w:b/>
          <w:bCs/>
        </w:rPr>
        <w:t xml:space="preserve">Evidence Support:</w:t>
      </w:r>
      <w:r>
        <w:t xml:space="preserve"> </w:t>
      </w:r>
      <w:r>
        <w:t xml:space="preserve">The cross-formulation summary shows a clear spectrum: Form 3 (Slow) &lt; Form 2 (Medium) &lt; Form 1 (Fast). The target is a slight increase over Form 2.</w:t>
      </w:r>
    </w:p>
    <w:p>
      <w:pPr>
        <w:pStyle w:val="Compact"/>
        <w:numPr>
          <w:ilvl w:val="1"/>
          <w:numId w:val="1028"/>
        </w:numPr>
      </w:pPr>
      <w:r>
        <w:rPr>
          <w:b/>
          <w:bCs/>
        </w:rPr>
        <w:t xml:space="preserve">Expected Effect:</w:t>
      </w:r>
      <w:r>
        <w:t xml:space="preserve"> </w:t>
      </w:r>
      <w:r>
        <w:t xml:space="preserve">By selecting a ratio intermediate between Form 2 and Form 1, the formulation aims to capture the</w:t>
      </w:r>
      <w:r>
        <w:t xml:space="preserve"> </w:t>
      </w:r>
      <w:r>
        <w:t xml:space="preserve">“fast start”</w:t>
      </w:r>
      <w:r>
        <w:t xml:space="preserve"> </w:t>
      </w:r>
      <w:r>
        <w:t xml:space="preserve">benefit of Form 1 while retaining enough K4M to prevent the</w:t>
      </w:r>
      <w:r>
        <w:t xml:space="preserve"> </w:t>
      </w:r>
      <w:r>
        <w:t xml:space="preserve">“sharp decline”</w:t>
      </w:r>
      <w:r>
        <w:t xml:space="preserve"> </w:t>
      </w:r>
      <w:r>
        <w:t xml:space="preserve">and early clearance observed in Form 1. This balances the 105% early release target with the need for continued release beyond 4 hours.</w:t>
      </w:r>
    </w:p>
    <w:bookmarkEnd w:id="25"/>
    <w:bookmarkStart w:id="26" w:name="expected-behavioral-change"/>
    <w:p>
      <w:pPr>
        <w:pStyle w:val="1"/>
      </w:pPr>
      <w:r>
        <w:t xml:space="preserve">Expected Behavioral Change</w:t>
      </w:r>
    </w:p>
    <w:p>
      <w:pPr>
        <w:pStyle w:val="Compact"/>
        <w:numPr>
          <w:ilvl w:val="0"/>
          <w:numId w:val="1029"/>
        </w:numPr>
      </w:pPr>
      <w:r>
        <w:rPr>
          <w:b/>
          <w:bCs/>
        </w:rPr>
        <w:t xml:space="preserve">Early Phase (0–4 h):</w:t>
      </w:r>
      <w:r>
        <w:t xml:space="preserve"> </w:t>
      </w:r>
      <w:r>
        <w:t xml:space="preserve">The proposed formulation is expected to show a</w:t>
      </w:r>
      <w:r>
        <w:t xml:space="preserve"> </w:t>
      </w:r>
      <w:r>
        <w:rPr>
          <w:b/>
          <w:bCs/>
        </w:rPr>
        <w:t xml:space="preserve">moderately faster increase</w:t>
      </w:r>
      <w:r>
        <w:t xml:space="preserve"> </w:t>
      </w:r>
      <w:r>
        <w:t xml:space="preserve">in absorbance compared to Formulation 2. The cumulative release at 4 hours should approximate</w:t>
      </w:r>
      <w:r>
        <w:t xml:space="preserve"> </w:t>
      </w:r>
      <w:r>
        <w:rPr>
          <w:b/>
          <w:bCs/>
        </w:rPr>
        <w:t xml:space="preserve">105% of Formulation 2’s value</w:t>
      </w:r>
      <w:r>
        <w:t xml:space="preserve">, meeting the optimization target. The peak may be slightly higher and reached slightly earlier than Formulation 2, but not as sharply as Formulation 1.</w:t>
      </w:r>
    </w:p>
    <w:p>
      <w:pPr>
        <w:pStyle w:val="Compact"/>
        <w:numPr>
          <w:ilvl w:val="0"/>
          <w:numId w:val="1029"/>
        </w:numPr>
      </w:pPr>
      <w:r>
        <w:rPr>
          <w:b/>
          <w:bCs/>
        </w:rPr>
        <w:t xml:space="preserve">Mid Phase (4–8 h):</w:t>
      </w:r>
      <w:r>
        <w:t xml:space="preserve"> </w:t>
      </w:r>
      <w:r>
        <w:t xml:space="preserve">Unlike Formulation 1, which crashes to near-zero, this formulation should maintain a</w:t>
      </w:r>
      <w:r>
        <w:t xml:space="preserve"> </w:t>
      </w:r>
      <w:r>
        <w:rPr>
          <w:b/>
          <w:bCs/>
        </w:rPr>
        <w:t xml:space="preserve">sustained plateau</w:t>
      </w:r>
      <w:r>
        <w:t xml:space="preserve"> </w:t>
      </w:r>
      <w:r>
        <w:t xml:space="preserve">or a very gradual decline. The remaining K4M (2.10 g) is sufficient to maintain gel integrity after the initial burst, preventing premature depletion.</w:t>
      </w:r>
    </w:p>
    <w:p>
      <w:pPr>
        <w:pStyle w:val="Compact"/>
        <w:numPr>
          <w:ilvl w:val="0"/>
          <w:numId w:val="1029"/>
        </w:numPr>
      </w:pPr>
      <w:r>
        <w:rPr>
          <w:b/>
          <w:bCs/>
        </w:rPr>
        <w:t xml:space="preserve">Late Phase (8–24 h):</w:t>
      </w:r>
      <w:r>
        <w:t xml:space="preserve"> </w:t>
      </w:r>
      <w:r>
        <w:t xml:space="preserve">Release should continue, potentially trailing off slightly faster than Formulation 2 due to the lower total high-viscosity content, but still providing significant release coverage over the 24-hour period.</w:t>
      </w:r>
    </w:p>
    <w:bookmarkEnd w:id="26"/>
    <w:bookmarkStart w:id="27" w:name="uncertainty-and-validation-needs"/>
    <w:p>
      <w:pPr>
        <w:pStyle w:val="1"/>
      </w:pPr>
      <w:r>
        <w:t xml:space="preserve">Uncertainty and Validation Needs</w:t>
      </w:r>
    </w:p>
    <w:p>
      <w:pPr>
        <w:pStyle w:val="FirstParagraph"/>
      </w:pPr>
      <w:r>
        <w:rPr>
          <w:b/>
          <w:bCs/>
        </w:rPr>
        <w:t xml:space="preserve">Uncertainties:</w:t>
      </w:r>
      <w:r>
        <w:t xml:space="preserve"> </w:t>
      </w:r>
      <w:r>
        <w:t xml:space="preserve">*</w:t>
      </w:r>
      <w:r>
        <w:t xml:space="preserve"> </w:t>
      </w:r>
      <w:r>
        <w:rPr>
          <w:b/>
          <w:bCs/>
        </w:rPr>
        <w:t xml:space="preserve">Linearity of Response:</w:t>
      </w:r>
      <w:r>
        <w:t xml:space="preserve"> </w:t>
      </w:r>
      <w:r>
        <w:t xml:space="preserve">The relationship between HPMC ratio and cumulative release may not be linear. A midpoint ratio adjustment might yield a release profile closer to Formulation 1 than anticipated if the gel structure undergoes a critical transition point.</w:t>
      </w:r>
      <w:r>
        <w:t xml:space="preserve"> </w:t>
      </w:r>
      <w:r>
        <w:t xml:space="preserve">*</w:t>
      </w:r>
      <w:r>
        <w:t xml:space="preserve"> </w:t>
      </w:r>
      <w:r>
        <w:rPr>
          <w:b/>
          <w:bCs/>
        </w:rPr>
        <w:t xml:space="preserve">Lack of Physical Data:</w:t>
      </w:r>
      <w:r>
        <w:t xml:space="preserve"> </w:t>
      </w:r>
      <w:r>
        <w:t xml:space="preserve">Without image analysis (swelling/gel thickness) or erosion data, the recommendation relies entirely on concentration proxies. It is possible that changes in release are driven by erosion rather than diffusion, which would alter the predictability of the ratio adjustment.</w:t>
      </w:r>
      <w:r>
        <w:t xml:space="preserve"> </w:t>
      </w:r>
      <w:r>
        <w:t xml:space="preserve">*</w:t>
      </w:r>
      <w:r>
        <w:t xml:space="preserve"> </w:t>
      </w:r>
      <w:r>
        <w:rPr>
          <w:b/>
          <w:bCs/>
        </w:rPr>
        <w:t xml:space="preserve">Absorbance Units:</w:t>
      </w:r>
      <w:r>
        <w:t xml:space="preserve"> </w:t>
      </w:r>
      <w:r>
        <w:t xml:space="preserve">The use of relative UV absorbance units rather than absolute mass concentration introduces uncertainty in quantifying the exact</w:t>
      </w:r>
      <w:r>
        <w:t xml:space="preserve"> </w:t>
      </w:r>
      <w:r>
        <w:t xml:space="preserve">“105%”</w:t>
      </w:r>
      <w:r>
        <w:t xml:space="preserve"> </w:t>
      </w:r>
      <w:r>
        <w:t xml:space="preserve">achievement. Calibration against standard curves is assumed but not verified in the provided context.</w:t>
      </w:r>
    </w:p>
    <w:p>
      <w:pPr>
        <w:pStyle w:val="BodyText"/>
      </w:pPr>
      <w:r>
        <w:rPr>
          <w:b/>
          <w:bCs/>
        </w:rPr>
        <w:t xml:space="preserve">Validation Needs:</w:t>
      </w:r>
      <w:r>
        <w:t xml:space="preserve"> </w:t>
      </w:r>
      <w:r>
        <w:t xml:space="preserve">*</w:t>
      </w:r>
      <w:r>
        <w:t xml:space="preserve"> </w:t>
      </w:r>
      <w:r>
        <w:rPr>
          <w:b/>
          <w:bCs/>
        </w:rPr>
        <w:t xml:space="preserve">High-Resolution Early Sampling:</w:t>
      </w:r>
      <w:r>
        <w:t xml:space="preserve"> </w:t>
      </w:r>
      <w:r>
        <w:t xml:space="preserve">Conduct the next experiment with increased sampling frequency between 0.5 h and 4 h (e.g., every 30 minutes) to precisely calculate the area under the curve (AUC) for the 0–4 h window.</w:t>
      </w:r>
      <w:r>
        <w:t xml:space="preserve"> </w:t>
      </w:r>
      <w:r>
        <w:t xml:space="preserve">*</w:t>
      </w:r>
      <w:r>
        <w:t xml:space="preserve"> </w:t>
      </w:r>
      <w:r>
        <w:rPr>
          <w:b/>
          <w:bCs/>
        </w:rPr>
        <w:t xml:space="preserve">Replicates:</w:t>
      </w:r>
      <w:r>
        <w:t xml:space="preserve"> </w:t>
      </w:r>
      <w:r>
        <w:t xml:space="preserve">Run at least n=3 replicates of the proposed formulation to ensure the 5% increase is statistically significant and reproducible.</w:t>
      </w:r>
      <w:r>
        <w:t xml:space="preserve"> </w:t>
      </w:r>
      <w:r>
        <w:t xml:space="preserve">*</w:t>
      </w:r>
      <w:r>
        <w:t xml:space="preserve"> </w:t>
      </w:r>
      <w:r>
        <w:rPr>
          <w:b/>
          <w:bCs/>
        </w:rPr>
        <w:t xml:space="preserve">Orthogonal Measurement:</w:t>
      </w:r>
      <w:r>
        <w:t xml:space="preserve"> </w:t>
      </w:r>
      <w:r>
        <w:t xml:space="preserve">If possible, include tablet weight loss measurements or visual imaging at 1 h, 2 h, and 4 h to confirm that the faster release is due to enhanced diffusion through a hydrated gel rather than catastrophic matrix failure/erosion.</w:t>
      </w:r>
      <w:r>
        <w:t xml:space="preserve"> </w:t>
      </w:r>
      <w:r>
        <w:t xml:space="preserve">*</w:t>
      </w:r>
      <w:r>
        <w:t xml:space="preserve"> </w:t>
      </w:r>
      <w:r>
        <w:rPr>
          <w:b/>
          <w:bCs/>
        </w:rPr>
        <w:t xml:space="preserve">pH Switch Impact:</w:t>
      </w:r>
      <w:r>
        <w:t xml:space="preserve"> </w:t>
      </w:r>
      <w:r>
        <w:t xml:space="preserve">Monitor the behavior specifically around the 1-hour pH switch (1.2 to 6.8) to ensure the adjusted polymer ratio does not cause instability or sudden burst release triggered by the pH change.</w:t>
      </w:r>
    </w:p>
    <w:p>
      <w:r>
        <w:pict>
          <v:rect style="width:0;height:1.5pt" o:hralign="center" o:hrstd="t" o:hr="t"/>
        </w:pict>
      </w:r>
    </w:p>
    <w:bookmarkEnd w:id="27"/>
    <w:sectPr w:rsidR="004276F3">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2B38475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135097757"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attachedTemplate r:id="rId1"/>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85B"/>
    <w:rsid w:val="002C5CDE"/>
    <w:rsid w:val="00377025"/>
    <w:rsid w:val="004276F3"/>
    <w:rsid w:val="0051685B"/>
    <w:rsid w:val="006452E8"/>
    <w:rsid w:val="00970A3B"/>
    <w:rsid w:val="00BD72EF"/>
    <w:rsid w:val="00D85068"/>
    <w:rsid w:val="00F77E3D"/>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D85068"/>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D85068"/>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D85068"/>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D85068"/>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D85068"/>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D85068"/>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D85068"/>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D85068"/>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D85068"/>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D85068"/>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D85068"/>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D85068"/>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D85068"/>
    <w:rPr>
      <w:rFonts w:cstheme="majorBidi"/>
      <w:color w:themeColor="accent1" w:themeShade="BF" w:val="2F5496"/>
      <w:sz w:val="28"/>
      <w:szCs w:val="28"/>
    </w:rPr>
  </w:style>
  <w:style w:customStyle="1" w:styleId="50" w:type="character">
    <w:name w:val="标题 5 字符"/>
    <w:basedOn w:val="a0"/>
    <w:link w:val="5"/>
    <w:uiPriority w:val="9"/>
    <w:semiHidden/>
    <w:rsid w:val="00D85068"/>
    <w:rPr>
      <w:rFonts w:cstheme="majorBidi"/>
      <w:color w:themeColor="accent1" w:themeShade="BF" w:val="2F5496"/>
      <w:sz w:val="24"/>
    </w:rPr>
  </w:style>
  <w:style w:customStyle="1" w:styleId="60" w:type="character">
    <w:name w:val="标题 6 字符"/>
    <w:basedOn w:val="a0"/>
    <w:link w:val="6"/>
    <w:uiPriority w:val="9"/>
    <w:semiHidden/>
    <w:rsid w:val="00D85068"/>
    <w:rPr>
      <w:rFonts w:cstheme="majorBidi"/>
      <w:b/>
      <w:bCs/>
      <w:color w:themeColor="accent1" w:themeShade="BF" w:val="2F5496"/>
    </w:rPr>
  </w:style>
  <w:style w:customStyle="1" w:styleId="70" w:type="character">
    <w:name w:val="标题 7 字符"/>
    <w:basedOn w:val="a0"/>
    <w:link w:val="7"/>
    <w:uiPriority w:val="9"/>
    <w:semiHidden/>
    <w:rsid w:val="00D85068"/>
    <w:rPr>
      <w:rFonts w:cstheme="majorBidi"/>
      <w:b/>
      <w:bCs/>
      <w:color w:themeColor="text1" w:themeTint="A6" w:val="595959"/>
    </w:rPr>
  </w:style>
  <w:style w:customStyle="1" w:styleId="80" w:type="character">
    <w:name w:val="标题 8 字符"/>
    <w:basedOn w:val="a0"/>
    <w:link w:val="8"/>
    <w:uiPriority w:val="9"/>
    <w:semiHidden/>
    <w:rsid w:val="00D85068"/>
    <w:rPr>
      <w:rFonts w:cstheme="majorBidi"/>
      <w:color w:themeColor="text1" w:themeTint="A6" w:val="595959"/>
    </w:rPr>
  </w:style>
  <w:style w:customStyle="1" w:styleId="90" w:type="character">
    <w:name w:val="标题 9 字符"/>
    <w:basedOn w:val="a0"/>
    <w:link w:val="9"/>
    <w:uiPriority w:val="9"/>
    <w:semiHidden/>
    <w:rsid w:val="00D85068"/>
    <w:rPr>
      <w:rFonts w:cstheme="majorBidi" w:eastAsiaTheme="majorEastAsia"/>
      <w:color w:themeColor="text1" w:themeTint="A6" w:val="595959"/>
    </w:rPr>
  </w:style>
  <w:style w:styleId="a3" w:type="paragraph">
    <w:name w:val="Title"/>
    <w:basedOn w:val="a"/>
    <w:next w:val="a"/>
    <w:link w:val="a4"/>
    <w:uiPriority w:val="10"/>
    <w:qFormat/>
    <w:rsid w:val="00D85068"/>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D85068"/>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D85068"/>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D85068"/>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D85068"/>
    <w:pPr>
      <w:spacing w:before="160"/>
      <w:jc w:val="center"/>
    </w:pPr>
    <w:rPr>
      <w:i/>
      <w:iCs/>
      <w:color w:themeColor="text1" w:themeTint="BF" w:val="404040"/>
    </w:rPr>
  </w:style>
  <w:style w:customStyle="1" w:styleId="a8" w:type="character">
    <w:name w:val="引用 字符"/>
    <w:basedOn w:val="a0"/>
    <w:link w:val="a7"/>
    <w:uiPriority w:val="29"/>
    <w:rsid w:val="00D85068"/>
    <w:rPr>
      <w:i/>
      <w:iCs/>
      <w:color w:themeColor="text1" w:themeTint="BF" w:val="404040"/>
    </w:rPr>
  </w:style>
  <w:style w:styleId="a9" w:type="paragraph">
    <w:name w:val="List Paragraph"/>
    <w:basedOn w:val="a"/>
    <w:uiPriority w:val="34"/>
    <w:qFormat/>
    <w:rsid w:val="00D85068"/>
    <w:pPr>
      <w:ind w:left="720"/>
      <w:contextualSpacing/>
    </w:pPr>
  </w:style>
  <w:style w:styleId="aa" w:type="character">
    <w:name w:val="Intense Emphasis"/>
    <w:basedOn w:val="a0"/>
    <w:uiPriority w:val="21"/>
    <w:qFormat/>
    <w:rsid w:val="00D85068"/>
    <w:rPr>
      <w:i/>
      <w:iCs/>
      <w:color w:themeColor="accent1" w:themeShade="BF" w:val="2F5496"/>
    </w:rPr>
  </w:style>
  <w:style w:styleId="ab" w:type="paragraph">
    <w:name w:val="Intense Quote"/>
    <w:basedOn w:val="a"/>
    <w:next w:val="a"/>
    <w:link w:val="ac"/>
    <w:uiPriority w:val="30"/>
    <w:qFormat/>
    <w:rsid w:val="00D8506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D85068"/>
    <w:rPr>
      <w:i/>
      <w:iCs/>
      <w:color w:themeColor="accent1" w:themeShade="BF" w:val="2F5496"/>
    </w:rPr>
  </w:style>
  <w:style w:styleId="ad" w:type="character">
    <w:name w:val="Intense Reference"/>
    <w:basedOn w:val="a0"/>
    <w:uiPriority w:val="32"/>
    <w:qFormat/>
    <w:rsid w:val="00D85068"/>
    <w:rPr>
      <w:b/>
      <w:bCs/>
      <w:smallCaps/>
      <w:color w:themeColor="accent1" w:themeShade="BF" w:val="2F5496"/>
      <w:spacing w:val="5"/>
    </w:rPr>
  </w:style>
  <w:style w:customStyle="1" w:styleId="SourceCode" w:type="paragraph">
    <w:name w:val="Source Code"/>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e" w:type="table">
    <w:name w:val="Table Grid"/>
    <w:basedOn w:val="a1"/>
    <w:uiPriority w:val="39"/>
    <w:rsid w:val="002C5CD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 w:type="table">
    <w:name w:val="Table"/>
    <w:basedOn w:val="a1"/>
    <w:uiPriority w:val="99"/>
    <w:rsid w:val="00970A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Users/bw/Downloads/docx_templat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docx_template.dotx</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2026-04-22T17:26:37Z</dcterms:created>
  <dcterms:modified xsi:type="dcterms:W3CDTF">2026-04-22T17:26:37Z</dcterms:modified>
</cp:coreProperties>
</file>

<file path=docProps/custom.xml><?xml version="1.0" encoding="utf-8"?>
<Properties xmlns="http://schemas.openxmlformats.org/officeDocument/2006/custom-properties" xmlns:vt="http://schemas.openxmlformats.org/officeDocument/2006/docPropsVTypes"/>
</file>