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# Gliclazide Matrix Tablet Disintegration &amp; Formulation Optimization Analysis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1. Experimental Background &amp; Framework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Formulation Specifications</w:t>
      </w:r>
    </w:p>
    <w:p>
      <w:pPr>
        <w:pStyle w:val="正文"/>
        <w:bidi w:val="0"/>
      </w:pPr>
      <w:r>
        <w:rPr>
          <w:rtl w:val="0"/>
        </w:rPr>
        <w:t>*   **Low-Viscosity Formulation (Ratio ~1:4):** Gliclazide (4.505), SiO</w:t>
      </w:r>
      <w:r>
        <w:rPr>
          <w:rtl w:val="0"/>
        </w:rPr>
        <w:t xml:space="preserve">₂ </w:t>
      </w:r>
      <w:r>
        <w:rPr>
          <w:rtl w:val="0"/>
        </w:rPr>
        <w:t>(0.049), Mg Stearate (0.174), MCC (7.503), Lactose (7.504), HPMC K4M (1.058), HPMC 100lv (4.248).</w:t>
      </w:r>
    </w:p>
    <w:p>
      <w:pPr>
        <w:pStyle w:val="正文"/>
        <w:bidi w:val="0"/>
      </w:pPr>
      <w:r>
        <w:rPr>
          <w:rtl w:val="0"/>
        </w:rPr>
        <w:t>*   **Standard Formulation (Medium-Viscosity, Ratio ~1:1.1):** Gliclazide (4.493), SiO</w:t>
      </w:r>
      <w:r>
        <w:rPr>
          <w:rtl w:val="0"/>
        </w:rPr>
        <w:t xml:space="preserve">₂ </w:t>
      </w:r>
      <w:r>
        <w:rPr>
          <w:rtl w:val="0"/>
        </w:rPr>
        <w:t>(0.049), Mg Stearate (0.162), MCC (7.503), Lactose (7.506), HPMC K4M (2.504), HPMC 100lv (2.808).</w:t>
      </w:r>
    </w:p>
    <w:p>
      <w:pPr>
        <w:pStyle w:val="正文"/>
        <w:bidi w:val="0"/>
      </w:pPr>
      <w:r>
        <w:rPr>
          <w:rtl w:val="0"/>
        </w:rPr>
        <w:t>*   **High-Viscosity Formulation (Ratio ~4:1):** Gliclazide (4.500), SiO</w:t>
      </w:r>
      <w:r>
        <w:rPr>
          <w:rtl w:val="0"/>
        </w:rPr>
        <w:t xml:space="preserve">₂ </w:t>
      </w:r>
      <w:r>
        <w:rPr>
          <w:rtl w:val="0"/>
        </w:rPr>
        <w:t>(0.049), Mg Stearate (0.162), MCC (7.495), Lactose (7.504), HPMC K4M (4.252), HPMC 100lv (1.063).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Experimental Parameters</w:t>
      </w:r>
    </w:p>
    <w:p>
      <w:pPr>
        <w:pStyle w:val="正文"/>
        <w:bidi w:val="0"/>
      </w:pPr>
      <w:r>
        <w:rPr>
          <w:rtl w:val="0"/>
        </w:rPr>
        <w:t>*   **Apparatus:** Flow-through cell (1 mL/min flow rate).</w:t>
      </w:r>
    </w:p>
    <w:p>
      <w:pPr>
        <w:pStyle w:val="正文"/>
        <w:bidi w:val="0"/>
      </w:pPr>
      <w:r>
        <w:rPr>
          <w:rtl w:val="0"/>
        </w:rPr>
        <w:t xml:space="preserve">*   **Temperature:** Controlled at 38 </w:t>
      </w:r>
      <w:r>
        <w:rPr>
          <w:rtl w:val="0"/>
        </w:rPr>
        <w:t>°</w:t>
      </w:r>
      <w:r>
        <w:rPr>
          <w:rtl w:val="0"/>
        </w:rPr>
        <w:t>C (slightly elevated physiological condition).</w:t>
      </w:r>
    </w:p>
    <w:p>
      <w:pPr>
        <w:pStyle w:val="正文"/>
        <w:bidi w:val="0"/>
      </w:pPr>
      <w:r>
        <w:rPr>
          <w:rtl w:val="0"/>
        </w:rPr>
        <w:t>*   **Dissolution Medium:** Initially pH 1.2, switched to pH 6.8 after 1 hour ($t = 1\text{ h}$).</w:t>
      </w:r>
    </w:p>
    <w:p>
      <w:pPr>
        <w:pStyle w:val="正文"/>
        <w:bidi w:val="0"/>
      </w:pPr>
      <w:r>
        <w:rPr>
          <w:rtl w:val="0"/>
        </w:rPr>
        <w:t>*   **Observation Window:** Continuous 0</w:t>
      </w:r>
      <w:r>
        <w:rPr>
          <w:rtl w:val="0"/>
        </w:rPr>
        <w:t>–</w:t>
      </w:r>
      <w:r>
        <w:rPr>
          <w:rtl w:val="0"/>
        </w:rPr>
        <w:t>24 h static imaging video record.</w:t>
      </w:r>
    </w:p>
    <w:p>
      <w:pPr>
        <w:pStyle w:val="正文"/>
        <w:bidi w:val="0"/>
      </w:pPr>
      <w:r>
        <w:rPr>
          <w:rtl w:val="0"/>
        </w:rPr>
        <w:t>*   **Optimization Target:** Adjust the HPMC K4M to HPMC 100lv ratio to reduce the 24-hour total release amount of the Standard formulation to **90% of its original baseline level**.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2. The Eight Dimensions of Disintegration Analysis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To map visual behavior to physical mechanisms, each formulation was continuously monitored from 0 to 24 hours across eight critical physical dimensions: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I. Low-Viscosity Formulation</w:t>
      </w:r>
    </w:p>
    <w:p>
      <w:pPr>
        <w:pStyle w:val="正文"/>
        <w:bidi w:val="0"/>
      </w:pPr>
      <w:r>
        <w:rPr>
          <w:rtl w:val="0"/>
        </w:rPr>
        <w:t>*Reference Video: "02-pH1.2-pH6.8T-</w:t>
      </w:r>
      <w:r>
        <w:rPr>
          <w:rFonts w:ascii="Arial Unicode MS" w:hAnsi="Arial Unicode MS" w:hint="eastAsia"/>
          <w:rtl w:val="0"/>
        </w:rPr>
        <w:t>格列齐特缓释片</w:t>
      </w:r>
      <w:r>
        <w:rPr>
          <w:rtl w:val="0"/>
        </w:rPr>
        <w:t>-</w:t>
      </w:r>
      <w:r>
        <w:rPr>
          <w:rFonts w:ascii="Arial Unicode MS" w:hAnsi="Arial Unicode MS" w:hint="eastAsia"/>
          <w:rtl w:val="0"/>
        </w:rPr>
        <w:t>低粘度</w:t>
      </w:r>
      <w:r>
        <w:rPr>
          <w:rtl w:val="0"/>
        </w:rPr>
        <w:t>-260407-24h-Side-750X-2 (1).MP4"*</w:t>
      </w:r>
    </w:p>
    <w:p>
      <w:pPr>
        <w:pStyle w:val="正文"/>
        <w:bidi w:val="0"/>
      </w:pPr>
      <w:r>
        <w:rPr>
          <w:rtl w:val="0"/>
        </w:rPr>
        <w:t>*   **Radial/Axial Swelling:** Rapid volume expansion within the first 2</w:t>
      </w:r>
      <w:r>
        <w:rPr>
          <w:rtl w:val="0"/>
        </w:rPr>
        <w:t>–</w:t>
      </w:r>
      <w:r>
        <w:rPr>
          <w:rtl w:val="0"/>
        </w:rPr>
        <w:t>4 hours due to high concentration of fast-hydrating HPMC 100lv.</w:t>
      </w:r>
    </w:p>
    <w:p>
      <w:pPr>
        <w:pStyle w:val="正文"/>
        <w:bidi w:val="0"/>
      </w:pPr>
      <w:r>
        <w:rPr>
          <w:rtl w:val="0"/>
        </w:rPr>
        <w:t>*   **Gel Layer Thickness:** Soft, structurally weak, and visually thin translucent gel layer.</w:t>
      </w:r>
    </w:p>
    <w:p>
      <w:pPr>
        <w:pStyle w:val="正文"/>
        <w:bidi w:val="0"/>
      </w:pPr>
      <w:r>
        <w:rPr>
          <w:rtl w:val="0"/>
        </w:rPr>
        <w:t>*   **Core Integrity:** The internal dry core shrinks fast, disappearing completely well before the 24-hour mark.</w:t>
      </w:r>
    </w:p>
    <w:p>
      <w:pPr>
        <w:pStyle w:val="正文"/>
        <w:bidi w:val="0"/>
      </w:pPr>
      <w:r>
        <w:rPr>
          <w:rtl w:val="0"/>
        </w:rPr>
        <w:t>*   **Surface Erosion:** Highly pronounced sloughing and flaking of polymer pieces into the fluid stream.</w:t>
      </w:r>
    </w:p>
    <w:p>
      <w:pPr>
        <w:pStyle w:val="正文"/>
        <w:bidi w:val="0"/>
      </w:pPr>
      <w:r>
        <w:rPr>
          <w:rtl w:val="0"/>
        </w:rPr>
        <w:t>*   **Medium Penetration:** High ingress rate of dissolution medium through the low-density polymer barrier.</w:t>
      </w:r>
    </w:p>
    <w:p>
      <w:pPr>
        <w:pStyle w:val="正文"/>
        <w:bidi w:val="0"/>
      </w:pPr>
      <w:r>
        <w:rPr>
          <w:rtl w:val="0"/>
        </w:rPr>
        <w:t>*   **Gel Clarity/Opacity:** Highly transparent gel layer, indicating lower polymer entanglement density.</w:t>
      </w:r>
    </w:p>
    <w:p>
      <w:pPr>
        <w:pStyle w:val="正文"/>
        <w:bidi w:val="0"/>
      </w:pPr>
      <w:r>
        <w:rPr>
          <w:rtl w:val="0"/>
        </w:rPr>
        <w:t>*   **Shape Maintenance:** Poor structural integrity; loses its cylindrical geometry early, softening into a blob-like form.</w:t>
      </w:r>
    </w:p>
    <w:p>
      <w:pPr>
        <w:pStyle w:val="正文"/>
        <w:bidi w:val="0"/>
      </w:pPr>
      <w:r>
        <w:rPr>
          <w:rtl w:val="0"/>
        </w:rPr>
        <w:t>*   **pH Transition Response:** Shows micro-structural porous breakdown at $t = 1\text{ h}$ as the drug becomes more soluble at pH 6.8.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II. Standard Formulation (Reference Baseline)</w:t>
      </w:r>
    </w:p>
    <w:p>
      <w:pPr>
        <w:pStyle w:val="正文"/>
        <w:bidi w:val="0"/>
      </w:pPr>
      <w:r>
        <w:rPr>
          <w:rtl w:val="0"/>
        </w:rPr>
        <w:t>*Reference Video: "01-pH1.2-pH6.8T-</w:t>
      </w:r>
      <w:r>
        <w:rPr>
          <w:rFonts w:ascii="Arial Unicode MS" w:hAnsi="Arial Unicode MS" w:hint="eastAsia"/>
          <w:rtl w:val="0"/>
        </w:rPr>
        <w:t>格列齐特缓释片</w:t>
      </w:r>
      <w:r>
        <w:rPr>
          <w:rtl w:val="0"/>
        </w:rPr>
        <w:t>-</w:t>
      </w:r>
      <w:r>
        <w:rPr>
          <w:rFonts w:ascii="Arial Unicode MS" w:hAnsi="Arial Unicode MS" w:hint="eastAsia"/>
          <w:rtl w:val="0"/>
        </w:rPr>
        <w:t>标准黏度</w:t>
      </w:r>
      <w:r>
        <w:rPr>
          <w:rtl w:val="0"/>
        </w:rPr>
        <w:t>-260407-24h-Side-750X-3 (1).MP4"*</w:t>
      </w:r>
    </w:p>
    <w:p>
      <w:pPr>
        <w:pStyle w:val="正文"/>
        <w:bidi w:val="0"/>
      </w:pPr>
      <w:r>
        <w:rPr>
          <w:rtl w:val="0"/>
        </w:rPr>
        <w:t>*   **Radial/Axial Swelling:** Steady, controlled volume expansion. Keeps a more confined spatial footprint than the low-viscosity system.</w:t>
      </w:r>
    </w:p>
    <w:p>
      <w:pPr>
        <w:pStyle w:val="正文"/>
        <w:bidi w:val="0"/>
      </w:pPr>
      <w:r>
        <w:rPr>
          <w:rtl w:val="0"/>
        </w:rPr>
        <w:t>*   **Gel Layer Thickness:** Forms a distinct, robust translucent gel envelope capable of shielding the core.</w:t>
      </w:r>
    </w:p>
    <w:p>
      <w:pPr>
        <w:pStyle w:val="正文"/>
        <w:bidi w:val="0"/>
      </w:pPr>
      <w:r>
        <w:rPr>
          <w:rtl w:val="0"/>
        </w:rPr>
        <w:t>*   **Core Integrity:** Concentric, linear reduction of the white dry core, displaying high persistence up to the final hours.</w:t>
      </w:r>
    </w:p>
    <w:p>
      <w:pPr>
        <w:pStyle w:val="正文"/>
        <w:bidi w:val="0"/>
      </w:pPr>
      <w:r>
        <w:rPr>
          <w:rtl w:val="0"/>
        </w:rPr>
        <w:t>*   **Surface Erosion:** Controlled, uniform surface erosion with smooth outer boundaries and minimized flaking.</w:t>
      </w:r>
    </w:p>
    <w:p>
      <w:pPr>
        <w:pStyle w:val="正文"/>
        <w:bidi w:val="0"/>
      </w:pPr>
      <w:r>
        <w:rPr>
          <w:rtl w:val="0"/>
        </w:rPr>
        <w:t>*   **Medium Penetration:** Regulated ingress of the fluid medium acting as a controlled barrier front.</w:t>
      </w:r>
    </w:p>
    <w:p>
      <w:pPr>
        <w:pStyle w:val="正文"/>
        <w:bidi w:val="0"/>
      </w:pPr>
      <w:r>
        <w:rPr>
          <w:rtl w:val="0"/>
        </w:rPr>
        <w:t>*   **Gel Clarity/Opacity:** Translucent to semi-opaque layer, validating optimal polymer chain entanglement.</w:t>
      </w:r>
    </w:p>
    <w:p>
      <w:pPr>
        <w:pStyle w:val="正文"/>
        <w:bidi w:val="0"/>
      </w:pPr>
      <w:r>
        <w:rPr>
          <w:rtl w:val="0"/>
        </w:rPr>
        <w:t>*   **Shape Maintenance:** Strong geometric preservation; retains its distinct cylindrical profile across the 24-hour duration.</w:t>
      </w:r>
    </w:p>
    <w:p>
      <w:pPr>
        <w:pStyle w:val="正文"/>
        <w:bidi w:val="0"/>
      </w:pPr>
      <w:r>
        <w:rPr>
          <w:rtl w:val="0"/>
        </w:rPr>
        <w:t>*   **pH Transition Response:** Transitions seamlessly at $t = 1\text{ h}$, buffering the sudden change in drug solubility.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III. High-Viscosity Formulation</w:t>
      </w:r>
    </w:p>
    <w:p>
      <w:pPr>
        <w:pStyle w:val="正文"/>
        <w:bidi w:val="0"/>
      </w:pPr>
      <w:r>
        <w:rPr>
          <w:rtl w:val="0"/>
        </w:rPr>
        <w:t>*Reference Video: "03-pH1.2-pH6.8T-</w:t>
      </w:r>
      <w:r>
        <w:rPr>
          <w:rFonts w:ascii="Arial Unicode MS" w:hAnsi="Arial Unicode MS" w:hint="eastAsia"/>
          <w:rtl w:val="0"/>
        </w:rPr>
        <w:t>格列齐特缓释片</w:t>
      </w:r>
      <w:r>
        <w:rPr>
          <w:rtl w:val="0"/>
        </w:rPr>
        <w:t>-</w:t>
      </w:r>
      <w:r>
        <w:rPr>
          <w:rFonts w:ascii="Arial Unicode MS" w:hAnsi="Arial Unicode MS" w:hint="eastAsia"/>
          <w:rtl w:val="0"/>
        </w:rPr>
        <w:t>高粘度</w:t>
      </w:r>
      <w:r>
        <w:rPr>
          <w:rtl w:val="0"/>
        </w:rPr>
        <w:t>-260407-24h-Side-750X-2 (1).MP4"*</w:t>
      </w:r>
    </w:p>
    <w:p>
      <w:pPr>
        <w:pStyle w:val="正文"/>
        <w:bidi w:val="0"/>
      </w:pPr>
      <w:r>
        <w:rPr>
          <w:rtl w:val="0"/>
        </w:rPr>
        <w:t>*   **Radial/Axial Swelling:** Pronounced but stiff expansion, establishing an immoveable boundary layer.</w:t>
      </w:r>
    </w:p>
    <w:p>
      <w:pPr>
        <w:pStyle w:val="正文"/>
        <w:bidi w:val="0"/>
      </w:pPr>
      <w:r>
        <w:rPr>
          <w:rtl w:val="0"/>
        </w:rPr>
        <w:t>*   **Gel Layer Thickness:** Highly exaggerated, exceptionally thick gel layer forming a dense halo around the core.</w:t>
      </w:r>
    </w:p>
    <w:p>
      <w:pPr>
        <w:pStyle w:val="正文"/>
        <w:bidi w:val="0"/>
      </w:pPr>
      <w:r>
        <w:rPr>
          <w:rtl w:val="0"/>
        </w:rPr>
        <w:t>*   **Core Integrity:** Extremely high core persistence; a significant portion of the un-hydrated core remains at 24 hours.</w:t>
      </w:r>
    </w:p>
    <w:p>
      <w:pPr>
        <w:pStyle w:val="正文"/>
        <w:bidi w:val="0"/>
      </w:pPr>
      <w:r>
        <w:rPr>
          <w:rtl w:val="0"/>
        </w:rPr>
        <w:t>*   **Surface Erosion:** Visually negligible erosion; outer edges remain rigid and unaffected by the 1 mL/min flow.</w:t>
      </w:r>
    </w:p>
    <w:p>
      <w:pPr>
        <w:pStyle w:val="正文"/>
        <w:bidi w:val="0"/>
      </w:pPr>
      <w:r>
        <w:rPr>
          <w:rtl w:val="0"/>
        </w:rPr>
        <w:t>*   **Medium Penetration:** Severe impedance of water ingress caused by the high molecular weight polymer chains.</w:t>
      </w:r>
    </w:p>
    <w:p>
      <w:pPr>
        <w:pStyle w:val="正文"/>
        <w:bidi w:val="0"/>
      </w:pPr>
      <w:r>
        <w:rPr>
          <w:rtl w:val="0"/>
        </w:rPr>
        <w:t>*   **Gel Clarity/Opacity:** Cloudy and semi-opaque gel matrix indicating very dense chain networks.</w:t>
      </w:r>
    </w:p>
    <w:p>
      <w:pPr>
        <w:pStyle w:val="正文"/>
        <w:bidi w:val="0"/>
      </w:pPr>
      <w:r>
        <w:rPr>
          <w:rtl w:val="0"/>
        </w:rPr>
        <w:t>*   **Shape Maintenance:** Flawless shape preservation; resists mechanical deformation perfectly over 24 hours.</w:t>
      </w:r>
    </w:p>
    <w:p>
      <w:pPr>
        <w:pStyle w:val="正文"/>
        <w:bidi w:val="0"/>
      </w:pPr>
      <w:r>
        <w:rPr>
          <w:rtl w:val="0"/>
        </w:rPr>
        <w:t>*   **pH Transition Response:** No notable visual modification at $t = 1\text{ h}$; the dense polymer matrix completely dominates drug dissolution trends.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3. Integrated Mechanistic Analysis &amp; UV Verification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Semi-quantitative UV absorbance data gathered from the flow-through cell eluate perfectly mirrors and validates our imaging findings: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Interval-Based Mean UV Absorbance Data</w:t>
      </w:r>
    </w:p>
    <w:p>
      <w:pPr>
        <w:pStyle w:val="正文"/>
        <w:bidi w:val="0"/>
      </w:pPr>
      <w:r>
        <w:rPr>
          <w:rtl w:val="0"/>
        </w:rPr>
        <w:t>*   **Low-Viscosity:** 0.153 (0</w:t>
      </w:r>
      <w:r>
        <w:rPr>
          <w:rtl w:val="0"/>
        </w:rPr>
        <w:t>–</w:t>
      </w:r>
      <w:r>
        <w:rPr>
          <w:rtl w:val="0"/>
        </w:rPr>
        <w:t>0.5h) | 0.233 (0.5</w:t>
      </w:r>
      <w:r>
        <w:rPr>
          <w:rtl w:val="0"/>
        </w:rPr>
        <w:t>–</w:t>
      </w:r>
      <w:r>
        <w:rPr>
          <w:rtl w:val="0"/>
        </w:rPr>
        <w:t>1h) | 0.361 (1</w:t>
      </w:r>
      <w:r>
        <w:rPr>
          <w:rtl w:val="0"/>
        </w:rPr>
        <w:t>–</w:t>
      </w:r>
      <w:r>
        <w:rPr>
          <w:rtl w:val="0"/>
        </w:rPr>
        <w:t>2h) | 0.666 (2</w:t>
      </w:r>
      <w:r>
        <w:rPr>
          <w:rtl w:val="0"/>
        </w:rPr>
        <w:t>–</w:t>
      </w:r>
      <w:r>
        <w:rPr>
          <w:rtl w:val="0"/>
        </w:rPr>
        <w:t>4h) | 0.776 (4</w:t>
      </w:r>
      <w:r>
        <w:rPr>
          <w:rtl w:val="0"/>
        </w:rPr>
        <w:t>–</w:t>
      </w:r>
      <w:r>
        <w:rPr>
          <w:rtl w:val="0"/>
        </w:rPr>
        <w:t>6h) | 0.878 (6</w:t>
      </w:r>
      <w:r>
        <w:rPr>
          <w:rtl w:val="0"/>
        </w:rPr>
        <w:t>–</w:t>
      </w:r>
      <w:r>
        <w:rPr>
          <w:rtl w:val="0"/>
        </w:rPr>
        <w:t>8h) | 0.860 (8</w:t>
      </w:r>
      <w:r>
        <w:rPr>
          <w:rtl w:val="0"/>
        </w:rPr>
        <w:t>–</w:t>
      </w:r>
      <w:r>
        <w:rPr>
          <w:rtl w:val="0"/>
        </w:rPr>
        <w:t>12h) | 0.894 (12</w:t>
      </w:r>
      <w:r>
        <w:rPr>
          <w:rtl w:val="0"/>
        </w:rPr>
        <w:t>–</w:t>
      </w:r>
      <w:r>
        <w:rPr>
          <w:rtl w:val="0"/>
        </w:rPr>
        <w:t>16h) | 0.927 (16</w:t>
      </w:r>
      <w:r>
        <w:rPr>
          <w:rtl w:val="0"/>
        </w:rPr>
        <w:t>–</w:t>
      </w:r>
      <w:r>
        <w:rPr>
          <w:rtl w:val="0"/>
        </w:rPr>
        <w:t>20h) | 0.770 (20</w:t>
      </w:r>
      <w:r>
        <w:rPr>
          <w:rtl w:val="0"/>
        </w:rPr>
        <w:t>–</w:t>
      </w:r>
      <w:r>
        <w:rPr>
          <w:rtl w:val="0"/>
        </w:rPr>
        <w:t>24h)</w:t>
      </w:r>
    </w:p>
    <w:p>
      <w:pPr>
        <w:pStyle w:val="正文"/>
        <w:bidi w:val="0"/>
      </w:pPr>
      <w:r>
        <w:rPr>
          <w:rtl w:val="0"/>
        </w:rPr>
        <w:t>*   **Standard:** 0.194 (0</w:t>
      </w:r>
      <w:r>
        <w:rPr>
          <w:rtl w:val="0"/>
        </w:rPr>
        <w:t>–</w:t>
      </w:r>
      <w:r>
        <w:rPr>
          <w:rtl w:val="0"/>
        </w:rPr>
        <w:t>0.5h) | 0.204 (0.5</w:t>
      </w:r>
      <w:r>
        <w:rPr>
          <w:rtl w:val="0"/>
        </w:rPr>
        <w:t>–</w:t>
      </w:r>
      <w:r>
        <w:rPr>
          <w:rtl w:val="0"/>
        </w:rPr>
        <w:t>1h) | 0.336 (1</w:t>
      </w:r>
      <w:r>
        <w:rPr>
          <w:rtl w:val="0"/>
        </w:rPr>
        <w:t>–</w:t>
      </w:r>
      <w:r>
        <w:rPr>
          <w:rtl w:val="0"/>
        </w:rPr>
        <w:t>2h) | 0.656 (2</w:t>
      </w:r>
      <w:r>
        <w:rPr>
          <w:rtl w:val="0"/>
        </w:rPr>
        <w:t>–</w:t>
      </w:r>
      <w:r>
        <w:rPr>
          <w:rtl w:val="0"/>
        </w:rPr>
        <w:t>4h) | 0.775 (4</w:t>
      </w:r>
      <w:r>
        <w:rPr>
          <w:rtl w:val="0"/>
        </w:rPr>
        <w:t>–</w:t>
      </w:r>
      <w:r>
        <w:rPr>
          <w:rtl w:val="0"/>
        </w:rPr>
        <w:t>6h) | 0.741 (6</w:t>
      </w:r>
      <w:r>
        <w:rPr>
          <w:rtl w:val="0"/>
        </w:rPr>
        <w:t>–</w:t>
      </w:r>
      <w:r>
        <w:rPr>
          <w:rtl w:val="0"/>
        </w:rPr>
        <w:t>8h) | 0.776 (8</w:t>
      </w:r>
      <w:r>
        <w:rPr>
          <w:rtl w:val="0"/>
        </w:rPr>
        <w:t>–</w:t>
      </w:r>
      <w:r>
        <w:rPr>
          <w:rtl w:val="0"/>
        </w:rPr>
        <w:t>12h) | 0.820 (12</w:t>
      </w:r>
      <w:r>
        <w:rPr>
          <w:rtl w:val="0"/>
        </w:rPr>
        <w:t>–</w:t>
      </w:r>
      <w:r>
        <w:rPr>
          <w:rtl w:val="0"/>
        </w:rPr>
        <w:t>16h) | 0.761 (16</w:t>
      </w:r>
      <w:r>
        <w:rPr>
          <w:rtl w:val="0"/>
        </w:rPr>
        <w:t>–</w:t>
      </w:r>
      <w:r>
        <w:rPr>
          <w:rtl w:val="0"/>
        </w:rPr>
        <w:t>20h) | 0.647 (20</w:t>
      </w:r>
      <w:r>
        <w:rPr>
          <w:rtl w:val="0"/>
        </w:rPr>
        <w:t>–</w:t>
      </w:r>
      <w:r>
        <w:rPr>
          <w:rtl w:val="0"/>
        </w:rPr>
        <w:t>24h)</w:t>
      </w:r>
    </w:p>
    <w:p>
      <w:pPr>
        <w:pStyle w:val="正文"/>
        <w:bidi w:val="0"/>
      </w:pPr>
      <w:r>
        <w:rPr>
          <w:rtl w:val="0"/>
        </w:rPr>
        <w:t>*   **High-Viscosity:** 0.155 (0</w:t>
      </w:r>
      <w:r>
        <w:rPr>
          <w:rtl w:val="0"/>
        </w:rPr>
        <w:t>–</w:t>
      </w:r>
      <w:r>
        <w:rPr>
          <w:rtl w:val="0"/>
        </w:rPr>
        <w:t>0.5h) | 0.143 (0.5</w:t>
      </w:r>
      <w:r>
        <w:rPr>
          <w:rtl w:val="0"/>
        </w:rPr>
        <w:t>–</w:t>
      </w:r>
      <w:r>
        <w:rPr>
          <w:rtl w:val="0"/>
        </w:rPr>
        <w:t>1h) | 0.204 (1</w:t>
      </w:r>
      <w:r>
        <w:rPr>
          <w:rtl w:val="0"/>
        </w:rPr>
        <w:t>–</w:t>
      </w:r>
      <w:r>
        <w:rPr>
          <w:rtl w:val="0"/>
        </w:rPr>
        <w:t>2h) | 0.483 (2</w:t>
      </w:r>
      <w:r>
        <w:rPr>
          <w:rtl w:val="0"/>
        </w:rPr>
        <w:t>–</w:t>
      </w:r>
      <w:r>
        <w:rPr>
          <w:rtl w:val="0"/>
        </w:rPr>
        <w:t>4h) | 0.580 (4</w:t>
      </w:r>
      <w:r>
        <w:rPr>
          <w:rtl w:val="0"/>
        </w:rPr>
        <w:t>–</w:t>
      </w:r>
      <w:r>
        <w:rPr>
          <w:rtl w:val="0"/>
        </w:rPr>
        <w:t>6h) | 0.582 (6</w:t>
      </w:r>
      <w:r>
        <w:rPr>
          <w:rtl w:val="0"/>
        </w:rPr>
        <w:t>–</w:t>
      </w:r>
      <w:r>
        <w:rPr>
          <w:rtl w:val="0"/>
        </w:rPr>
        <w:t>8h) | 0.573 (8</w:t>
      </w:r>
      <w:r>
        <w:rPr>
          <w:rtl w:val="0"/>
        </w:rPr>
        <w:t>–</w:t>
      </w:r>
      <w:r>
        <w:rPr>
          <w:rtl w:val="0"/>
        </w:rPr>
        <w:t>12h) | 0.689 (12</w:t>
      </w:r>
      <w:r>
        <w:rPr>
          <w:rtl w:val="0"/>
        </w:rPr>
        <w:t>–</w:t>
      </w:r>
      <w:r>
        <w:rPr>
          <w:rtl w:val="0"/>
        </w:rPr>
        <w:t>16h) | 0.632 (16</w:t>
      </w:r>
      <w:r>
        <w:rPr>
          <w:rtl w:val="0"/>
        </w:rPr>
        <w:t>–</w:t>
      </w:r>
      <w:r>
        <w:rPr>
          <w:rtl w:val="0"/>
        </w:rPr>
        <w:t>20h) | 0.540 (20</w:t>
      </w:r>
      <w:r>
        <w:rPr>
          <w:rtl w:val="0"/>
        </w:rPr>
        <w:t>–</w:t>
      </w:r>
      <w:r>
        <w:rPr>
          <w:rtl w:val="0"/>
        </w:rPr>
        <w:t>24h)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Key Corelations</w:t>
      </w:r>
    </w:p>
    <w:p>
      <w:pPr>
        <w:pStyle w:val="正文"/>
        <w:bidi w:val="0"/>
      </w:pPr>
      <w:r>
        <w:rPr>
          <w:rtl w:val="0"/>
        </w:rPr>
        <w:t>*   **The pH Effect (0</w:t>
      </w:r>
      <w:r>
        <w:rPr>
          <w:rtl w:val="0"/>
        </w:rPr>
        <w:t>–</w:t>
      </w:r>
      <w:r>
        <w:rPr>
          <w:rtl w:val="0"/>
        </w:rPr>
        <w:t>1 h vs. 1</w:t>
      </w:r>
      <w:r>
        <w:rPr>
          <w:rtl w:val="0"/>
        </w:rPr>
        <w:t>–</w:t>
      </w:r>
      <w:r>
        <w:rPr>
          <w:rtl w:val="0"/>
        </w:rPr>
        <w:t>4 h):** In all formulations, UV values remain very low during the first hour ($\text{pH } 1.2$) due to the poor solubility of Gliclazide ($pK_a \approx 5.8$). As the system changes to $\text{pH } 6.8$, the UV values leap upward, coordinating precisely with the visual swelling and rapid ionization of the drug inside the matrix.</w:t>
      </w:r>
    </w:p>
    <w:p>
      <w:pPr>
        <w:pStyle w:val="正文"/>
        <w:bidi w:val="0"/>
      </w:pPr>
      <w:r>
        <w:rPr>
          <w:rtl w:val="0"/>
        </w:rPr>
        <w:t>*   **The Tail End (20</w:t>
      </w:r>
      <w:r>
        <w:rPr>
          <w:rtl w:val="0"/>
        </w:rPr>
        <w:t>–</w:t>
      </w:r>
      <w:r>
        <w:rPr>
          <w:rtl w:val="0"/>
        </w:rPr>
        <w:t>24 h):** The drop in UV absorbance for the Standard (0.647) and Low-Viscosity (0.770) formulations correlates directly with the near-complete core depletion captured on video.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Primary Mechanistic Hypotheses</w:t>
      </w:r>
    </w:p>
    <w:p>
      <w:pPr>
        <w:pStyle w:val="正文"/>
        <w:bidi w:val="0"/>
      </w:pPr>
      <w:r>
        <w:rPr>
          <w:rtl w:val="0"/>
        </w:rPr>
        <w:t>1.  **Erosion-Accelerated Kinetics (Low-Viscosity):** The lack of K4M structural support allows the fluid media to continuously erode the outermost layers, causing rapid mass transfer and high UV output.</w:t>
      </w:r>
    </w:p>
    <w:p>
      <w:pPr>
        <w:pStyle w:val="正文"/>
        <w:bidi w:val="0"/>
      </w:pPr>
      <w:r>
        <w:rPr>
          <w:rtl w:val="0"/>
        </w:rPr>
        <w:t>2.  **Diffusion-Limited Barrier (High-Viscosity):** The dense network of K4M chains drastically prolongs the path length for drug transport, trapping the active ingredient and explaining the low UV measurements.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4. Optimization Target Review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  **Current State:** The Standard formulation achieves smooth, synchronized erosion and diffusion, but its visual exhaustion point suggests it may release its payload slightly too fast to hit the modified, more stringent parameter.</w:t>
      </w:r>
    </w:p>
    <w:p>
      <w:pPr>
        <w:pStyle w:val="正文"/>
        <w:bidi w:val="0"/>
      </w:pPr>
      <w:r>
        <w:rPr>
          <w:rtl w:val="0"/>
        </w:rPr>
        <w:t>*   **Goal:** Shift the Standard baseline slightly toward a diffusion-controlled state to achieve exactly a **10% decrease** in total cumulative drug release over 24 hours.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5. Recommended Next Formulation (Tentative)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To satisfy the target without changing the total dry weight of polymer binder used ($5.312\text{ units}$), the ratio must favor the high-viscosity K4M component to retard terminal matrix erosion.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  **Proposed HPMC K4M amount** = 2.880</w:t>
      </w:r>
    </w:p>
    <w:p>
      <w:pPr>
        <w:pStyle w:val="正文"/>
        <w:bidi w:val="0"/>
      </w:pPr>
      <w:r>
        <w:rPr>
          <w:rtl w:val="0"/>
        </w:rPr>
        <w:t>*   **Proposed HPMC 100lv amount** = 2.432</w:t>
      </w:r>
    </w:p>
    <w:p>
      <w:pPr>
        <w:pStyle w:val="正文"/>
        <w:bidi w:val="0"/>
      </w:pPr>
      <w:r>
        <w:rPr>
          <w:rtl w:val="0"/>
        </w:rPr>
        <w:t>*   **Proposed HPMC K4M:HPMC 100lv ratio** = 1.18:1 (or 2.880:2.432)</w:t>
      </w:r>
    </w:p>
    <w:p>
      <w:pPr>
        <w:pStyle w:val="正文"/>
        <w:bidi w:val="0"/>
      </w:pPr>
      <w:r>
        <w:rPr>
          <w:rtl w:val="0"/>
        </w:rPr>
        <w:t>*   **Percentage change of HPMC K4M relative to the standard formulation** = +15.0%</w:t>
      </w:r>
    </w:p>
    <w:p>
      <w:pPr>
        <w:pStyle w:val="正文"/>
        <w:bidi w:val="0"/>
      </w:pPr>
      <w:r>
        <w:rPr>
          <w:rtl w:val="0"/>
        </w:rPr>
        <w:t>*   **Percentage change of HPMC 100lv relative to the standard formulation** = -13.4%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### Rationale</w:t>
      </w:r>
    </w:p>
    <w:p>
      <w:pPr>
        <w:pStyle w:val="正文"/>
        <w:bidi w:val="0"/>
      </w:pPr>
      <w:r>
        <w:rPr>
          <w:rtl w:val="0"/>
        </w:rPr>
        <w:t>By increasing HPMC K4M by 15%, the overall entanglement network of the Standard matrix is strengthened. This modification will yield a marginally more viscous, long-lasting gel layer that restricts terminal-phase surface erosion, slows down core ingress, and effectively traps the final 10% fraction of the active ingredient at the 24-hour mark.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---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## 6. Uncertainty and Validation Needs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tl w:val="0"/>
        </w:rPr>
        <w:t>*   **Hydraulic Cross-Section Interference:** It must be monitored whether the added volume of swollen K4M restricts minor channel clearance profiles inside the flow-through testing cell.</w:t>
      </w:r>
    </w:p>
    <w:p>
      <w:pPr>
        <w:pStyle w:val="正文"/>
        <w:bidi w:val="0"/>
      </w:pPr>
      <w:r>
        <w:rPr>
          <w:rtl w:val="0"/>
        </w:rPr>
        <w:t xml:space="preserve">*   **Empirical Validation Protocol:** To differentiate our primary hypotheses from alternative factors (such as hydrodynamic dead zones or drug polymorphic variation at 38 </w:t>
      </w:r>
      <w:r>
        <w:rPr>
          <w:rtl w:val="0"/>
        </w:rPr>
        <w:t>°</w:t>
      </w:r>
      <w:r>
        <w:rPr>
          <w:rtl w:val="0"/>
        </w:rPr>
        <w:t>C), the next step requires running a validation dissolution test on this tentative batch, applying a **Peppas-Sahlin mathematical fit** to confirm that the erosion rate constant ($K_2$) has dropped relative to the diffusion rate constant ($K_1$).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