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# Methylene Blue Sustained-Release Formulation Optimization Study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1. Project Background &amp; Experimental Parameters</w:t>
      </w:r>
    </w:p>
    <w:p>
      <w:pPr>
        <w:pStyle w:val="正文"/>
        <w:bidi w:val="0"/>
      </w:pPr>
      <w:r>
        <w:rPr>
          <w:rtl w:val="0"/>
        </w:rPr>
        <w:t>* **Active Pharmaceutical Ingredient (API):** Methylene Blue (MB)</w:t>
      </w:r>
    </w:p>
    <w:p>
      <w:pPr>
        <w:pStyle w:val="正文"/>
        <w:bidi w:val="0"/>
      </w:pPr>
      <w:r>
        <w:rPr>
          <w:rtl w:val="0"/>
        </w:rPr>
        <w:t>* **Release Retardant System:** Hydroxypropyl Methylcellulose (HPMC) polymer blend using high-viscosity HPMC K4M ($\approx 4,000 \text{ mPa}\cdot\text{s}$) and low-viscosity HPMC 100lv ($\approx 100 \text{ mPa}\cdot\text{s}$).</w:t>
      </w:r>
    </w:p>
    <w:p>
      <w:pPr>
        <w:pStyle w:val="正文"/>
        <w:bidi w:val="0"/>
      </w:pPr>
      <w:r>
        <w:rPr>
          <w:rtl w:val="0"/>
        </w:rPr>
        <w:t>* **Apparatus:** Flow-through cell (USP 4 setup) at a flow rate of 1 mL/min.</w:t>
      </w:r>
    </w:p>
    <w:p>
      <w:pPr>
        <w:pStyle w:val="正文"/>
        <w:bidi w:val="0"/>
      </w:pPr>
      <w:r>
        <w:rPr>
          <w:rtl w:val="0"/>
        </w:rPr>
        <w:t xml:space="preserve">* **Environmental Conditions:** Initial 1 hour in pH 1.2 medium, followed by a switch to pH 6.8 for the remaining 23 hours. Temperature controlled at 38 </w:t>
      </w:r>
      <w:r>
        <w:rPr>
          <w:rtl w:val="0"/>
          <w:lang w:val="it-IT"/>
        </w:rPr>
        <w:t>°</w:t>
      </w:r>
      <w:r>
        <w:rPr>
          <w:rtl w:val="0"/>
        </w:rPr>
        <w:t>C.</w:t>
      </w:r>
    </w:p>
    <w:p>
      <w:pPr>
        <w:pStyle w:val="正文"/>
        <w:bidi w:val="0"/>
      </w:pPr>
      <w:r>
        <w:rPr>
          <w:rtl w:val="0"/>
        </w:rPr>
        <w:t>* **Optimization Target:** Adjust the K4M to 100lv ratio to increase the 4-hour cumulative release of the Standard Formulation to 105% of its baseline level.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---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  <w:lang w:val="fr-FR"/>
        </w:rPr>
        <w:t>## 2. Baseline Formulation Matrix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| Ingredient | Low-Viscosity (LV) | Standard-Viscosity (SV) | High-Viscosity (HV) |</w:t>
      </w:r>
    </w:p>
    <w:p>
      <w:pPr>
        <w:pStyle w:val="正文"/>
        <w:bidi w:val="0"/>
      </w:pPr>
      <w:r>
        <w:rPr>
          <w:rtl w:val="0"/>
        </w:rPr>
        <w:t>| :--- | :--- | :--- | :--- |</w:t>
      </w:r>
    </w:p>
    <w:p>
      <w:pPr>
        <w:pStyle w:val="正文"/>
        <w:bidi w:val="0"/>
      </w:pPr>
      <w:r>
        <w:rPr>
          <w:rtl w:val="0"/>
        </w:rPr>
        <w:t>| **Methylene Blue** | 0.1436 g | 0.1420 g | 0.1446 g |</w:t>
      </w:r>
    </w:p>
    <w:p>
      <w:pPr>
        <w:pStyle w:val="正文"/>
        <w:bidi w:val="0"/>
      </w:pPr>
      <w:r>
        <w:rPr>
          <w:rtl w:val="0"/>
        </w:rPr>
        <w:t>| **Silicon Dioxide** | 0.0501 g | 0.0503 g | 0.0502 g |</w:t>
      </w:r>
    </w:p>
    <w:p>
      <w:pPr>
        <w:pStyle w:val="正文"/>
        <w:bidi w:val="0"/>
      </w:pPr>
      <w:r>
        <w:rPr>
          <w:rtl w:val="0"/>
        </w:rPr>
        <w:t>| **Magnesium Stearate** | 0.1274 g | 0.1278 g | 0.1276 g |</w:t>
      </w:r>
    </w:p>
    <w:p>
      <w:pPr>
        <w:pStyle w:val="正文"/>
        <w:bidi w:val="0"/>
      </w:pPr>
      <w:r>
        <w:rPr>
          <w:rtl w:val="0"/>
        </w:rPr>
        <w:t>| **Microcrystalline Cellulose** | 9.6862 g | 9.6893 g | 9.6846 g |</w:t>
      </w:r>
    </w:p>
    <w:p>
      <w:pPr>
        <w:pStyle w:val="正文"/>
        <w:bidi w:val="0"/>
      </w:pPr>
      <w:r>
        <w:rPr>
          <w:rtl w:val="0"/>
        </w:rPr>
        <w:t>| **Lactose** | 9.6860 g | 9.6830 g | 9.6845 g |</w:t>
      </w:r>
    </w:p>
    <w:p>
      <w:pPr>
        <w:pStyle w:val="正文"/>
        <w:bidi w:val="0"/>
      </w:pPr>
      <w:r>
        <w:rPr>
          <w:rtl w:val="0"/>
        </w:rPr>
        <w:t>| **HPMC K4M** | 1.0624 g | 2.5037 g | 4.2460 g |</w:t>
      </w:r>
    </w:p>
    <w:p>
      <w:pPr>
        <w:pStyle w:val="正文"/>
        <w:bidi w:val="0"/>
      </w:pPr>
      <w:r>
        <w:rPr>
          <w:rtl w:val="0"/>
        </w:rPr>
        <w:t>| **HPMC 100lv** | 4.2484 g | 2.8171 g | 1.0653 g |</w:t>
      </w:r>
    </w:p>
    <w:p>
      <w:pPr>
        <w:pStyle w:val="正文"/>
        <w:bidi w:val="0"/>
      </w:pPr>
      <w:r>
        <w:rPr>
          <w:rtl w:val="0"/>
        </w:rPr>
        <w:t>| **Total Polymer Mass** | **5.3108 g** | **5.3208 g** | **5.3113 g** |</w:t>
      </w:r>
    </w:p>
    <w:p>
      <w:pPr>
        <w:pStyle w:val="正文"/>
        <w:bidi w:val="0"/>
      </w:pPr>
      <w:r>
        <w:rPr>
          <w:rtl w:val="0"/>
        </w:rPr>
        <w:t>| **Approx. K4M:100lv Ratio** | **1:4 (0.25)** | **1:1.1 (0.89)** | **4:1 (4.00)** |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---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3. Disintegration Behavior Evidence Statements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Based on the 24-hour visual records, the three formulations exhibit distinct "morphological signatures" driven by their HPMC polymer networks: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* **Low-Viscosity (LV):** Exhibits **"Sponge-like" Macroporosity**. The matrix undergoes extreme radial swelling within 4 hours. The outer gel layer appears loose and non-cohesive, promoting faster surface erosion and rapid core fading. By 24 hours, it leaves behind a highly ghosted, pale gel skeleton.</w:t>
      </w:r>
    </w:p>
    <w:p>
      <w:pPr>
        <w:pStyle w:val="正文"/>
        <w:bidi w:val="0"/>
      </w:pPr>
      <w:r>
        <w:rPr>
          <w:rtl w:val="0"/>
        </w:rPr>
        <w:t>* **Standard-Viscosity (SV):** Exhibits **"Cohesive Halo" Formation**. Swelling is moderate and radially controlled. It forms a dense, well-defined gel boundary layer that constrains the drug to a steady, narrow upward plume. The core remains saturated and deeply colored beyond 12 hours.</w:t>
      </w:r>
    </w:p>
    <w:p>
      <w:pPr>
        <w:pStyle w:val="正文"/>
        <w:bidi w:val="0"/>
      </w:pPr>
      <w:r>
        <w:rPr>
          <w:rtl w:val="0"/>
        </w:rPr>
        <w:t>* **High-Viscosity (HV):** Exhibits **"Glassy Shell" Sequestration**. Hydration is heavily delayed initially. The high polymer chain entanglement creates a thick, transparent, rigid outer shell that almost entirely isolates the inner core and suppresses matrix erosion.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---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4. Interval-Based Semi-Quantitative Release Evidence</w:t>
      </w:r>
    </w:p>
    <w:p>
      <w:pPr>
        <w:pStyle w:val="正文"/>
        <w:bidi w:val="0"/>
      </w:pPr>
      <w:r>
        <w:rPr>
          <w:rtl w:val="0"/>
        </w:rPr>
        <w:t>The following mean UV absorbance data values from the flow-through eluate serve as the kinetic profile for each formulation over 24 hours: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* **Low-Viscosity:** 0.0273, 0.0727, 0.1967, 0.5963, 0.3347, 0.0230, 0.0123, 0.0027, -0.0010, -0.0007.</w:t>
      </w:r>
    </w:p>
    <w:p>
      <w:pPr>
        <w:pStyle w:val="正文"/>
        <w:bidi w:val="0"/>
      </w:pPr>
      <w:r>
        <w:rPr>
          <w:rtl w:val="0"/>
        </w:rPr>
        <w:t>* **Standard-Viscosity:** 0.0320, 0.0520, 0.1680, 0.5153, 0.5532, 0.0777, 0.0167, 0.0143, 0.0043, -0.0013.</w:t>
      </w:r>
    </w:p>
    <w:p>
      <w:pPr>
        <w:pStyle w:val="正文"/>
        <w:bidi w:val="0"/>
      </w:pPr>
      <w:r>
        <w:rPr>
          <w:rtl w:val="0"/>
        </w:rPr>
        <w:t>* **High-Viscosity:** 0.0243, 0.0403, 0.1213, 0.4743, 0.3490, 0.0890, 0.0217, 0.0077, 0.0047, 0.0010.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### Analytical Alignment</w:t>
      </w:r>
    </w:p>
    <w:p>
      <w:pPr>
        <w:pStyle w:val="正文"/>
        <w:bidi w:val="0"/>
      </w:pPr>
      <w:r>
        <w:rPr>
          <w:rtl w:val="0"/>
        </w:rPr>
        <w:t>The image-based disintegration phenomena and the UV-based concentration trends are **highly mutually supportive**:</w:t>
      </w:r>
    </w:p>
    <w:p>
      <w:pPr>
        <w:pStyle w:val="正文"/>
        <w:bidi w:val="0"/>
      </w:pPr>
      <w:r>
        <w:rPr>
          <w:rtl w:val="0"/>
        </w:rPr>
        <w:t>* **Initial Burst Resistance:** The SV and HV systems show tighter visual boundaries and lower combined 0</w:t>
      </w:r>
      <w:r>
        <w:rPr>
          <w:rtl w:val="0"/>
        </w:rPr>
        <w:t>–</w:t>
      </w:r>
      <w:r>
        <w:rPr>
          <w:rtl w:val="0"/>
        </w:rPr>
        <w:t>1 h UV outputs ($0.0840$ and $0.0646$ respectively) compared to the more open LV system ($0.1000$).</w:t>
      </w:r>
    </w:p>
    <w:p>
      <w:pPr>
        <w:pStyle w:val="正文"/>
        <w:bidi w:val="0"/>
      </w:pPr>
      <w:r>
        <w:rPr>
          <w:rtl w:val="0"/>
        </w:rPr>
        <w:t>* **Peak Shifts:** The LV formulation reaches its peak release in the **2</w:t>
      </w:r>
      <w:r>
        <w:rPr>
          <w:rtl w:val="0"/>
        </w:rPr>
        <w:t>–</w:t>
      </w:r>
      <w:r>
        <w:rPr>
          <w:rtl w:val="0"/>
        </w:rPr>
        <w:t>4 h interval (0.5963)**, coinciding with its maximum porous expansion window. The SV formulation yields a more durable gel barrier, delaying its peak release to the **4</w:t>
      </w:r>
      <w:r>
        <w:rPr>
          <w:rtl w:val="0"/>
        </w:rPr>
        <w:t>–</w:t>
      </w:r>
      <w:r>
        <w:rPr>
          <w:rtl w:val="0"/>
        </w:rPr>
        <w:t>6 h interval (0.5532)**.</w:t>
      </w:r>
    </w:p>
    <w:p>
      <w:pPr>
        <w:pStyle w:val="正文"/>
        <w:bidi w:val="0"/>
      </w:pPr>
      <w:r>
        <w:rPr>
          <w:rtl w:val="0"/>
        </w:rPr>
        <w:t>* **Exhaustion Rates:** The visual fading of the LV core at 12</w:t>
      </w:r>
      <w:r>
        <w:rPr>
          <w:rtl w:val="0"/>
        </w:rPr>
        <w:t>–</w:t>
      </w:r>
      <w:r>
        <w:rPr>
          <w:rtl w:val="0"/>
        </w:rPr>
        <w:t>24 hours perfectly mirrors its drop to baseline/near-zero UV values, while the lingering dark blue core of the SV tablet aligns with its sustained positive UV readings in later intervals.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---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5. Mechanistic Hypotheses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* **Hypothesis 1 (Entanglement Density Limiting Flux):** The standard formulation</w:t>
      </w:r>
      <w:r>
        <w:rPr>
          <w:rtl w:val="1"/>
        </w:rPr>
        <w:t>’</w:t>
      </w:r>
      <w:r>
        <w:rPr>
          <w:rtl w:val="0"/>
        </w:rPr>
        <w:t>s initial release profile is limited by a tightly entangled polymer skin formed during early hydration. This barrier's cross-link network limits the diffusion coefficient ($D$) of Methylene Blue.</w:t>
      </w:r>
    </w:p>
    <w:p>
      <w:pPr>
        <w:pStyle w:val="正文"/>
        <w:bidi w:val="0"/>
      </w:pPr>
      <w:r>
        <w:rPr>
          <w:rtl w:val="0"/>
        </w:rPr>
        <w:t>* **Hypothesis 2 (Swelling-Driven Surface Area Enhancement):** Faster release kinetics are strongly governed by the effective surface area ($A$) of the matrix. The lower viscosity ratio in the LV profile allows rapid early volume expansion, increasing the mass transport interface area.</w:t>
      </w:r>
    </w:p>
    <w:p>
      <w:pPr>
        <w:pStyle w:val="正文"/>
        <w:bidi w:val="0"/>
      </w:pPr>
      <w:r>
        <w:rPr>
          <w:rtl w:val="0"/>
        </w:rPr>
        <w:t>* **Hypothesis 3 (Erosion-Enhanced Diffusion Transition):** At the 4-hour mark, the SV system operates under a diffusion-dominated regime. Shifting the ratio toward a lower viscosity profile will drop the surface matrix below its critical yield stress, triggering micro-erosion.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---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6. Recommended Next Formulation (Iteration 02)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To safely accelerate the 4-hour cumulative release by approximately 5% (moving the 4-hour cumulative UV absorbance target from a baseline of **0.7673** to **0.8056**), the matrix must subtly lower its resistance to water penetration without causing a premature core structural collapse.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### Tentative Parameter Adjustments</w:t>
      </w:r>
    </w:p>
    <w:p>
      <w:pPr>
        <w:pStyle w:val="正文"/>
        <w:bidi w:val="0"/>
      </w:pPr>
      <w:r>
        <w:rPr>
          <w:rtl w:val="0"/>
        </w:rPr>
        <w:t>* **Proposed HPMC K4M amount** = 2.3284 g</w:t>
      </w:r>
    </w:p>
    <w:p>
      <w:pPr>
        <w:pStyle w:val="正文"/>
        <w:bidi w:val="0"/>
      </w:pPr>
      <w:r>
        <w:rPr>
          <w:rtl w:val="0"/>
        </w:rPr>
        <w:t>* **Proposed HPMC 100lv amount** = 2.9924 g</w:t>
      </w:r>
    </w:p>
    <w:p>
      <w:pPr>
        <w:pStyle w:val="正文"/>
        <w:bidi w:val="0"/>
      </w:pPr>
      <w:r>
        <w:rPr>
          <w:rtl w:val="0"/>
        </w:rPr>
        <w:t>* **Proposed HPMC K4M:HPMC 100lv ratio** = 2.3284:2.9924 ($\approx$ 0.778)</w:t>
      </w:r>
    </w:p>
    <w:p>
      <w:pPr>
        <w:pStyle w:val="正文"/>
        <w:bidi w:val="0"/>
      </w:pPr>
      <w:r>
        <w:rPr>
          <w:rtl w:val="0"/>
        </w:rPr>
        <w:t>* **Percentage change of HPMC K4M relative to the standard formulation** = -7.00%</w:t>
      </w:r>
    </w:p>
    <w:p>
      <w:pPr>
        <w:pStyle w:val="正文"/>
        <w:bidi w:val="0"/>
      </w:pPr>
      <w:r>
        <w:rPr>
          <w:rtl w:val="0"/>
        </w:rPr>
        <w:t>* **Percentage change of HPMC 100lv relative to the standard formulation** = +6.22%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### Rationale</w:t>
      </w:r>
    </w:p>
    <w:p>
      <w:pPr>
        <w:pStyle w:val="正文"/>
        <w:bidi w:val="0"/>
      </w:pPr>
      <w:r>
        <w:rPr>
          <w:rtl w:val="0"/>
        </w:rPr>
        <w:t>By reallocating 7% of the high-viscosity HPMC K4M mass into the low-viscosity HPMC 100lv, the overall polymer concentration is held constant, minimizing overall core variance. This adjustment lowers the critical entanglement threshold just enough to produce a slightly higher degree of micro-porosity and matrix expansion during the 2</w:t>
      </w:r>
      <w:r>
        <w:rPr>
          <w:rtl w:val="0"/>
        </w:rPr>
        <w:t>–</w:t>
      </w:r>
      <w:r>
        <w:rPr>
          <w:rtl w:val="0"/>
        </w:rPr>
        <w:t>4 hour window, accelerating diffusion kinetics to meet the 105% threshold.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---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7. Uncertainty and Validation Needs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Because hydrophilic polymer chain disentanglement transitions can be highly non-linear, this tentative formula requires systematic experimental verification: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1. **Acid-Phase Stability Check:** Run a pilot USP 4 dissolution test to confirm that reducing the K4M density does not trigger a premature dose-dumping/burst effect during the initial 0</w:t>
      </w:r>
      <w:r>
        <w:rPr>
          <w:rtl w:val="0"/>
        </w:rPr>
        <w:t>–</w:t>
      </w:r>
      <w:r>
        <w:rPr>
          <w:rtl w:val="0"/>
        </w:rPr>
        <w:t>1 h acid phase (pH 1.2).</w:t>
      </w:r>
    </w:p>
    <w:p>
      <w:pPr>
        <w:pStyle w:val="正文"/>
        <w:bidi w:val="0"/>
      </w:pPr>
      <w:r>
        <w:rPr>
          <w:rtl w:val="0"/>
        </w:rPr>
        <w:t>2. **Radial Boundary Tracking:** Subject the new iteration to identical side-view recording conditions. Use imaging software to confirm that the 4-hour boundary expansion increases by $\approx 3\text{--}5\%$ relative to the reference SV tablet.</w:t>
      </w:r>
    </w:p>
    <w:p>
      <w:pPr>
        <w:pStyle w:val="正文"/>
        <w:bidi w:val="0"/>
      </w:pPr>
      <w:r>
        <w:rPr>
          <w:rtl w:val="0"/>
        </w:rPr>
        <w:t>3. **Alternative Verification:** Track whether variations in structural matrix erosion are caused by lactose/excipient channeling rather than HPMC relaxation behavior.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