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110%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Images captured continuously and sampled into batches representing time windows (e.g., 0–6 h, 6–12 h, 12–18 h, 18–24 h). pH switched from 1.2 to 6.8 after 1 hour.”</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 {</w:t>
      </w:r>
      <w:r>
        <w:t xml:space="preserve"> </w:t>
      </w:r>
      <w:r>
        <w:t xml:space="preserve">“methylene_blue”</w:t>
      </w:r>
      <w:r>
        <w:t xml:space="preserve">: 0.1436,</w:t>
      </w:r>
      <w:r>
        <w:t xml:space="preserve"> </w:t>
      </w:r>
      <w:r>
        <w:t xml:space="preserve">“silicon_dioxide”</w:t>
      </w:r>
      <w:r>
        <w:t xml:space="preserve">: 0.0501,</w:t>
      </w:r>
      <w:r>
        <w:t xml:space="preserve"> </w:t>
      </w:r>
      <w:r>
        <w:t xml:space="preserve">“magnesium_stearate”</w:t>
      </w:r>
      <w:r>
        <w:t xml:space="preserve">: 0.1274,</w:t>
      </w:r>
      <w:r>
        <w:t xml:space="preserve"> </w:t>
      </w:r>
      <w:r>
        <w:t xml:space="preserve">“microcrystalline_cellulose”</w:t>
      </w:r>
      <w:r>
        <w:t xml:space="preserve">: 9.6862,</w:t>
      </w:r>
      <w:r>
        <w:t xml:space="preserve"> </w:t>
      </w:r>
      <w:r>
        <w:t xml:space="preserve">“lactose”</w:t>
      </w:r>
      <w:r>
        <w:t xml:space="preserve">: 9.686,</w:t>
      </w:r>
      <w:r>
        <w:t xml:space="preserve"> </w:t>
      </w:r>
      <w:r>
        <w:t xml:space="preserve">“HPMC_K4M”</w:t>
      </w:r>
      <w:r>
        <w:t xml:space="preserve">: 1.0624,</w:t>
      </w:r>
      <w:r>
        <w:t xml:space="preserve"> </w:t>
      </w:r>
      <w:r>
        <w:t xml:space="preserve">“HPMC_100lv”</w:t>
      </w:r>
      <w:r>
        <w:t xml:space="preserve">: 4.2484</w:t>
      </w:r>
      <w:r>
        <w:t xml:space="preserve"> </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“Low-viscosity formulation; 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 {</w:t>
      </w:r>
      <w:r>
        <w:t xml:space="preserve"> </w:t>
      </w:r>
      <w:r>
        <w:t xml:space="preserve">“methylene_blue”</w:t>
      </w:r>
      <w:r>
        <w:t xml:space="preserve">: 0.142,</w:t>
      </w:r>
      <w:r>
        <w:t xml:space="preserve"> </w:t>
      </w:r>
      <w:r>
        <w:t xml:space="preserve">“silicon_dioxide”</w:t>
      </w:r>
      <w:r>
        <w:t xml:space="preserve">: 0.0503,</w:t>
      </w:r>
      <w:r>
        <w:t xml:space="preserve"> </w:t>
      </w:r>
      <w:r>
        <w:t xml:space="preserve">“magnesium_stearate”</w:t>
      </w:r>
      <w:r>
        <w:t xml:space="preserve">: 0.1278,</w:t>
      </w:r>
      <w:r>
        <w:t xml:space="preserve"> </w:t>
      </w:r>
      <w:r>
        <w:t xml:space="preserve">“microcrystalline_cellulose”</w:t>
      </w:r>
      <w:r>
        <w:t xml:space="preserve">: 9.6893,</w:t>
      </w:r>
      <w:r>
        <w:t xml:space="preserve"> </w:t>
      </w:r>
      <w:r>
        <w:t xml:space="preserve">“lactose”</w:t>
      </w:r>
      <w:r>
        <w:t xml:space="preserve">: 9.683,</w:t>
      </w:r>
      <w:r>
        <w:t xml:space="preserve"> </w:t>
      </w:r>
      <w:r>
        <w:t xml:space="preserve">“HPMC_K4M”</w:t>
      </w:r>
      <w:r>
        <w:t xml:space="preserve">: 2.5037,</w:t>
      </w:r>
      <w:r>
        <w:t xml:space="preserve"> </w:t>
      </w:r>
      <w:r>
        <w:t xml:space="preserve">“HPMC_100lv”</w:t>
      </w:r>
      <w:r>
        <w:t xml:space="preserve">: 2.8171</w:t>
      </w:r>
      <w:r>
        <w:t xml:space="preserve"> </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“Standard formulation; also the medium-viscosity formulation.”</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 {</w:t>
      </w:r>
      <w:r>
        <w:t xml:space="preserve"> </w:t>
      </w:r>
      <w:r>
        <w:t xml:space="preserve">“methylene_blue”</w:t>
      </w:r>
      <w:r>
        <w:t xml:space="preserve">: 0.1446,</w:t>
      </w:r>
      <w:r>
        <w:t xml:space="preserve"> </w:t>
      </w:r>
      <w:r>
        <w:t xml:space="preserve">“silicon_dioxide”</w:t>
      </w:r>
      <w:r>
        <w:t xml:space="preserve">: 0.0502,</w:t>
      </w:r>
      <w:r>
        <w:t xml:space="preserve"> </w:t>
      </w:r>
      <w:r>
        <w:t xml:space="preserve">“magnesium_stearate”</w:t>
      </w:r>
      <w:r>
        <w:t xml:space="preserve">: 0.1276,</w:t>
      </w:r>
      <w:r>
        <w:t xml:space="preserve"> </w:t>
      </w:r>
      <w:r>
        <w:t xml:space="preserve">“microcrystalline_cellulose”</w:t>
      </w:r>
      <w:r>
        <w:t xml:space="preserve">: 9.6846,</w:t>
      </w:r>
      <w:r>
        <w:t xml:space="preserve"> </w:t>
      </w:r>
      <w:r>
        <w:t xml:space="preserve">“lactose”</w:t>
      </w:r>
      <w:r>
        <w:t xml:space="preserve">: 9.6845,</w:t>
      </w:r>
      <w:r>
        <w:t xml:space="preserve"> </w:t>
      </w:r>
      <w:r>
        <w:t xml:space="preserve">“HPMC_K4M”</w:t>
      </w:r>
      <w:r>
        <w:t xml:space="preserve">: 4.246,</w:t>
      </w:r>
      <w:r>
        <w:t xml:space="preserve"> </w:t>
      </w:r>
      <w:r>
        <w:t xml:space="preserve">“HPMC_100lv”</w:t>
      </w:r>
      <w:r>
        <w:t xml:space="preserve">: 1.0653</w:t>
      </w:r>
      <w:r>
        <w:t xml:space="preserve"> </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“High-viscosity formulation.”</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“Increase the cumulative release amount of the standard-viscosity methylene blue sustained-release tablet over the first 4 hours to 110%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a single formulation across the defined time windows (0–6 h, 6–12 h, etc.) using the eight dimensions to characterize disintegration kinetics and physical changes under the specific pH shift conditions.”</w:t>
      </w:r>
      <w:r>
        <w:t xml:space="preserve">,</w:t>
      </w:r>
      <w:r>
        <w:t xml:space="preserve"> </w:t>
      </w:r>
      <w:r>
        <w:t xml:space="preserve">“three_formulation_strategy”</w:t>
      </w:r>
      <w:r>
        <w:t xml:space="preserve">:</w:t>
      </w:r>
      <w:r>
        <w:t xml:space="preserve"> </w:t>
      </w:r>
      <w:r>
        <w:t xml:space="preserve">“Compare the three formulations (Low, Standard, High viscosity) side-by-side across the eight dimensions within identical time windows to identify how variations in HPMC K4M/100lv ratios influence disintegration behavior and support the optimization of release profiles.”</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Images captured continuously and sampled into batches representing time windows (e.g., 0–6 h, 6–12 h, 12–18 h, 18–24 h). pH switched from 1.2 to 6.8 after 1 hour."</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"methylene_blue"</w:t>
      </w:r>
      <w:r>
        <w:rPr>
          <w:rStyle w:val="FunctionTok"/>
        </w:rPr>
        <w:t xml:space="preserve">:</w:t>
      </w:r>
      <w:r>
        <w:rPr>
          <w:rStyle w:val="NormalTok"/>
        </w:rPr>
        <w:t xml:space="preserve"> </w:t>
      </w:r>
      <w:r>
        <w:rPr>
          <w:rStyle w:val="FloatTok"/>
        </w:rPr>
        <w:t xml:space="preserve">0.1436</w:t>
      </w:r>
      <w:r>
        <w:rPr>
          <w:rStyle w:val="FunctionTok"/>
        </w:rPr>
        <w:t xml:space="preserve">,</w:t>
      </w:r>
      <w:r>
        <w:br/>
      </w:r>
      <w:r>
        <w:rPr>
          <w:rStyle w:val="NormalTok"/>
        </w:rPr>
        <w:t xml:space="preserve">      </w:t>
      </w:r>
      <w:r>
        <w:rPr>
          <w:rStyle w:val="DataTypeTok"/>
        </w:rPr>
        <w:t xml:space="preserve">"silicon_dioxide"</w:t>
      </w:r>
      <w:r>
        <w:rPr>
          <w:rStyle w:val="FunctionTok"/>
        </w:rPr>
        <w:t xml:space="preserve">:</w:t>
      </w:r>
      <w:r>
        <w:rPr>
          <w:rStyle w:val="NormalTok"/>
        </w:rPr>
        <w:t xml:space="preserve"> </w:t>
      </w:r>
      <w:r>
        <w:rPr>
          <w:rStyle w:val="FloatTok"/>
        </w:rPr>
        <w:t xml:space="preserve">0.0501</w:t>
      </w:r>
      <w:r>
        <w:rPr>
          <w:rStyle w:val="FunctionTok"/>
        </w:rPr>
        <w:t xml:space="preserve">,</w:t>
      </w:r>
      <w:r>
        <w:br/>
      </w:r>
      <w:r>
        <w:rPr>
          <w:rStyle w:val="NormalTok"/>
        </w:rPr>
        <w:t xml:space="preserve">      </w:t>
      </w:r>
      <w:r>
        <w:rPr>
          <w:rStyle w:val="DataTypeTok"/>
        </w:rPr>
        <w:t xml:space="preserve">"magnesium_stearate"</w:t>
      </w:r>
      <w:r>
        <w:rPr>
          <w:rStyle w:val="FunctionTok"/>
        </w:rPr>
        <w:t xml:space="preserve">:</w:t>
      </w:r>
      <w:r>
        <w:rPr>
          <w:rStyle w:val="NormalTok"/>
        </w:rPr>
        <w:t xml:space="preserve"> </w:t>
      </w:r>
      <w:r>
        <w:rPr>
          <w:rStyle w:val="FloatTok"/>
        </w:rPr>
        <w:t xml:space="preserve">0.1274</w:t>
      </w:r>
      <w:r>
        <w:rPr>
          <w:rStyle w:val="FunctionTok"/>
        </w:rPr>
        <w:t xml:space="preserve">,</w:t>
      </w:r>
      <w:r>
        <w:br/>
      </w:r>
      <w:r>
        <w:rPr>
          <w:rStyle w:val="NormalTok"/>
        </w:rPr>
        <w:t xml:space="preserve">      </w:t>
      </w:r>
      <w:r>
        <w:rPr>
          <w:rStyle w:val="DataTypeTok"/>
        </w:rPr>
        <w:t xml:space="preserve">"microcrystalline_cellulose"</w:t>
      </w:r>
      <w:r>
        <w:rPr>
          <w:rStyle w:val="FunctionTok"/>
        </w:rPr>
        <w:t xml:space="preserve">:</w:t>
      </w:r>
      <w:r>
        <w:rPr>
          <w:rStyle w:val="NormalTok"/>
        </w:rPr>
        <w:t xml:space="preserve"> </w:t>
      </w:r>
      <w:r>
        <w:rPr>
          <w:rStyle w:val="FloatTok"/>
        </w:rPr>
        <w:t xml:space="preserve">9.6862</w:t>
      </w:r>
      <w:r>
        <w:rPr>
          <w:rStyle w:val="FunctionTok"/>
        </w:rPr>
        <w:t xml:space="preserve">,</w:t>
      </w:r>
      <w:r>
        <w:br/>
      </w:r>
      <w:r>
        <w:rPr>
          <w:rStyle w:val="NormalTok"/>
        </w:rPr>
        <w:t xml:space="preserve">      </w:t>
      </w:r>
      <w:r>
        <w:rPr>
          <w:rStyle w:val="DataTypeTok"/>
        </w:rPr>
        <w:t xml:space="preserve">"lactose"</w:t>
      </w:r>
      <w:r>
        <w:rPr>
          <w:rStyle w:val="FunctionTok"/>
        </w:rPr>
        <w:t xml:space="preserve">:</w:t>
      </w:r>
      <w:r>
        <w:rPr>
          <w:rStyle w:val="NormalTok"/>
        </w:rPr>
        <w:t xml:space="preserve"> </w:t>
      </w:r>
      <w:r>
        <w:rPr>
          <w:rStyle w:val="FloatTok"/>
        </w:rPr>
        <w:t xml:space="preserve">9.686</w:t>
      </w:r>
      <w:r>
        <w:rPr>
          <w:rStyle w:val="FunctionTok"/>
        </w:rPr>
        <w:t xml:space="preserve">,</w:t>
      </w:r>
      <w:r>
        <w:br/>
      </w:r>
      <w:r>
        <w:rPr>
          <w:rStyle w:val="NormalTok"/>
        </w:rPr>
        <w:t xml:space="preserve">      </w:t>
      </w:r>
      <w:r>
        <w:rPr>
          <w:rStyle w:val="DataTypeTok"/>
        </w:rPr>
        <w:t xml:space="preserve">"HPMC_K4M"</w:t>
      </w:r>
      <w:r>
        <w:rPr>
          <w:rStyle w:val="FunctionTok"/>
        </w:rPr>
        <w:t xml:space="preserve">:</w:t>
      </w:r>
      <w:r>
        <w:rPr>
          <w:rStyle w:val="NormalTok"/>
        </w:rPr>
        <w:t xml:space="preserve"> </w:t>
      </w:r>
      <w:r>
        <w:rPr>
          <w:rStyle w:val="FloatTok"/>
        </w:rPr>
        <w:t xml:space="preserve">1.0624</w:t>
      </w:r>
      <w:r>
        <w:rPr>
          <w:rStyle w:val="FunctionTok"/>
        </w:rPr>
        <w:t xml:space="preserve">,</w:t>
      </w:r>
      <w:r>
        <w:br/>
      </w:r>
      <w:r>
        <w:rPr>
          <w:rStyle w:val="NormalTok"/>
        </w:rPr>
        <w:t xml:space="preserve">      </w:t>
      </w:r>
      <w:r>
        <w:rPr>
          <w:rStyle w:val="DataTypeTok"/>
        </w:rPr>
        <w:t xml:space="preserve">"HPMC_100lv"</w:t>
      </w:r>
      <w:r>
        <w:rPr>
          <w:rStyle w:val="FunctionTok"/>
        </w:rPr>
        <w:t xml:space="preserve">:</w:t>
      </w:r>
      <w:r>
        <w:rPr>
          <w:rStyle w:val="NormalTok"/>
        </w:rPr>
        <w:t xml:space="preserve"> </w:t>
      </w:r>
      <w:r>
        <w:rPr>
          <w:rStyle w:val="FloatTok"/>
        </w:rPr>
        <w:t xml:space="preserve">4.2484</w:t>
      </w:r>
      <w:r>
        <w:br/>
      </w:r>
      <w:r>
        <w:rPr>
          <w:rStyle w:val="NormalTok"/>
        </w:rPr>
        <w:t xml:space="preserve">    </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"Low-viscosity formulation; 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"methylene_blue"</w:t>
      </w:r>
      <w:r>
        <w:rPr>
          <w:rStyle w:val="FunctionTok"/>
        </w:rPr>
        <w:t xml:space="preserve">:</w:t>
      </w:r>
      <w:r>
        <w:rPr>
          <w:rStyle w:val="NormalTok"/>
        </w:rPr>
        <w:t xml:space="preserve"> </w:t>
      </w:r>
      <w:r>
        <w:rPr>
          <w:rStyle w:val="FloatTok"/>
        </w:rPr>
        <w:t xml:space="preserve">0.142</w:t>
      </w:r>
      <w:r>
        <w:rPr>
          <w:rStyle w:val="FunctionTok"/>
        </w:rPr>
        <w:t xml:space="preserve">,</w:t>
      </w:r>
      <w:r>
        <w:br/>
      </w:r>
      <w:r>
        <w:rPr>
          <w:rStyle w:val="NormalTok"/>
        </w:rPr>
        <w:t xml:space="preserve">      </w:t>
      </w:r>
      <w:r>
        <w:rPr>
          <w:rStyle w:val="DataTypeTok"/>
        </w:rPr>
        <w:t xml:space="preserve">"silicon_dioxide"</w:t>
      </w:r>
      <w:r>
        <w:rPr>
          <w:rStyle w:val="FunctionTok"/>
        </w:rPr>
        <w:t xml:space="preserve">:</w:t>
      </w:r>
      <w:r>
        <w:rPr>
          <w:rStyle w:val="NormalTok"/>
        </w:rPr>
        <w:t xml:space="preserve"> </w:t>
      </w:r>
      <w:r>
        <w:rPr>
          <w:rStyle w:val="FloatTok"/>
        </w:rPr>
        <w:t xml:space="preserve">0.0503</w:t>
      </w:r>
      <w:r>
        <w:rPr>
          <w:rStyle w:val="FunctionTok"/>
        </w:rPr>
        <w:t xml:space="preserve">,</w:t>
      </w:r>
      <w:r>
        <w:br/>
      </w:r>
      <w:r>
        <w:rPr>
          <w:rStyle w:val="NormalTok"/>
        </w:rPr>
        <w:t xml:space="preserve">      </w:t>
      </w:r>
      <w:r>
        <w:rPr>
          <w:rStyle w:val="DataTypeTok"/>
        </w:rPr>
        <w:t xml:space="preserve">"magnesium_stearate"</w:t>
      </w:r>
      <w:r>
        <w:rPr>
          <w:rStyle w:val="FunctionTok"/>
        </w:rPr>
        <w:t xml:space="preserve">:</w:t>
      </w:r>
      <w:r>
        <w:rPr>
          <w:rStyle w:val="NormalTok"/>
        </w:rPr>
        <w:t xml:space="preserve"> </w:t>
      </w:r>
      <w:r>
        <w:rPr>
          <w:rStyle w:val="FloatTok"/>
        </w:rPr>
        <w:t xml:space="preserve">0.1278</w:t>
      </w:r>
      <w:r>
        <w:rPr>
          <w:rStyle w:val="FunctionTok"/>
        </w:rPr>
        <w:t xml:space="preserve">,</w:t>
      </w:r>
      <w:r>
        <w:br/>
      </w:r>
      <w:r>
        <w:rPr>
          <w:rStyle w:val="NormalTok"/>
        </w:rPr>
        <w:t xml:space="preserve">      </w:t>
      </w:r>
      <w:r>
        <w:rPr>
          <w:rStyle w:val="DataTypeTok"/>
        </w:rPr>
        <w:t xml:space="preserve">"microcrystalline_cellulose"</w:t>
      </w:r>
      <w:r>
        <w:rPr>
          <w:rStyle w:val="FunctionTok"/>
        </w:rPr>
        <w:t xml:space="preserve">:</w:t>
      </w:r>
      <w:r>
        <w:rPr>
          <w:rStyle w:val="NormalTok"/>
        </w:rPr>
        <w:t xml:space="preserve"> </w:t>
      </w:r>
      <w:r>
        <w:rPr>
          <w:rStyle w:val="FloatTok"/>
        </w:rPr>
        <w:t xml:space="preserve">9.6893</w:t>
      </w:r>
      <w:r>
        <w:rPr>
          <w:rStyle w:val="FunctionTok"/>
        </w:rPr>
        <w:t xml:space="preserve">,</w:t>
      </w:r>
      <w:r>
        <w:br/>
      </w:r>
      <w:r>
        <w:rPr>
          <w:rStyle w:val="NormalTok"/>
        </w:rPr>
        <w:t xml:space="preserve">      </w:t>
      </w:r>
      <w:r>
        <w:rPr>
          <w:rStyle w:val="DataTypeTok"/>
        </w:rPr>
        <w:t xml:space="preserve">"lactose"</w:t>
      </w:r>
      <w:r>
        <w:rPr>
          <w:rStyle w:val="FunctionTok"/>
        </w:rPr>
        <w:t xml:space="preserve">:</w:t>
      </w:r>
      <w:r>
        <w:rPr>
          <w:rStyle w:val="NormalTok"/>
        </w:rPr>
        <w:t xml:space="preserve"> </w:t>
      </w:r>
      <w:r>
        <w:rPr>
          <w:rStyle w:val="FloatTok"/>
        </w:rPr>
        <w:t xml:space="preserve">9.683</w:t>
      </w:r>
      <w:r>
        <w:rPr>
          <w:rStyle w:val="FunctionTok"/>
        </w:rPr>
        <w:t xml:space="preserve">,</w:t>
      </w:r>
      <w:r>
        <w:br/>
      </w:r>
      <w:r>
        <w:rPr>
          <w:rStyle w:val="NormalTok"/>
        </w:rPr>
        <w:t xml:space="preserve">      </w:t>
      </w:r>
      <w:r>
        <w:rPr>
          <w:rStyle w:val="DataTypeTok"/>
        </w:rPr>
        <w:t xml:space="preserve">"HPMC_K4M"</w:t>
      </w:r>
      <w:r>
        <w:rPr>
          <w:rStyle w:val="FunctionTok"/>
        </w:rPr>
        <w:t xml:space="preserve">:</w:t>
      </w:r>
      <w:r>
        <w:rPr>
          <w:rStyle w:val="NormalTok"/>
        </w:rPr>
        <w:t xml:space="preserve"> </w:t>
      </w:r>
      <w:r>
        <w:rPr>
          <w:rStyle w:val="FloatTok"/>
        </w:rPr>
        <w:t xml:space="preserve">2.5037</w:t>
      </w:r>
      <w:r>
        <w:rPr>
          <w:rStyle w:val="FunctionTok"/>
        </w:rPr>
        <w:t xml:space="preserve">,</w:t>
      </w:r>
      <w:r>
        <w:br/>
      </w:r>
      <w:r>
        <w:rPr>
          <w:rStyle w:val="NormalTok"/>
        </w:rPr>
        <w:t xml:space="preserve">      </w:t>
      </w:r>
      <w:r>
        <w:rPr>
          <w:rStyle w:val="DataTypeTok"/>
        </w:rPr>
        <w:t xml:space="preserve">"HPMC_100lv"</w:t>
      </w:r>
      <w:r>
        <w:rPr>
          <w:rStyle w:val="FunctionTok"/>
        </w:rPr>
        <w:t xml:space="preserve">:</w:t>
      </w:r>
      <w:r>
        <w:rPr>
          <w:rStyle w:val="NormalTok"/>
        </w:rPr>
        <w:t xml:space="preserve"> </w:t>
      </w:r>
      <w:r>
        <w:rPr>
          <w:rStyle w:val="FloatTok"/>
        </w:rPr>
        <w:t xml:space="preserve">2.8171</w:t>
      </w:r>
      <w:r>
        <w:br/>
      </w:r>
      <w:r>
        <w:rPr>
          <w:rStyle w:val="NormalTok"/>
        </w:rPr>
        <w:t xml:space="preserve">    </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"Standard formulation; also the medium-viscosity formulation."</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"methylene_blue"</w:t>
      </w:r>
      <w:r>
        <w:rPr>
          <w:rStyle w:val="FunctionTok"/>
        </w:rPr>
        <w:t xml:space="preserve">:</w:t>
      </w:r>
      <w:r>
        <w:rPr>
          <w:rStyle w:val="NormalTok"/>
        </w:rPr>
        <w:t xml:space="preserve"> </w:t>
      </w:r>
      <w:r>
        <w:rPr>
          <w:rStyle w:val="FloatTok"/>
        </w:rPr>
        <w:t xml:space="preserve">0.1446</w:t>
      </w:r>
      <w:r>
        <w:rPr>
          <w:rStyle w:val="FunctionTok"/>
        </w:rPr>
        <w:t xml:space="preserve">,</w:t>
      </w:r>
      <w:r>
        <w:br/>
      </w:r>
      <w:r>
        <w:rPr>
          <w:rStyle w:val="NormalTok"/>
        </w:rPr>
        <w:t xml:space="preserve">      </w:t>
      </w:r>
      <w:r>
        <w:rPr>
          <w:rStyle w:val="DataTypeTok"/>
        </w:rPr>
        <w:t xml:space="preserve">"silicon_dioxide"</w:t>
      </w:r>
      <w:r>
        <w:rPr>
          <w:rStyle w:val="FunctionTok"/>
        </w:rPr>
        <w:t xml:space="preserve">:</w:t>
      </w:r>
      <w:r>
        <w:rPr>
          <w:rStyle w:val="NormalTok"/>
        </w:rPr>
        <w:t xml:space="preserve"> </w:t>
      </w:r>
      <w:r>
        <w:rPr>
          <w:rStyle w:val="FloatTok"/>
        </w:rPr>
        <w:t xml:space="preserve">0.0502</w:t>
      </w:r>
      <w:r>
        <w:rPr>
          <w:rStyle w:val="FunctionTok"/>
        </w:rPr>
        <w:t xml:space="preserve">,</w:t>
      </w:r>
      <w:r>
        <w:br/>
      </w:r>
      <w:r>
        <w:rPr>
          <w:rStyle w:val="NormalTok"/>
        </w:rPr>
        <w:t xml:space="preserve">      </w:t>
      </w:r>
      <w:r>
        <w:rPr>
          <w:rStyle w:val="DataTypeTok"/>
        </w:rPr>
        <w:t xml:space="preserve">"magnesium_stearate"</w:t>
      </w:r>
      <w:r>
        <w:rPr>
          <w:rStyle w:val="FunctionTok"/>
        </w:rPr>
        <w:t xml:space="preserve">:</w:t>
      </w:r>
      <w:r>
        <w:rPr>
          <w:rStyle w:val="NormalTok"/>
        </w:rPr>
        <w:t xml:space="preserve"> </w:t>
      </w:r>
      <w:r>
        <w:rPr>
          <w:rStyle w:val="FloatTok"/>
        </w:rPr>
        <w:t xml:space="preserve">0.1276</w:t>
      </w:r>
      <w:r>
        <w:rPr>
          <w:rStyle w:val="FunctionTok"/>
        </w:rPr>
        <w:t xml:space="preserve">,</w:t>
      </w:r>
      <w:r>
        <w:br/>
      </w:r>
      <w:r>
        <w:rPr>
          <w:rStyle w:val="NormalTok"/>
        </w:rPr>
        <w:t xml:space="preserve">      </w:t>
      </w:r>
      <w:r>
        <w:rPr>
          <w:rStyle w:val="DataTypeTok"/>
        </w:rPr>
        <w:t xml:space="preserve">"microcrystalline_cellulose"</w:t>
      </w:r>
      <w:r>
        <w:rPr>
          <w:rStyle w:val="FunctionTok"/>
        </w:rPr>
        <w:t xml:space="preserve">:</w:t>
      </w:r>
      <w:r>
        <w:rPr>
          <w:rStyle w:val="NormalTok"/>
        </w:rPr>
        <w:t xml:space="preserve"> </w:t>
      </w:r>
      <w:r>
        <w:rPr>
          <w:rStyle w:val="FloatTok"/>
        </w:rPr>
        <w:t xml:space="preserve">9.6846</w:t>
      </w:r>
      <w:r>
        <w:rPr>
          <w:rStyle w:val="FunctionTok"/>
        </w:rPr>
        <w:t xml:space="preserve">,</w:t>
      </w:r>
      <w:r>
        <w:br/>
      </w:r>
      <w:r>
        <w:rPr>
          <w:rStyle w:val="NormalTok"/>
        </w:rPr>
        <w:t xml:space="preserve">      </w:t>
      </w:r>
      <w:r>
        <w:rPr>
          <w:rStyle w:val="DataTypeTok"/>
        </w:rPr>
        <w:t xml:space="preserve">"lactose"</w:t>
      </w:r>
      <w:r>
        <w:rPr>
          <w:rStyle w:val="FunctionTok"/>
        </w:rPr>
        <w:t xml:space="preserve">:</w:t>
      </w:r>
      <w:r>
        <w:rPr>
          <w:rStyle w:val="NormalTok"/>
        </w:rPr>
        <w:t xml:space="preserve"> </w:t>
      </w:r>
      <w:r>
        <w:rPr>
          <w:rStyle w:val="FloatTok"/>
        </w:rPr>
        <w:t xml:space="preserve">9.6845</w:t>
      </w:r>
      <w:r>
        <w:rPr>
          <w:rStyle w:val="FunctionTok"/>
        </w:rPr>
        <w:t xml:space="preserve">,</w:t>
      </w:r>
      <w:r>
        <w:br/>
      </w:r>
      <w:r>
        <w:rPr>
          <w:rStyle w:val="NormalTok"/>
        </w:rPr>
        <w:t xml:space="preserve">      </w:t>
      </w:r>
      <w:r>
        <w:rPr>
          <w:rStyle w:val="DataTypeTok"/>
        </w:rPr>
        <w:t xml:space="preserve">"HPMC_K4M"</w:t>
      </w:r>
      <w:r>
        <w:rPr>
          <w:rStyle w:val="FunctionTok"/>
        </w:rPr>
        <w:t xml:space="preserve">:</w:t>
      </w:r>
      <w:r>
        <w:rPr>
          <w:rStyle w:val="NormalTok"/>
        </w:rPr>
        <w:t xml:space="preserve"> </w:t>
      </w:r>
      <w:r>
        <w:rPr>
          <w:rStyle w:val="FloatTok"/>
        </w:rPr>
        <w:t xml:space="preserve">4.246</w:t>
      </w:r>
      <w:r>
        <w:rPr>
          <w:rStyle w:val="FunctionTok"/>
        </w:rPr>
        <w:t xml:space="preserve">,</w:t>
      </w:r>
      <w:r>
        <w:br/>
      </w:r>
      <w:r>
        <w:rPr>
          <w:rStyle w:val="NormalTok"/>
        </w:rPr>
        <w:t xml:space="preserve">      </w:t>
      </w:r>
      <w:r>
        <w:rPr>
          <w:rStyle w:val="DataTypeTok"/>
        </w:rPr>
        <w:t xml:space="preserve">"HPMC_100lv"</w:t>
      </w:r>
      <w:r>
        <w:rPr>
          <w:rStyle w:val="FunctionTok"/>
        </w:rPr>
        <w:t xml:space="preserve">:</w:t>
      </w:r>
      <w:r>
        <w:rPr>
          <w:rStyle w:val="NormalTok"/>
        </w:rPr>
        <w:t xml:space="preserve"> </w:t>
      </w:r>
      <w:r>
        <w:rPr>
          <w:rStyle w:val="FloatTok"/>
        </w:rPr>
        <w:t xml:space="preserve">1.0653</w:t>
      </w:r>
      <w:r>
        <w:br/>
      </w:r>
      <w:r>
        <w:rPr>
          <w:rStyle w:val="NormalTok"/>
        </w:rPr>
        <w:t xml:space="preserve">    </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"Increase the cumulative release amount of the standard-viscosity methylene blue sustained-release tablet over the first 4 hours to 110%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though the intensity varies across the surface, appearing lighter and more granular in areas where erosion is active. The dissolution medium has transitioned from clear to a distinct light blue/cyan hue due to the diffusion of the dye/drug substance. A faint vertical plume of darker blue is visible rising from the top of the tablet in earlier frames, indicating convective transport of dissolved material."</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regular geometric shape (likely a capsule or cylinder). It has evolved into an irregular, eroded mass. In the final image of the sequence, the structure appears to have split or collapsed into two main lobes on the left side, with significant loss of structural integrity compared to the initial intact dome shape seen in the first image."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rough, porous, and granular, resembling a 'sandy' or crystalline matrix rather than a smooth solid. There are no signs of a smooth gel layer; instead, the surface shows exposed internal particulate structures. The texture suggests rapid water penetration and lack of a cohesive viscous barrier, consistent with a low-viscosity formulation."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remaining solid mass has decreased noticeably over the time window. While there may have been initial slight swelling upon contact, the dominant trend is volumetric reduction due to erosion and disintegration. The height of the mass is lower in the final image compared to the start, and it occupies less horizontal space as it crumbles."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relatively fast and continuous throughout this 0.1–5h window. There is no evidence of a lag phase or the formation of a rate-limiting gel barrier that would slow down dissolution. The process is characterized by steady surface erosion and fragmentation, suggesting the pH shift (from 1.2 to 6.8) did not significantly retard the breakdown of this specific low-viscosity formulation."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compact solid to a fragile, wet granular mass. The internal structure has become loose and susceptible to mechanical breakdown by the flow. Large fragments have detached from the main body, transitioning into smaller particulates that settle at the bottom, indicating a shift from a monolithic solid to a collection of loose aggregates."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exhibits increasing turbidity and color saturation (blue) over time. Cloud-like patterns and streaks of dissolved blue material are visible diffusing away from the tablet surface, particularly upwards. The presence of bubbles at the top interface remains constant. The medium's appearance confirms active release of the tablet's contents into the flowing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localized primarily around the base of the tablet. A bed of fine, light-blue/white sediment has accumulated on the bottom grid directly beneath and slightly downstream of the tablet. Larger, irregular chunks remain attached or adjacent to the main eroding mass. The density of suspended particles in the bulk medium is low, with most debris settling quickly due to gravity."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low-viscosity formulation shows rapid erosion without forming a protective gel layer. The critical change is the structural collapse/fragmentation of the tablet into irregular lobes and the accumulation of a sediment bed, contrasting with the expected behavior of high-viscosity HPMC which typically swells and maintains shape longer. The blue dye release is rapid and diffuse."</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deep blue coloration with white speckles (likely undissolved excipients). The dissolution medium has shifted from a clear state to a uniform, translucent light cyan/turquoise hue, indicating the diffusion of dissolved dye throughout the cell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now exists as two large, irregular, amorphous masses stacked on the left side of the flow cell. The edges are highly eroded and undefined, lacking any sharp structural lines."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coarse, granular texture resembling wet sand or sugar crystals. It appears porous and rough, with no smooth film coating visible. This suggests the binder matrix has hydrated and loosened, exposing the particulate drug/excipient blend."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solid mass occupies a significant portion of the left side of the chamber but appears to have undergone volume reduction compared to the initial swollen state. While still bulky, the boundaries are receding, and there is a noticeable accumulation of finer sediment at the base."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earlier time points where rapid swelling or fragmentation might occur, the disintegration speed here appears to be in a steady-state erosion phase. The mass is shrinking gradually rather than collapsing suddenly, suggesting a controlled release mechanism typical of hydrophilic matrices after the initial hydration layer is established."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formulation has transitioned from a solid compressed tablet to a hydrated, semi-solid gel-like aggregate. The internal structure is loose and permeable to the medium, evidenced by the saturation of the entire mass. It behaves more like a cohesive sludge than a rigid solid."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homogeneous and slightly turbid due to the suspended dissolved components. There are no distinct precipitation bands or cloud-like streaks near the tablet surface, implying that the dissolved species are dispersing effectively with the flow (1 mL/min) without immediate re-precipitation."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"Large fragments are concentrated in a pile on the bottom-left corner, anchored by gravity and flow dynamics. A bed of smaller, white/light-blue particulate debris has settled along the bottom floor of the cell. The rest of the medium is relatively clear of floating particles, indicating that fine fragments are either dissolving quickly or being swept downstream out of the field of view."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6.25–11.25h, the low-viscosity formulation shows a stable, eroding gel-mass structure. Key observation: The 'low viscosity' nature is reflected in the lack of a thick, protective viscous barrier; instead, the matrix appears granular and is eroding steadily. The distinct separation between the main eroding mass and the settled fines at the bottom is a critical feature for quantifying erosion rates vs. dissolution rates."</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its deep blue coloration, but the intensity appears slightly muted compared to earlier stages due to surface hydration and light scattering from the rough texture. The dissolution medium surrounding the mass shows a faint, diffuse blue turbidity, indicating continued leaching of the dye/drug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mass has evolved into an irregular, amorphous mound that conforms to the bottom-left corner of the flow cell. The edges are soft and undefined, showing significant erosion compared to previous time points where more distinct boundaries might have existed."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granular, 'sandy' or crystalline texture, composed of aggregated fine particles. It lacks any smooth gel-layer appearance, suggesting that the low-viscosity polymer matrix has largely eroded or failed to form a thick protective barrier, leaving behind a porous, particulate structure."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remaining solid mass appears to be slowly decreasing. While it still occupies a significant portion of the lower-left quadrant, the height of the mound seems to be settling and compacting rather than swelling, indicative of material loss exceeding water uptake at this late stage."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previous time window (6–12 h), the disintegration speed appears to have slowed down significantly. The changes in shape and volume between the frames within this 12.5–17.5 h window are subtle, suggesting the system is approaching a pseudo-steady state where only the outermost layers are actively eroding."</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wet, cohesive sediment or sludge. It has transitioned from a solid tablet to a swollen mass, and now to a loose aggregate of fines. There is no evidence of a distinct, intact core; the entire visible mass appears to be in a similar state of partial disintegration."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transparent with very low turbidity, apart from the immediate vicinity of the dissolving mass. There are no visible precipitation bands or cloud-like patterns in the bulk fluid, consistent with the high solubility expected in the pH 6.8 phase and the continuous flow removing dissolved species."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"Fragments are not freely floating but are concentrated in a dense pile at the bottom left, likely held in place by the flow dynamics and their own weight. A bed of finer, white/light-blue particulate matter has accumulated along the bottom edge, creating a localized high-density zone of insoluble excipients or undissolved drug."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"For the Low Viscosity formulation at 12.5-17.5h: The tablet has lost structural integrity and exists as an eroding sediment pile. Key observation is the lack of a robust gel layer (unlike high viscosity counterparts) and the slow, steady erosion rate in the neutral pH phase. The 'sandy' texture suggests rapid matrix breakdown leaving particulate residue."</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deep blue coloration, but the dissolution medium has transitioned from clear to a saturated, vibrant cyan-blue. The dye release is extensive and diffused throughout the entire visible volume of the medium, indicating significant solubilization or dispersion of the colored components."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evolved from a regular solid shape into a large, cohesive, swollen mass that roughly maintains a dome-like outline. While the overall macroscopic shape remains intact without breaking into multiple separate fragments, the edges appear softened and eroded compared to the initial state."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granular and porous. It exhibits a 'sponge-like' or crystalline appearance with visible microstructural voids, suggesting the formation of a hydrated gel layer where the polymer matrix has expanded but not yet fully dissolved."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marked increase in volume compared to the original tablet dimensions. The mass has swelled significantly, occupying a much larger footprint and height, consistent with the water uptake characteristics of hydrophilic polymers (like HPMC) forming a gel barrier."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process appears to be in a rapid swelling phase followed by a steady-state erosion phase. The rapid coloring of the medium suggests an initial burst of release, while the persistence of the swollen mass indicates a controlled, slower subsequent release rate governed by the gel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hydrogel mass. The internal structure appears loose and permeable to water, yet it maintains structural integrity as a single unit rather than collapsing into a paste or sludge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now turbid and deeply colored due to the dissolved tablet constituents. There are no distinct precipitation bands, but there is a slight accumulation of lighter-colored, finer particulate matter settling at the base of the cell beneath the main mass, likely excipients that do not form part of the gel matrix."</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"Fragmentation is minimal; the primary 'fragment' is the single swollen tablet itself. However, there is a localized high density of fine, white/light-blue particles settled on the bottom grid directly under the tablet. The rest of the medium contains dispersed molecular dye but lacks large suspended solid chunks."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Standard formulation: Rapid formation of a robust, cohesive gel layer that prevents immediate catastrophic disintegration. The tablet swells significantly (high volume change) and releases dye quickly into the medium, but the core structure remains intact as a single hydrated mass throughout the 0-5h window. Contrast this with Low viscosity (likely faster fragmentation) or High viscosity (likely slower swelling/erosion) formulations in later comparisons."</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that has diffused significantly into the surrounding medium, creating a distinct blue halo or cloud around the dosage form. The core of the tablet remains dark blue/black, while the outer edges appear lighter due to hydration and light scattering. The dissolution medium itself is transitioning from clear to a translucent blue-tinted state immediately surrounding the tablet."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largely intact as a single cohesive mass, maintaining its original cylindrical geometry. However, the sharp edges seen in earlier stages have softened and rounded off. There is no evidence of catastrophic fragmentation or splitting; instead, the shape evolution is characterized by gradual surface erosion and rounding."</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a smooth solid to a highly rough, granular, and porous structure. It appears 'fuzzy' or fibrous, indicating the formation of a swollen gel layer (likely HPMC) on the surface. The texture suggests a matrix that is holding water but resisting immediate collapse, with visible micro-erosion patterns across the face of the tablet."</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compared to its initial dry state, occupying a larger volume than the original compressed powder would suggest. While it has expanded, it does not show signs of collapsing or shrinking yet; the volume seems relatively stable or slightly increasing as the gel layer hydrates further."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time window (6.25–11.25 h), the disintegration speed appears to be steady and controlled rather than accelerating rapidly. The release of material is continuous but slow, evidenced by the persistent accumulation of white sediment at the base without a sudden explosion of particles. The process is governed by the erosion of the swollen gel barrier."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hydrogel matrix. The internal structure appears to have loosened, allowing water penetration, but the polymeric binder keeps the mass coherent. It behaves like a wet, sponge-like solid rather than a free-flowing liquid or loose powder."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shows localized turbidity and color change (blue tint) radiating from the tablet surface, indicative of drug/polymer diffusion. A distinct boundary layer of dissolved material is visible. The presence of the pH shift (to 6.8) likely influences the viscosity of the swelling layer, contributing to the observed stability of the gel barrier."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accumulation of fine, white particulate matter (sediment) settled directly beneath the tablet on the flow cell grid. There are very few fragments suspended in the bulk medium above the tablet; most eroded material appears to settle quickly due to gravity or flow dynamics, creating a high-density sediment layer at the bottom."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The 'Standard' formulation at 6-11h demonstrates a classic swellable matrix behavior with a stable gel barrier. Unlike rapid disintegrants, it maintains structural integrity while slowly eroding. Key feature for comparison: The significant amount of settled sediment at the base suggests that while the matrix holds together, surface erosion is actively shedding fines. Compare this sediment density and gel thickness against Low/High viscosity formulations to determine if the Standard ratio provides the optimal balance between retention and release."</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with significant white speckling on the surface, likely due to undissolved excipients or light reflection on the rough texture. The dissolution medium surrounding the tablet has developed a faint, diffuse cyan/blue tint, indicating the gradual release of the dye/drug into the solution. This color is more pronounced than in earlier stages but remains relatively low in turbidity."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a cohesive, roughly spherical/cylindrical geometry. It has not fragmented into separate pieces. Compared to the previous time point (6-12h), the overall outline appears slightly more eroded and less defined at the edges, suggesting slow surface attrition rather than catastrophic breakage."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is highly textured, appearing granular and porous, resembling a 'sugar cube' or sponge-like structure. There are no smooth areas; the entire visible surface is composed of aggregated particles. This indicates that the binder matrix has allowed for significant water penetration, creating a high-surface-area interface for dissolution."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swelling compared to its initial dry state. It occupies a large volume within the cell. While it has swollen, it appears to have reached a plateau where the rate of expansion has slowed, and the primary change is now subtle erosion rather than massive dimensional increase."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proceeding at a slow, steady pace. There is no evidence of rapid acceleration or sudden collapse. The transition from the previous window suggests a consistent, controlled release mechanism typical of hydrophilic matrices (like HPMC) at this stage (pH 6.8)."</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gel-mass. It has transitioned from a hard solid to a soft, water-logged aggregate that holds its shape through polymer entanglement. It has not turned into a paste or slurry, maintaining structural integrity despite high water content."</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clear but shows signs of slight cloudiness immediately adjacent to the tablet surface. In the flow-through context (1 mL/min), the lack of heavy turbidity in the bulk medium suggests that dissolved components are being carried away efficiently, or the release rate is matching the diffusion/erosion limits of the gel layer."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absence of loose fragments floating in the medium. A small accumulation of white, granular sediment is visible at the base of the tablet, resting on the mesh support. This suggests that any eroded material is either very fine (passing through the mesh) or settling immediately due to gravity, rather than forming a suspended cloud."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at 12.5-17.5h demonstrates robust gel-layer formation with minimal fragmentation. The critical change from the previous interval is the stabilization of the swollen volume and the onset of steady surface erosion. The presence of sediment at the base indicates some mechanical attrition, but the core remains intact, highlighting the effectiveness of the viscosity grade in maintaining matrix integrity under neutral pH conditions."</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distinct blue coloration, which is now concentrated within the swollen matrix and the central cavity. The surrounding dissolution medium remains largely clear and colorless, indicating that the dye release is minimal or has stabilized, with no significant diffusion of color into the bulk fluid observed in this window."</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dosage form remains intact as a single, cohesive mass. It maintains a rounded, dome-like shape without breaking apart into multiple fragments. Compared to earlier stages, there is no further loss of structural integrity; the form holds its position against the flow cell wall."</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granular, 'sugary' texture composed of aggregated particles. It appears rough and porous rather than smooth. There are no visible cracks or flaky peeling structures; instead, the surface looks like a consolidated mesh of hydrated polymer and drug particles, suggesting a stable gel layer has formed."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tablet appears stable and significantly larger than the original dry core, indicating that maximum swelling has likely occurred in previous time windows. In this 18.75–23.75 h range, there is no obvious further expansion or collapse; the height and thickness remain constant, occupying a fixed space within the cell."</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and dissolution speed appears to have slowed down considerably compared to initial phases. The system has reached a quasi-steady state where erosion is minimal. There are no sudden fragmentation events or rapid changes in turbidity, suggesting the release mechanism is now governed by slow diffusion or surface erosion rather than rapid disintegration."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compact to a fully hydrated, swollen hydrogel mass. The internal structure appears loose and porous but remains mechanically coherent enough to resist the shear force of the flowing medium. There is no evidence of the mass turning into a paste or slurry; it remains a defined solid-like object."</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(pH 6.8 at this stage) is clear and transparent, allowing for unobstructed viewing of the tablet. There are no cloud-like patterns, precipitation bands, or significant turbidity in the bulk liquid, implying that dissolved components are either low in concentration or fully solubilized without forming suspended aggregates."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accumulation of white particulate matter at the bottom of the cell, directly beneath the tablet. This sediment consists of eroded excipients or drug particles that have settled due to gravity. The density of these fragments is high locally at the base but does not extend into the upper regions of the medium, indicating limited suspension."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the late stage (18.75-23.75h), the Standard formulation demonstrates high structural integrity with a stable swollen volume. Key features include a persistent granular surface texture, minimal dye release into the medium, and significant sedimentation of white particles at the base. The lack of fragmentation suggests the HPMC matrix effectively retards disintegration even after prolonged exposure to pH 6.8."</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dissolution medium has transitioned from clear to a vibrant, saturated blue due to the release of the dye marker. The color is most intense immediately surrounding the dosage form and creates a visible gradient diffusing into the bulk fluid. The tablet mass itself appears as a deep, dark blue aggregate, contrasting with the lighter blue of the hydrated outer layer."</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shape of the tablet is no longer distinct. It has evolved into a large, irregular, mound-like structure. While it maintains a cohesive central mass, the edges are rough and undefined, indicating that the structural integrity of the original compression has been lost in favor of a swollen, agglomerated state."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changed drastically from smooth to highly granular and porous. It resembles a wet, packed sediment or a coarse sponge. There are no visible cracks or clean breaks; instead, the surface shows a 'sugary' or particulate texture, suggesting the binder has hydrated and the matrix has expanded, exposing individual particles or small clusters held together by the viscous polymer gel."</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significant volumetric expansion. The current occupied space is substantially larger than what would be expected for the initial dry tablet dimensions. The mass has swollen outward, occupying a large portion of the lower right quadrant of the cell, indicative of high water uptake by the hydrophilic matrix (HPMC)."</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process appears to be in a rapid swelling phase rather than a rapid erosion phase. The speed of dissolution is characterized by the fast hydration and expansion of the matrix. Compared to earlier moments (implied), the establishment of the blue halo suggests a steady release rate, but the physical mass remains largely intact, suggesting the 'speed' of total disintegration is slowed by the high viscosity formulation."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gel-mass. It behaves like a viscoelastic solid or a dense paste. The internal structure appears loose and permeable to the medium, evidenced by the uniform blue saturation throughout the mass, but it has not yet collapsed into a liquid slurry or fine suspension."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now turbid and colored blue. A distinct boundary layer of higher dye concentration surrounds the tablet, creating a cloud-like effect that fades into the clearer bulk medium further away. Small air bubbles are visible adhering to the top of the cell and floating near the surface, which may influence local flow dynamics around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material is concentrated in a single, dense cluster resting on the bottom grate. There is very little evidence of widespread fragmentation or distant particle dispersion; the 'fragments' are essentially fused into the main swollen body. The density of the mass is highest at the core and decreases towards the periphery where the gel layer is more dilute."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'High Viscosity' formulation behavior in the early-to-mid stage (0.1-5h). Key observation: The formation of a robust, swollen gel barrier that retains the tablet's gross morphology despite significant volume expansion. Unlike immediate-release forms that shatter, this formulation swells cohesively. The intense blue halo indicates effective wetting and dye release, but the lack of dispersed fragments highlights the retarding effect of the high-viscosity polymer on physical disintegration."</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but the intensity appears slightly more diffused compared to earlier stages. The surrounding dissolution medium exhibits a noticeable increase in turbidity and a faint blue tint, indicating that dye and soluble components are leaching out from the matrix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spherical but has lost its initial sharp definition. The edges appear softened and irregular due to surface erosion. While it remains a single cohesive mass, the boundary between the tablet and the medium is becoming less distinct, signaling the onset of structural breakdown."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transitioned significantly from smooth to highly rough and granular. It presents a 'fuzzy' or fibrous appearance, characteristic of a hydrated polymer matrix (likely HPMC) where the outer layers have swollen and eroded, exposing the internal porous structure. There are no large cracks, but rather a uniform micro-roughness across the entire surface."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reached a state of maximum swelling or slight expansion relative to its dry state. It occupies a significant volume within the cell, appearing as a large, hydrated gel-mass. There is no evidence of collapse; instead, the volume is maintained by the water uptake of the polymer matrix."</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the previous time window (0–6 h), the disintegration speed appears to have stabilized into a slow, steady erosion phase. The rapid initial wetting and swelling seen in the first hour have subsided, replaced by a gradual reduction in density and slow release of material, consistent with the high-viscosity formulation's resistance to rapid breakup."</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transformed from a hard solid compact to a soft, hydrated gel-like mass. The internal structure appears looser and more permeable to the medium. It behaves like a swollen sponge, holding its shape through polymer entanglement rather than mechanical compression."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initially clear, now shows signs of saturation with dissolved excipients, evidenced by the slight cloudiness and color bleed around the tablet. The presence of air bubbles at the top interface remains constant. The pH shift to 6.8 likely contributes to the continued hydration and swelling of the matrix observed here."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currently localized. There are no large, detached fragments floating freely in the medium. Instead, there is a accumulation of fine, eroded particulate matter settling at the bottom of the cell beneath the tablet. The density of suspended particles in the immediate vicinity of the tablet is low, suggesting that eroded material settles quickly or dissolves completely."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6-11h: The tablet acts as a stable, swollen gel reservoir rather than disintegrating into discrete pieces. Erosion is superficial and slow. Critical differentiator from lower viscosity formulations will be the lack of fragmentation and the persistence of this large gel mass over time."</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remains a deep, saturated blue, indicating the presence of undissolved active ingredient or dye within the matrix. The surrounding dissolution medium exhibits a light cyan/turquoise hue, which is consistent with the diffusion of the blue colorant from the tablet surface into the bulk fluid. There is no significant change in the overall color intensity compared to earlier stages, suggesting a steady-state release."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completely lost its original geometric shape (e.g., capsule or biconvex tablet) and exists as a large, cohesive, roughly spherical swollen mass. It maintains structural integrity without breaking apart into distinct fragments, retaining a rounded outline that conforms to the limits of the hydrated polymer matrix."</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irregular, rough, and granular. It resembles a porous sponge or a cluster of fused crystals rather than a smooth solid. This indicates significant hydration and the formation of a gel-layer where the polymer chains have expanded, creating a high-surface-area interface for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entity is significantly increased compared to the initial dry state, representing a swollen hydrogel mass. However, within this specific time window (12.5–17.5 h), the volume appears relatively stable, showing neither rapid expansion nor sudden collapse, indicative of a balance between water uptake and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proceeding at a slow, controlled rate typical of high-viscosity formulations. There are no signs of rapid fragmentation or 'dumping' of the contents. The speed is characterized by gradual surface erosion rather than bulk disintegration, consistent with the 12+ hour timeframe."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gel-like mass. While it retains a macroscopic shape, the microstructure is loose and permeable, allowing fluid penetration. It behaves as a viscoelastic solid that is slowly eroding at the boundaries."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clear but tinted light blue due to the dissolved dye. There is a visible accumulation of white, fine particulate matter (likely insoluble excipients or eroded polymer fragments) settled on the bottom of the flow-through cell, forming a sediment layer beneath the main mass."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main body of the tablet remains concentrated in the center of the view, held in place by the flow dynamics or cell geometry. Fragment distribution is characterized by a dense cloud of fine particles settling at the base (sedimentation) rather than dispersing uniformly throughout the upper medium. There are very few floating fragments, indicating the density of the swollen mass keeps it 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"High-viscosity formulation demonstrates robust gel-layer formation at 12.5-17.5h. Key observation is the maintenance of a single, large swollen mass with slow surface erosion, contrasting with potential fragmentation seen in lower viscosity variants. Significant sedimentation of white fines suggests excipient separation or polymer erosion."</w:t>
      </w:r>
      <w:r>
        <w:br/>
      </w:r>
      <w:r>
        <w:rPr>
          <w:rStyle w:val="FunctionTok"/>
        </w:rPr>
        <w:t xml:space="preserve">}</w:t>
      </w:r>
    </w:p>
    <w:p>
      <w:r>
        <w:pict>
          <v:rect style="width:0;height:1.5pt" o:hralign="center" o:hrstd="t" o:hr="t"/>
        </w:pict>
      </w:r>
    </w:p>
    <w:bookmarkEnd w:id="19"/>
    <w:bookmarkStart w:id="20" w:name="step-2-single-set-image-analysis-10"/>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distinct blue coloration which has diffused significantly into the surrounding matrix, creating a lighter blue halo around the core. The core itself retains a deep blue hue, while the outer layers appear paler due to hydration and partial dissolution. The dissolution medium remains largely clear but shows localized turbidity near the tablet surface."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roughly spherical but has lost its initial sharp definition, evolving into a softened, irregular shape. The edges are no longer smooth but appear eroded and fuzzy. There is no evidence of catastrophic fragmentation; instead, the shape change is characterized by gradual surface erosion and rounding."</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a potentially smooth or compressed state to a highly rough, granular, and porous appearance. It resembles a 'sugar-coated' or crystalline structure, indicating that the binder matrix has hydrated and loosened, exposing individual drug particles or excipient grains. No distinct cracks are visible, but the entire surface appears friable."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compared to its initial dry state, occupying a larger volume. However, within this specific time window (18.75–23.75 h), the volume appears relatively stable or is decreasing very slowly due to surface erosion. The swollen hydrogel layer is clearly visible, maintaining the structural integrity despite the size increase."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be slow and steady, characteristic of a high-viscosity formulation at this late stage. There are no sudden bursts of fragmentation. The rate of mass loss seems consistent with surface erosion rather than bulk disintegration, suggesting the process is diffusion-controlled or limited by the viscosity of the hydrated polymer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gel-like mass. The internal structure appears loose and hydrated, yet it maintains cohesion as a single unit rather than collapsing into a paste or fine slurry. The boundary between the solid core and the dissolved medium is defined by this thick, hydrated gel layer."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predominantly clear with some suspended fine particulates near the tablet surface. There are no large cloud-like patterns or streaks extending far into the bulk medium, indicating that the released material is either dissolving quickly or settling locally. The presence of air bubbles adhering to the top surface suggests gas entrapment or evolution within the porous matrix."</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There are no large fragments floating freely in the medium. Instead, there is a accumulation of fine, white/blue particulate matter settled at the bottom of the cell, forming a sediment layer beneath the tablet. The density of suspended particles in the bulk liquid is low, confirming that most eroded material has settled or dissolved."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represents the 'High Viscosity' formulation at a late time point (18.75-23.75h). Key observation: The tablet maintains structural integrity as a swollen gel mass without disintegrating into multiple large fragments. Erosion is superficial, leading to a rough, granular surface texture. Significant sedimentation of fine particles is observed at the bottom. This contrasts with lower viscosity formulations which likely would have fragmented earlier. The slow, controlled release profile is evident from the lack of rapid turbidity in the bulk medium."</w:t>
      </w:r>
      <w:r>
        <w:br/>
      </w:r>
      <w:r>
        <w:rPr>
          <w:rStyle w:val="FunctionTok"/>
        </w:rPr>
        <w:t xml:space="preserve">}</w:t>
      </w:r>
    </w:p>
    <w:p>
      <w:r>
        <w:pict>
          <v:rect style="width:0;height:1.5pt" o:hralign="center" o:hrstd="t" o:hr="t"/>
        </w:pict>
      </w:r>
    </w:p>
    <w:bookmarkEnd w:id="20"/>
    <w:bookmarkStart w:id="21"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110%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110%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p>
    <w:bookmarkEnd w:id="21"/>
    <w:bookmarkStart w:id="22" w:name="phenomenon-review"/>
    <w:p>
      <w:pPr>
        <w:pStyle w:val="1"/>
      </w:pPr>
      <w:r>
        <w:t xml:space="preserve">Phenomenon Review</w:t>
      </w:r>
    </w:p>
    <w:p>
      <w:pPr>
        <w:pStyle w:val="FirstParagraph"/>
      </w:pPr>
      <w:r>
        <w:rPr>
          <w:b/>
          <w:bCs/>
        </w:rPr>
        <w:t xml:space="preserve">Status:</w:t>
      </w:r>
      <w:r>
        <w:t xml:space="preserve"> </w:t>
      </w:r>
      <w:r>
        <w:t xml:space="preserve">No image analysis results were provided in the current session inputs (</w:t>
      </w:r>
      <w:r>
        <w:rPr>
          <w:rStyle w:val="VerbatimChar"/>
        </w:rPr>
        <w:t xml:space="preserve">Image analysis results: []</w:t>
      </w:r>
      <w:r>
        <w:t xml:space="preserve">).</w:t>
      </w:r>
    </w:p>
    <w:p>
      <w:pPr>
        <w:pStyle w:val="BodyText"/>
      </w:pPr>
      <w:r>
        <w:t xml:space="preserve">Consequently, no direct observations regarding physical disintegration phenomena (such as swelling kinetics, gel layer formation, erosion patterns, shell integrity, or fragmentation) can be reported for Formulation 1, Formulation 2, or Formulation 3. The mechanistic interpretation below must rely exclusively on concentration-time trends and formulation composition data, without visual confirmation of the physical matrix behavior.</w:t>
      </w:r>
    </w:p>
    <w:bookmarkEnd w:id="22"/>
    <w:bookmarkStart w:id="23" w:name="concentration-time-trend-review"/>
    <w:p>
      <w:pPr>
        <w:pStyle w:val="1"/>
      </w:pPr>
      <w:r>
        <w:t xml:space="preserve">Concentration-Time Trend Review</w:t>
      </w:r>
    </w:p>
    <w:p>
      <w:pPr>
        <w:pStyle w:val="FirstParagraph"/>
      </w:pPr>
      <w:r>
        <w:rPr>
          <w:b/>
          <w:bCs/>
        </w:rPr>
        <w:t xml:space="preserve">Data Quality Assessment:</w:t>
      </w:r>
      <w:r>
        <w:t xml:space="preserve"> </w:t>
      </w:r>
      <w:r>
        <w:t xml:space="preserve">The concentration data consists of UV absorbance units mapped to time intervals, with midpoints used for representation. While the temporal resolution (10 points over 24 hours) is sufficient to identify broad release phases, the lack of raw mass/volume conversion limits absolute quantification. However, relative comparisons between formulations are valid based on the provided summaries.</w:t>
      </w:r>
    </w:p>
    <w:p>
      <w:pPr>
        <w:pStyle w:val="BodyText"/>
      </w:pPr>
      <w:r>
        <w:rPr>
          <w:b/>
          <w:bCs/>
        </w:rPr>
        <w:t xml:space="preserve">Trend Summary:</w:t>
      </w:r>
      <w:r>
        <w:t xml:space="preserve"> </w:t>
      </w:r>
      <w:r>
        <w:t xml:space="preserve">*</w:t>
      </w:r>
      <w:r>
        <w:t xml:space="preserve"> </w:t>
      </w:r>
      <w:r>
        <w:rPr>
          <w:b/>
          <w:bCs/>
        </w:rPr>
        <w:t xml:space="preserve">Formulation 1 (Low-viscosity):</w:t>
      </w:r>
      <w:r>
        <w:t xml:space="preserve"> </w:t>
      </w:r>
      <w:r>
        <w:t xml:space="preserve">Exhibits a rapid early increase in absorbance, reaching the highest peak magnitude between 2–4 hours. This is followed by a sharp decline, with levels approaching zero by 6–8 hours. This profile indicates a</w:t>
      </w:r>
      <w:r>
        <w:t xml:space="preserve"> </w:t>
      </w:r>
      <w:r>
        <w:t xml:space="preserve">“burst-like”</w:t>
      </w:r>
      <w:r>
        <w:t xml:space="preserve"> </w:t>
      </w:r>
      <w:r>
        <w:t xml:space="preserve">release followed by rapid depletion or clearance.</w:t>
      </w:r>
      <w:r>
        <w:t xml:space="preserve"> </w:t>
      </w:r>
      <w:r>
        <w:t xml:space="preserve">*</w:t>
      </w:r>
      <w:r>
        <w:t xml:space="preserve"> </w:t>
      </w:r>
      <w:r>
        <w:rPr>
          <w:b/>
          <w:bCs/>
        </w:rPr>
        <w:t xml:space="preserve">Formulation 2 (Standard/Medium-viscosity):</w:t>
      </w:r>
      <w:r>
        <w:t xml:space="preserve"> </w:t>
      </w:r>
      <w:r>
        <w:t xml:space="preserve">Shows a moderate early increase, establishing a sustained high plateau between 2–6 hours. The decline is slower than Formulation 1, indicating prolonged exposure and a more controlled release mechanism during the critical 4–6 hour window.</w:t>
      </w:r>
      <w:r>
        <w:t xml:space="preserve"> </w:t>
      </w:r>
      <w:r>
        <w:t xml:space="preserve">*</w:t>
      </w:r>
      <w:r>
        <w:t xml:space="preserve"> </w:t>
      </w:r>
      <w:r>
        <w:rPr>
          <w:b/>
          <w:bCs/>
        </w:rPr>
        <w:t xml:space="preserve">Formulation 3 (High-viscosity):</w:t>
      </w:r>
      <w:r>
        <w:t xml:space="preserve"> </w:t>
      </w:r>
      <w:r>
        <w:t xml:space="preserve">Demonstrates the slowest early increase and the lowest peak magnitude among the three. The release profile features a gradual decline with persisting low-level absorbance through 20–24 hours, indicative of a diffusion-controlled or erosion-limited mechanism with high retention.</w:t>
      </w:r>
    </w:p>
    <w:p>
      <w:pPr>
        <w:pStyle w:val="BodyText"/>
      </w:pPr>
      <w:r>
        <w:rPr>
          <w:b/>
          <w:bCs/>
        </w:rPr>
        <w:t xml:space="preserve">Alignment Assessment:</w:t>
      </w:r>
      <w:r>
        <w:t xml:space="preserve"> </w:t>
      </w:r>
      <w:r>
        <w:t xml:space="preserve">In the absence of image data, alignment cannot be visually verified. However, the concentration trends are internally consistent with the known rheological properties of the varying HPMC grades. The progression from rapid/high peak (Formulation 1) to sustained/medium peak (Formulation 2) to slow/low peak (Formulation 3) logically correlates with increasing proportions of high-viscosity polymer (HPMC K4M).</w:t>
      </w:r>
    </w:p>
    <w:bookmarkEnd w:id="23"/>
    <w:bookmarkStart w:id="24" w:name="Xe9fdab398d128e7dec16babe180ddda7e1c4b36"/>
    <w:p>
      <w:pPr>
        <w:pStyle w:val="1"/>
      </w:pPr>
      <w:r>
        <w:t xml:space="preserve">Literature-Supported Typical Mechanistic Links</w:t>
      </w:r>
    </w:p>
    <w:p>
      <w:pPr>
        <w:pStyle w:val="FirstParagraph"/>
      </w:pPr>
      <w:r>
        <w:t xml:space="preserve">Based on the retrieved literature excerpts and general pharmaceutical knowledge regarding HPMC matrices:</w:t>
      </w:r>
    </w:p>
    <w:p>
      <w:pPr>
        <w:pStyle w:val="Compact"/>
        <w:numPr>
          <w:ilvl w:val="0"/>
          <w:numId w:val="1001"/>
        </w:numPr>
      </w:pPr>
      <w:r>
        <w:rPr>
          <w:b/>
          <w:bCs/>
        </w:rPr>
        <w:t xml:space="preserve">HPMC Viscosity and Release Rate:</w:t>
      </w:r>
    </w:p>
    <w:p>
      <w:pPr>
        <w:pStyle w:val="Compact"/>
        <w:numPr>
          <w:ilvl w:val="1"/>
          <w:numId w:val="1002"/>
        </w:numPr>
      </w:pPr>
      <w:r>
        <w:t xml:space="preserve">The retrieved excerpt notes that</w:t>
      </w:r>
      <w:r>
        <w:t xml:space="preserve"> </w:t>
      </w:r>
      <w:r>
        <w:t xml:space="preserve">“HPMC K4M shows the highest drug release with prolonged period of time”</w:t>
      </w:r>
      <w:r>
        <w:t xml:space="preserve"> </w:t>
      </w:r>
      <w:r>
        <w:t xml:space="preserve">in specific optimized batches, but generally, higher viscosity grades (like K4M compared to lower viscosity grades like 100lv) form stronger, more viscous gel layers upon hydration.</w:t>
      </w:r>
    </w:p>
    <w:p>
      <w:pPr>
        <w:pStyle w:val="Compact"/>
        <w:numPr>
          <w:ilvl w:val="1"/>
          <w:numId w:val="1002"/>
        </w:numPr>
      </w:pPr>
      <w:r>
        <w:t xml:space="preserve">Literature typically establishes that higher viscosity polymers retard drug release by creating a thicker, more resistant gel barrier that slows down water ingress and drug egress (diffusion control) and resists erosion.</w:t>
      </w:r>
    </w:p>
    <w:p>
      <w:pPr>
        <w:pStyle w:val="Compact"/>
        <w:numPr>
          <w:ilvl w:val="1"/>
          <w:numId w:val="1002"/>
        </w:numPr>
      </w:pPr>
      <w:r>
        <w:t xml:space="preserve">Conversely, lower viscosity grades (or lower total polymer content) result in weaker gel structures, leading to faster water penetration, quicker matrix saturation, and potentially faster erosion or dissolution, resulting in earlier and higher peak concentrations.</w:t>
      </w:r>
    </w:p>
    <w:p>
      <w:pPr>
        <w:pStyle w:val="Compact"/>
        <w:numPr>
          <w:ilvl w:val="0"/>
          <w:numId w:val="1001"/>
        </w:numPr>
      </w:pPr>
      <w:r>
        <w:rPr>
          <w:b/>
          <w:bCs/>
        </w:rPr>
        <w:t xml:space="preserve">Polymer Ratio Effects:</w:t>
      </w:r>
    </w:p>
    <w:p>
      <w:pPr>
        <w:pStyle w:val="Compact"/>
        <w:numPr>
          <w:ilvl w:val="1"/>
          <w:numId w:val="1003"/>
        </w:numPr>
      </w:pPr>
      <w:r>
        <w:t xml:space="preserve">The ratio of high-viscosity (K4M) to low-viscosity (100lv) HPMC dictates the mechanical strength and permeability of the gel layer.</w:t>
      </w:r>
    </w:p>
    <w:p>
      <w:pPr>
        <w:pStyle w:val="Compact"/>
        <w:numPr>
          <w:ilvl w:val="1"/>
          <w:numId w:val="1003"/>
        </w:numPr>
      </w:pPr>
      <w:r>
        <w:t xml:space="preserve">A higher proportion of K4M (as in Formulation 3) typically enhances the</w:t>
      </w:r>
      <w:r>
        <w:t xml:space="preserve"> </w:t>
      </w:r>
      <w:r>
        <w:t xml:space="preserve">“sustained”</w:t>
      </w:r>
      <w:r>
        <w:t xml:space="preserve"> </w:t>
      </w:r>
      <w:r>
        <w:t xml:space="preserve">character, prolonging the tail of the release profile but potentially suppressing the initial release rate.</w:t>
      </w:r>
    </w:p>
    <w:p>
      <w:pPr>
        <w:pStyle w:val="Compact"/>
        <w:numPr>
          <w:ilvl w:val="1"/>
          <w:numId w:val="1003"/>
        </w:numPr>
      </w:pPr>
      <w:r>
        <w:t xml:space="preserve">A higher proportion of 100lv (as in Formulation 1) reduces the overall gel viscosity, facilitating faster initial release but offering less resistance to rapid depletion.</w:t>
      </w:r>
    </w:p>
    <w:p>
      <w:pPr>
        <w:pStyle w:val="Compact"/>
        <w:numPr>
          <w:ilvl w:val="0"/>
          <w:numId w:val="1001"/>
        </w:numPr>
      </w:pPr>
      <w:r>
        <w:rPr>
          <w:b/>
          <w:bCs/>
        </w:rPr>
        <w:t xml:space="preserve">Multivariate Influence:</w:t>
      </w:r>
    </w:p>
    <w:p>
      <w:pPr>
        <w:pStyle w:val="Compact"/>
        <w:numPr>
          <w:ilvl w:val="1"/>
          <w:numId w:val="1004"/>
        </w:numPr>
      </w:pPr>
      <w:r>
        <w:t xml:space="preserve">The literature highlights that FRCs (Formulation Related Characteristics) of HPMC K4M significantly influence the release rate throughout the profile. This supports the observation that shifting the K4M/100lv ratio is a primary lever for modulating the release kinetics.</w:t>
      </w:r>
    </w:p>
    <w:bookmarkEnd w:id="24"/>
    <w:bookmarkStart w:id="25" w:name="X8b0f4f5dda0fea40fd3a750b99e0b896d6871c6"/>
    <w:p>
      <w:pPr>
        <w:pStyle w:val="1"/>
      </w:pPr>
      <w:r>
        <w:t xml:space="preserve">Tentative Integrated Mechanistic Interpretation Across the Three Formulations</w:t>
      </w:r>
    </w:p>
    <w:p>
      <w:pPr>
        <w:pStyle w:val="FirstParagraph"/>
      </w:pPr>
      <w:r>
        <w:rPr>
          <w:b/>
          <w:bCs/>
        </w:rPr>
        <w:t xml:space="preserve">Context:</w:t>
      </w:r>
      <w:r>
        <w:t xml:space="preserve"> </w:t>
      </w:r>
      <w:r>
        <w:t xml:space="preserve">The optimization target is to</w:t>
      </w:r>
      <w:r>
        <w:t xml:space="preserve"> </w:t>
      </w:r>
      <w:r>
        <w:rPr>
          <w:b/>
          <w:bCs/>
        </w:rPr>
        <w:t xml:space="preserve">increase the cumulative release of the Standard Formulation (Formulation 2) over the first 4 hours to 110% of its original level</w:t>
      </w:r>
      <w:r>
        <w:t xml:space="preserve">. The primary variable is the ratio of HPMC K4M (high viscosity) to HPMC 100lv (low viscosity).</w:t>
      </w:r>
    </w:p>
    <w:p>
      <w:pPr>
        <w:pStyle w:val="BodyText"/>
      </w:pPr>
      <w:r>
        <w:rPr>
          <w:b/>
          <w:bCs/>
        </w:rPr>
        <w:t xml:space="preserve">Interpretation of Current State:</w:t>
      </w:r>
      <w:r>
        <w:t xml:space="preserve"> </w:t>
      </w:r>
      <w:r>
        <w:t xml:space="preserve">*</w:t>
      </w:r>
      <w:r>
        <w:t xml:space="preserve"> </w:t>
      </w:r>
      <w:r>
        <w:rPr>
          <w:b/>
          <w:bCs/>
        </w:rPr>
        <w:t xml:space="preserve">Formulation 1 (High 100lv / Low K4M):</w:t>
      </w:r>
      <w:r>
        <w:t xml:space="preserve"> </w:t>
      </w:r>
      <w:r>
        <w:t xml:space="preserve">The high early peak and rapid clearance suggest that the low-viscosity polymer dominates the initial hydration phase. The gel layer formed is likely weak or thin, allowing rapid drug diffusion and/or quick matrix erosion. This formulation releases too much drug too quickly, failing to sustain levels beyond 6–8 hours.</w:t>
      </w:r>
      <w:r>
        <w:t xml:space="preserve"> </w:t>
      </w:r>
      <w:r>
        <w:t xml:space="preserve">*</w:t>
      </w:r>
      <w:r>
        <w:t xml:space="preserve"> </w:t>
      </w:r>
      <w:r>
        <w:rPr>
          <w:b/>
          <w:bCs/>
        </w:rPr>
        <w:t xml:space="preserve">Formulation 3 (High K4M / Low 100lv):</w:t>
      </w:r>
      <w:r>
        <w:t xml:space="preserve"> </w:t>
      </w:r>
      <w:r>
        <w:t xml:space="preserve">The slow onset and low peak suggest that the high-viscosity K4M forms a robust, dense gel layer immediately upon contact with the medium. This barrier significantly restricts initial drug diffusion, resulting in lower cumulative release at 4 hours compared to Formulation 2.</w:t>
      </w:r>
      <w:r>
        <w:t xml:space="preserve"> </w:t>
      </w:r>
      <w:r>
        <w:t xml:space="preserve">*</w:t>
      </w:r>
      <w:r>
        <w:t xml:space="preserve"> </w:t>
      </w:r>
      <w:r>
        <w:rPr>
          <w:b/>
          <w:bCs/>
        </w:rPr>
        <w:t xml:space="preserve">Formulation 2 (Balanced K4M/100lv):</w:t>
      </w:r>
      <w:r>
        <w:t xml:space="preserve"> </w:t>
      </w:r>
      <w:r>
        <w:t xml:space="preserve">This formulation represents an intermediate state. It achieves a sustained plateau, indicating a gel layer that is strong enough to prevent burst release (unlike Formulation 1) but permeable enough to allow significant drug flux (unlike Formulation 3).</w:t>
      </w:r>
    </w:p>
    <w:p>
      <w:pPr>
        <w:pStyle w:val="BodyText"/>
      </w:pPr>
      <w:r>
        <w:rPr>
          <w:b/>
          <w:bCs/>
        </w:rPr>
        <w:t xml:space="preserve">Mechanistic Gap Analysis for Optimization:</w:t>
      </w:r>
      <w:r>
        <w:t xml:space="preserve"> </w:t>
      </w:r>
      <w:r>
        <w:t xml:space="preserve">The target requires a</w:t>
      </w:r>
      <w:r>
        <w:t xml:space="preserve"> </w:t>
      </w:r>
      <w:r>
        <w:rPr>
          <w:b/>
          <w:bCs/>
        </w:rPr>
        <w:t xml:space="preserve">10% increase in early release (0–4 h)</w:t>
      </w:r>
      <w:r>
        <w:t xml:space="preserve"> </w:t>
      </w:r>
      <w:r>
        <w:t xml:space="preserve">for Formulation 2.</w:t>
      </w:r>
      <w:r>
        <w:t xml:space="preserve"> </w:t>
      </w:r>
      <w:r>
        <w:t xml:space="preserve">* Currently, Formulation 2 releases</w:t>
      </w:r>
      <w:r>
        <w:t xml:space="preserve"> </w:t>
      </w:r>
      <w:r>
        <w:rPr>
          <w:i/>
          <w:iCs/>
        </w:rPr>
        <w:t xml:space="preserve">less</w:t>
      </w:r>
      <w:r>
        <w:t xml:space="preserve"> </w:t>
      </w:r>
      <w:r>
        <w:t xml:space="preserve">in the early phase than Formulation 1 but</w:t>
      </w:r>
      <w:r>
        <w:t xml:space="preserve"> </w:t>
      </w:r>
      <w:r>
        <w:rPr>
          <w:i/>
          <w:iCs/>
        </w:rPr>
        <w:t xml:space="preserve">more</w:t>
      </w:r>
      <w:r>
        <w:t xml:space="preserve"> </w:t>
      </w:r>
      <w:r>
        <w:t xml:space="preserve">than Formulation 3.</w:t>
      </w:r>
      <w:r>
        <w:t xml:space="preserve"> </w:t>
      </w:r>
      <w:r>
        <w:t xml:space="preserve">* To increase early release without collapsing into the rapid-depletion profile of Formulation 1, the mechanistic goal is to</w:t>
      </w:r>
      <w:r>
        <w:t xml:space="preserve"> </w:t>
      </w:r>
      <w:r>
        <w:rPr>
          <w:b/>
          <w:bCs/>
        </w:rPr>
        <w:t xml:space="preserve">slightly reduce the initial resistance to diffusion</w:t>
      </w:r>
      <w:r>
        <w:t xml:space="preserve"> </w:t>
      </w:r>
      <w:r>
        <w:t xml:space="preserve">provided by the gel layer.</w:t>
      </w:r>
      <w:r>
        <w:t xml:space="preserve"> </w:t>
      </w:r>
      <w:r>
        <w:t xml:space="preserve">* This implies that the current ratio in Formulation 2 may be slightly too restrictive in the first 4 hours. A shift toward the mechanistic behavior of Formulation 1 (but to a lesser degree) is required. This suggests that the current balance favors sustained retention slightly more than optimal for the</w:t>
      </w:r>
      <w:r>
        <w:t xml:space="preserve"> </w:t>
      </w:r>
      <w:r>
        <w:rPr>
          <w:i/>
          <w:iCs/>
        </w:rPr>
        <w:t xml:space="preserve">early</w:t>
      </w:r>
      <w:r>
        <w:t xml:space="preserve"> </w:t>
      </w:r>
      <w:r>
        <w:t xml:space="preserve">cumulative target.</w:t>
      </w:r>
    </w:p>
    <w:p>
      <w:pPr>
        <w:pStyle w:val="BodyText"/>
      </w:pPr>
      <w:r>
        <w:rPr>
          <w:b/>
          <w:bCs/>
        </w:rPr>
        <w:t xml:space="preserve">Hypothesis:</w:t>
      </w:r>
      <w:r>
        <w:t xml:space="preserve"> </w:t>
      </w:r>
      <w:r>
        <w:t xml:space="preserve">The gel layer in Formulation 2 forms with sufficient viscosity to sustain release but imposes a slight lag or diffusion barrier in the first 2–4 hours that prevents reaching the 110% target. Reducing the effective viscosity of this initial gel layer—by adjusting the K4M/100lv ratio—could enhance early flux.</w:t>
      </w:r>
    </w:p>
    <w:bookmarkEnd w:id="25"/>
    <w:bookmarkStart w:id="26" w:name="X73bea8ee5a5b9584df0747bdd33d75c06b06724"/>
    <w:p>
      <w:pPr>
        <w:pStyle w:val="1"/>
      </w:pPr>
      <w:r>
        <w:t xml:space="preserve">Mechanistic Implications for the Next Optimization Step</w:t>
      </w:r>
    </w:p>
    <w:p>
      <w:pPr>
        <w:pStyle w:val="FirstParagraph"/>
      </w:pPr>
      <w:r>
        <w:rPr>
          <w:b/>
          <w:bCs/>
        </w:rPr>
        <w:t xml:space="preserve">Relevance to Optimization Target:</w:t>
      </w:r>
      <w:r>
        <w:t xml:space="preserve"> </w:t>
      </w:r>
      <w:r>
        <w:t xml:space="preserve">The target is specifically focused on the</w:t>
      </w:r>
      <w:r>
        <w:t xml:space="preserve"> </w:t>
      </w:r>
      <w:r>
        <w:rPr>
          <w:b/>
          <w:bCs/>
        </w:rPr>
        <w:t xml:space="preserve">first 4 hours</w:t>
      </w:r>
      <w:r>
        <w:t xml:space="preserve">. The concentration data shows that Formulation 1 exceeds this early release requirement but fails later, while Formulation 3 underperforms early. Formulation 2 is the baseline.</w:t>
      </w:r>
    </w:p>
    <w:p>
      <w:pPr>
        <w:pStyle w:val="BodyText"/>
      </w:pPr>
      <w:r>
        <w:rPr>
          <w:b/>
          <w:bCs/>
        </w:rPr>
        <w:t xml:space="preserve">Mechanistic Tendencies:</w:t>
      </w:r>
      <w:r>
        <w:t xml:space="preserve"> </w:t>
      </w:r>
      <w:r>
        <w:t xml:space="preserve">1.</w:t>
      </w:r>
      <w:r>
        <w:t xml:space="preserve"> </w:t>
      </w:r>
      <w:r>
        <w:rPr>
          <w:b/>
          <w:bCs/>
        </w:rPr>
        <w:t xml:space="preserve">Viscosity Reduction for Early Flux:</w:t>
      </w:r>
      <w:r>
        <w:t xml:space="preserve"> </w:t>
      </w:r>
      <w:r>
        <w:t xml:space="preserve">To increase cumulative release at 4 hours, the formulation needs to facilitate faster water uptake or drug diffusion in the early stages. Mechanistically, this is associated with a</w:t>
      </w:r>
      <w:r>
        <w:t xml:space="preserve"> </w:t>
      </w:r>
      <w:r>
        <w:rPr>
          <w:b/>
          <w:bCs/>
        </w:rPr>
        <w:t xml:space="preserve">decrease in the proportion of high-viscosity HPMC K4M</w:t>
      </w:r>
      <w:r>
        <w:t xml:space="preserve"> </w:t>
      </w:r>
      <w:r>
        <w:t xml:space="preserve">or an</w:t>
      </w:r>
      <w:r>
        <w:t xml:space="preserve"> </w:t>
      </w:r>
      <w:r>
        <w:rPr>
          <w:b/>
          <w:bCs/>
        </w:rPr>
        <w:t xml:space="preserve">increase in the proportion of low-viscosity HPMC 100lv</w:t>
      </w:r>
      <w:r>
        <w:t xml:space="preserve">.</w:t>
      </w:r>
      <w:r>
        <w:t xml:space="preserve"> </w:t>
      </w:r>
      <w:r>
        <w:t xml:space="preserve">2.</w:t>
      </w:r>
      <w:r>
        <w:t xml:space="preserve"> </w:t>
      </w:r>
      <w:r>
        <w:rPr>
          <w:b/>
          <w:bCs/>
        </w:rPr>
        <w:t xml:space="preserve">Avoiding Over-Correction:</w:t>
      </w:r>
      <w:r>
        <w:t xml:space="preserve"> </w:t>
      </w:r>
      <w:r>
        <w:t xml:space="preserve">The adjustment must be subtle. Moving too far toward the Formulation 1 ratio risks replicating its</w:t>
      </w:r>
      <w:r>
        <w:t xml:space="preserve"> </w:t>
      </w:r>
      <w:r>
        <w:t xml:space="preserve">“sharp decline”</w:t>
      </w:r>
      <w:r>
        <w:t xml:space="preserve"> </w:t>
      </w:r>
      <w:r>
        <w:t xml:space="preserve">and early clearance, which would compromise the sustained nature of the tablet. The goal is to lift the 0–4 h curve of Formulation 2 closer to Formulation 1’s early trajectory without adopting Formulation 1’s late-stage collapse.</w:t>
      </w:r>
      <w:r>
        <w:t xml:space="preserve"> </w:t>
      </w:r>
      <w:r>
        <w:t xml:space="preserve">3.</w:t>
      </w:r>
      <w:r>
        <w:t xml:space="preserve"> </w:t>
      </w:r>
      <w:r>
        <w:rPr>
          <w:b/>
          <w:bCs/>
        </w:rPr>
        <w:t xml:space="preserve">Key Variable:</w:t>
      </w:r>
      <w:r>
        <w:t xml:space="preserve"> </w:t>
      </w:r>
      <w:r>
        <w:t xml:space="preserve">The</w:t>
      </w:r>
      <w:r>
        <w:t xml:space="preserve"> </w:t>
      </w:r>
      <w:r>
        <w:rPr>
          <w:b/>
          <w:bCs/>
        </w:rPr>
        <w:t xml:space="preserve">K4M : 100lv ratio</w:t>
      </w:r>
      <w:r>
        <w:t xml:space="preserve"> </w:t>
      </w:r>
      <w:r>
        <w:t xml:space="preserve">is the critical mechanistic lever. A lower K4M/100lv ratio generally correlates with faster early release.</w:t>
      </w:r>
    </w:p>
    <w:p>
      <w:pPr>
        <w:pStyle w:val="BodyText"/>
      </w:pPr>
      <w:r>
        <w:rPr>
          <w:b/>
          <w:bCs/>
        </w:rPr>
        <w:t xml:space="preserve">Uncertainty:</w:t>
      </w:r>
      <w:r>
        <w:t xml:space="preserve"> </w:t>
      </w:r>
      <w:r>
        <w:t xml:space="preserve">* Without image data, it is unknown if the limitation in Formulation 2 is due to slow gel formation (lag time) or low gel permeability.</w:t>
      </w:r>
      <w:r>
        <w:t xml:space="preserve"> </w:t>
      </w:r>
      <w:r>
        <w:t xml:space="preserve">* It is unclear if the pH switch (1.2 to 6.8 at 1 hour) interacts differently with the varying HPMC ratios. Methylene blue release may be influenced by matrix swelling changes at neutral pH. If the gel layer is too dense at pH 1.2, it might not hydrate sufficiently to allow rapid release when the pH shifts to 6.8.</w:t>
      </w:r>
    </w:p>
    <w:bookmarkEnd w:id="26"/>
    <w:bookmarkStart w:id="28" w:name="suggestions-for-further-validation"/>
    <w:p>
      <w:pPr>
        <w:pStyle w:val="1"/>
      </w:pPr>
      <w:r>
        <w:t xml:space="preserve">Suggestions for Further Validation</w:t>
      </w:r>
    </w:p>
    <w:p>
      <w:pPr>
        <w:pStyle w:val="Compact"/>
        <w:numPr>
          <w:ilvl w:val="0"/>
          <w:numId w:val="1005"/>
        </w:numPr>
      </w:pPr>
      <w:r>
        <w:rPr>
          <w:b/>
          <w:bCs/>
        </w:rPr>
        <w:t xml:space="preserve">Visual Confirmation of Gel Layer Kinetics:</w:t>
      </w:r>
    </w:p>
    <w:p>
      <w:pPr>
        <w:pStyle w:val="Compact"/>
        <w:numPr>
          <w:ilvl w:val="1"/>
          <w:numId w:val="1006"/>
        </w:numPr>
      </w:pPr>
      <w:r>
        <w:t xml:space="preserve">Conduct image analysis or video monitoring of the tablets in the flow-through cell, specifically focusing on the</w:t>
      </w:r>
      <w:r>
        <w:t xml:space="preserve"> </w:t>
      </w:r>
      <w:r>
        <w:rPr>
          <w:b/>
          <w:bCs/>
        </w:rPr>
        <w:t xml:space="preserve">0–2 hour window</w:t>
      </w:r>
      <w:r>
        <w:t xml:space="preserve"> </w:t>
      </w:r>
      <w:r>
        <w:t xml:space="preserve">(pH 1.2) and the</w:t>
      </w:r>
      <w:r>
        <w:t xml:space="preserve"> </w:t>
      </w:r>
      <w:r>
        <w:rPr>
          <w:b/>
          <w:bCs/>
        </w:rPr>
        <w:t xml:space="preserve">2–4 hour window</w:t>
      </w:r>
      <w:r>
        <w:t xml:space="preserve"> </w:t>
      </w:r>
      <w:r>
        <w:t xml:space="preserve">(post-pH switch).</w:t>
      </w:r>
    </w:p>
    <w:p>
      <w:pPr>
        <w:pStyle w:val="Compact"/>
        <w:numPr>
          <w:ilvl w:val="1"/>
          <w:numId w:val="1006"/>
        </w:numPr>
      </w:pPr>
      <w:r>
        <w:t xml:space="preserve">Look for differences in gel layer thickness and clarity between Formulation 2 and potential adjusted variants. Thinner or more porous gel layers in the early stage would support the hypothesis that reducing K4M enhances early release.</w:t>
      </w:r>
    </w:p>
    <w:p>
      <w:pPr>
        <w:pStyle w:val="Compact"/>
        <w:numPr>
          <w:ilvl w:val="0"/>
          <w:numId w:val="1005"/>
        </w:numPr>
      </w:pPr>
      <w:r>
        <w:rPr>
          <w:b/>
          <w:bCs/>
        </w:rPr>
        <w:t xml:space="preserve">Fractional Release Analysis:</w:t>
      </w:r>
    </w:p>
    <w:p>
      <w:pPr>
        <w:pStyle w:val="Compact"/>
        <w:numPr>
          <w:ilvl w:val="1"/>
          <w:numId w:val="1007"/>
        </w:numPr>
      </w:pPr>
      <w:r>
        <w:t xml:space="preserve">Calculate the exact percentage of total drug released at 1, 2, and 4 hours for all three formulations. This will quantify the</w:t>
      </w:r>
      <w:r>
        <w:t xml:space="preserve"> </w:t>
      </w:r>
      <w:r>
        <w:t xml:space="preserve">“early release deficit”</w:t>
      </w:r>
      <w:r>
        <w:t xml:space="preserve"> </w:t>
      </w:r>
      <w:r>
        <w:t xml:space="preserve">in Formulation 2 compared to the target.</w:t>
      </w:r>
    </w:p>
    <w:p>
      <w:pPr>
        <w:pStyle w:val="Compact"/>
        <w:numPr>
          <w:ilvl w:val="0"/>
          <w:numId w:val="1005"/>
        </w:numPr>
      </w:pPr>
      <w:r>
        <w:rPr>
          <w:b/>
          <w:bCs/>
        </w:rPr>
        <w:t xml:space="preserve">pH-Shift Impact Assessment:</w:t>
      </w:r>
    </w:p>
    <w:p>
      <w:pPr>
        <w:pStyle w:val="Compact"/>
        <w:numPr>
          <w:ilvl w:val="1"/>
          <w:numId w:val="1008"/>
        </w:numPr>
      </w:pPr>
      <w:r>
        <w:t xml:space="preserve">Analyze whether the release rate acceleration coincides precisely with the pH switch to 6.8. If Formulation 2 shows a delayed response to the pH change compared to Formulation 1, it suggests the K4M-rich gel is slower to adjust its swelling/erosion properties to the new medium conditions.</w:t>
      </w:r>
    </w:p>
    <w:p>
      <w:pPr>
        <w:pStyle w:val="Compact"/>
        <w:numPr>
          <w:ilvl w:val="0"/>
          <w:numId w:val="1005"/>
        </w:numPr>
      </w:pPr>
      <w:r>
        <w:rPr>
          <w:b/>
          <w:bCs/>
        </w:rPr>
        <w:t xml:space="preserve">Intermediate Ratio Testing:</w:t>
      </w:r>
    </w:p>
    <w:p>
      <w:pPr>
        <w:pStyle w:val="Compact"/>
        <w:numPr>
          <w:ilvl w:val="1"/>
          <w:numId w:val="1009"/>
        </w:numPr>
      </w:pPr>
      <w:r>
        <w:t xml:space="preserve">Test formulations with K4M/100lv ratios intermediate between Formulation 2 and Formulation 1. This will help map the sensitivity of the 4-hour cumulative release to small changes in the polymer ratio, identifying the threshold where</w:t>
      </w:r>
      <w:r>
        <w:t xml:space="preserve"> </w:t>
      </w:r>
      <w:r>
        <w:t xml:space="preserve">“sustained”</w:t>
      </w:r>
      <w:r>
        <w:t xml:space="preserve"> </w:t>
      </w:r>
      <w:r>
        <w:t xml:space="preserve">behavior begins to degrade into</w:t>
      </w:r>
      <w:r>
        <w:t xml:space="preserve"> </w:t>
      </w:r>
      <w:r>
        <w:t xml:space="preserve">“rapid depletion.”</w:t>
      </w:r>
    </w:p>
    <w:p>
      <w:pPr>
        <w:pStyle w:val="FirstParagraph"/>
      </w:pPr>
      <w:r>
        <w:rPr>
          <w:b/>
          <w:bCs/>
        </w:rPr>
        <w:t xml:space="preserve">Literature / retrieval evidence (optional raw, truncated)</w:t>
      </w:r>
    </w:p>
    <w:p>
      <w:pPr>
        <w:pStyle w:val="SourceCode"/>
      </w:pPr>
    </w:p>
    <w:p>
      <w:r>
        <w:pict>
          <v:rect style="width:0;height:1.5pt" o:hralign="center" o:hrstd="t" o:hr="t"/>
        </w:pict>
      </w:r>
    </w:p>
    <w:bookmarkStart w:id="27"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035730a0-5cc0-418f-9a48-4d098f5fac76</w:t>
      </w:r>
      <w:r>
        <w:t xml:space="preserve"> </w:t>
      </w:r>
      <w:r>
        <w:t xml:space="preserve">- dialogue_count: 16</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110%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7"/>
    <w:bookmarkEnd w:id="28"/>
    <w:bookmarkStart w:id="29" w:name="optimization-target-review"/>
    <w:p>
      <w:pPr>
        <w:pStyle w:val="1"/>
      </w:pPr>
      <w:r>
        <w:t xml:space="preserve">Optimization Target Review</w:t>
      </w:r>
    </w:p>
    <w:p>
      <w:pPr>
        <w:pStyle w:val="FirstParagraph"/>
      </w:pPr>
      <w:r>
        <w:t xml:space="preserve">The primary optimization target is to</w:t>
      </w:r>
      <w:r>
        <w:t xml:space="preserve"> </w:t>
      </w:r>
      <w:r>
        <w:rPr>
          <w:b/>
          <w:bCs/>
        </w:rPr>
        <w:t xml:space="preserve">increase the cumulative release amount of the Standard-viscosity formulation (Formulation 2) over the first 4 hours to 110% of its original level</w:t>
      </w:r>
      <w:r>
        <w:t xml:space="preserve">.</w:t>
      </w:r>
    </w:p>
    <w:p>
      <w:pPr>
        <w:pStyle w:val="Compact"/>
        <w:numPr>
          <w:ilvl w:val="0"/>
          <w:numId w:val="1010"/>
        </w:numPr>
      </w:pPr>
      <w:r>
        <w:rPr>
          <w:b/>
          <w:bCs/>
        </w:rPr>
        <w:t xml:space="preserve">Current Status of Formulation 2:</w:t>
      </w:r>
      <w:r>
        <w:t xml:space="preserve"> </w:t>
      </w:r>
      <w:r>
        <w:t xml:space="preserve">Formulation 2 exhibits a moderate early increase and sustains a high plateau between 2–6 hours. However, its initial release rate (0–4 h) is insufficient to meet the 110% target relative to its current baseline.</w:t>
      </w:r>
    </w:p>
    <w:p>
      <w:pPr>
        <w:pStyle w:val="Compact"/>
        <w:numPr>
          <w:ilvl w:val="0"/>
          <w:numId w:val="1010"/>
        </w:numPr>
      </w:pPr>
      <w:r>
        <w:rPr>
          <w:b/>
          <w:bCs/>
        </w:rPr>
        <w:t xml:space="preserve">Misalignment Analysis:</w:t>
      </w:r>
    </w:p>
    <w:p>
      <w:pPr>
        <w:pStyle w:val="Compact"/>
        <w:numPr>
          <w:ilvl w:val="1"/>
          <w:numId w:val="1011"/>
        </w:numPr>
      </w:pPr>
      <w:r>
        <w:rPr>
          <w:b/>
          <w:bCs/>
        </w:rPr>
        <w:t xml:space="preserve">Formulation 1 (Low-viscosity):</w:t>
      </w:r>
      <w:r>
        <w:t xml:space="preserve"> </w:t>
      </w:r>
      <w:r>
        <w:t xml:space="preserve">Releases too rapidly in the early phase (highest peak at 2–4 h) but suffers from rapid clearance/depletion by 6–8 h. It exceeds the early release target but fails the sustained release requirement.</w:t>
      </w:r>
    </w:p>
    <w:p>
      <w:pPr>
        <w:pStyle w:val="Compact"/>
        <w:numPr>
          <w:ilvl w:val="1"/>
          <w:numId w:val="1011"/>
        </w:numPr>
      </w:pPr>
      <w:r>
        <w:rPr>
          <w:b/>
          <w:bCs/>
        </w:rPr>
        <w:t xml:space="preserve">Formulation 3 (High-viscosity):</w:t>
      </w:r>
      <w:r>
        <w:t xml:space="preserve"> </w:t>
      </w:r>
      <w:r>
        <w:t xml:space="preserve">Releases too slowly, with the lowest peak and a prolonged tail. It significantly underperforms the early release target.</w:t>
      </w:r>
    </w:p>
    <w:p>
      <w:pPr>
        <w:pStyle w:val="Compact"/>
        <w:numPr>
          <w:ilvl w:val="1"/>
          <w:numId w:val="1011"/>
        </w:numPr>
      </w:pPr>
      <w:r>
        <w:rPr>
          <w:b/>
          <w:bCs/>
        </w:rPr>
        <w:t xml:space="preserve">Formulation 2 (Standard):</w:t>
      </w:r>
      <w:r>
        <w:t xml:space="preserve"> </w:t>
      </w:r>
      <w:r>
        <w:t xml:space="preserve">Represents an intermediate state but is slightly too restrictive in the first 4 hours. The mechanistic barrier (gel layer) formed by its current HPMC K4M/100lv ratio impedes the desired early flux.</w:t>
      </w:r>
    </w:p>
    <w:p>
      <w:pPr>
        <w:pStyle w:val="FirstParagraph"/>
      </w:pPr>
      <w:r>
        <w:t xml:space="preserve">To achieve the target, the next formulation must shift the release kinetics of Formulation 2 toward the faster early profile of Formulation 1, but only partially, to avoid the premature depletion observed in Formulation 1.</w:t>
      </w:r>
    </w:p>
    <w:bookmarkEnd w:id="29"/>
    <w:bookmarkStart w:id="30" w:name="X2b7bbf605a988a2a3019cd82fbc2d77306c7838"/>
    <w:p>
      <w:pPr>
        <w:pStyle w:val="1"/>
      </w:pPr>
      <w:r>
        <w:t xml:space="preserve">Evidence Summary from Existing Formulations</w:t>
      </w:r>
    </w:p>
    <w:p>
      <w:pPr>
        <w:pStyle w:val="FirstParagraph"/>
      </w:pPr>
      <w:r>
        <w:rPr>
          <w:b/>
          <w:bCs/>
        </w:rPr>
        <w:t xml:space="preserve">Concentration-Time Trends:</w:t>
      </w:r>
      <w:r>
        <w:t xml:space="preserve"> </w:t>
      </w:r>
      <w:r>
        <w:t xml:space="preserve">*</w:t>
      </w:r>
      <w:r>
        <w:t xml:space="preserve"> </w:t>
      </w:r>
      <w:r>
        <w:rPr>
          <w:b/>
          <w:bCs/>
        </w:rPr>
        <w:t xml:space="preserve">Formulation 1 (HPMC K4M: 1.06g / HPMC 100lv: 4.25g):</w:t>
      </w:r>
      <w:r>
        <w:t xml:space="preserve"> </w:t>
      </w:r>
      <w:r>
        <w:t xml:space="preserve">Characterized by a</w:t>
      </w:r>
      <w:r>
        <w:t xml:space="preserve"> </w:t>
      </w:r>
      <w:r>
        <w:t xml:space="preserve">“burst-like”</w:t>
      </w:r>
      <w:r>
        <w:t xml:space="preserve"> </w:t>
      </w:r>
      <w:r>
        <w:t xml:space="preserve">release with the highest absorbance peak at 2–4 hours, followed by a sharp decline to near-zero by 6–8 hours. This indicates weak gel strength and rapid matrix erosion or diffusion.</w:t>
      </w:r>
      <w:r>
        <w:t xml:space="preserve"> </w:t>
      </w:r>
      <w:r>
        <w:t xml:space="preserve">*</w:t>
      </w:r>
      <w:r>
        <w:t xml:space="preserve"> </w:t>
      </w:r>
      <w:r>
        <w:rPr>
          <w:b/>
          <w:bCs/>
        </w:rPr>
        <w:t xml:space="preserve">Formulation 2 (HPMC K4M: 2.50g / HPMC 100lv: 2.82g):</w:t>
      </w:r>
      <w:r>
        <w:t xml:space="preserve"> </w:t>
      </w:r>
      <w:r>
        <w:t xml:space="preserve">Shows a moderate early rise, reaching a sustained plateau from 2–6 hours. The decline is slower than Formulation 1, indicating better gel integrity. However, the cumulative release at 4 hours is below the 110% target.</w:t>
      </w:r>
      <w:r>
        <w:t xml:space="preserve"> </w:t>
      </w:r>
      <w:r>
        <w:t xml:space="preserve">*</w:t>
      </w:r>
      <w:r>
        <w:t xml:space="preserve"> </w:t>
      </w:r>
      <w:r>
        <w:rPr>
          <w:b/>
          <w:bCs/>
        </w:rPr>
        <w:t xml:space="preserve">Formulation 3 (HPMC K4M: 4.25g / HPMC 100lv: 1.07g):</w:t>
      </w:r>
      <w:r>
        <w:t xml:space="preserve"> </w:t>
      </w:r>
      <w:r>
        <w:t xml:space="preserve">Exhibits the slowest onset and lowest peak, with persistent low-level release up to 24 hours. The high K4M content creates a dense, highly resistant gel layer that restricts early drug flux.</w:t>
      </w:r>
    </w:p>
    <w:p>
      <w:pPr>
        <w:pStyle w:val="BodyText"/>
      </w:pPr>
      <w:r>
        <w:rPr>
          <w:b/>
          <w:bCs/>
        </w:rPr>
        <w:t xml:space="preserve">Mechanistic Interpretation:</w:t>
      </w:r>
      <w:r>
        <w:t xml:space="preserve"> </w:t>
      </w:r>
      <w:r>
        <w:t xml:space="preserve">*</w:t>
      </w:r>
      <w:r>
        <w:t xml:space="preserve"> </w:t>
      </w:r>
      <w:r>
        <w:rPr>
          <w:b/>
          <w:bCs/>
        </w:rPr>
        <w:t xml:space="preserve">Viscosity Ratio Impact:</w:t>
      </w:r>
      <w:r>
        <w:t xml:space="preserve"> </w:t>
      </w:r>
      <w:r>
        <w:t xml:space="preserve">The data confirms that increasing the proportion of high-viscosity HPMC K4M relative to low-viscosity HPMC 100lv increases gel layer resistance, thereby slowing early release. Conversely, increasing HPMC 100lv reduces initial viscosity, facilitating faster water ingress and drug diffusion.</w:t>
      </w:r>
      <w:r>
        <w:t xml:space="preserve"> </w:t>
      </w:r>
      <w:r>
        <w:t xml:space="preserve">*</w:t>
      </w:r>
      <w:r>
        <w:t xml:space="preserve"> </w:t>
      </w:r>
      <w:r>
        <w:rPr>
          <w:b/>
          <w:bCs/>
        </w:rPr>
        <w:t xml:space="preserve">Gap Identification:</w:t>
      </w:r>
      <w:r>
        <w:t xml:space="preserve"> </w:t>
      </w:r>
      <w:r>
        <w:t xml:space="preserve">Formulation 2’s current ratio (approx. 0.89 K4M/100lv mass ratio) provides sufficient sustainment but imposes a slight lag in the first 4 hours. To increase early release by 10%, the formulation requires a modest reduction in initial gel viscosity. This suggests shifting the polymer balance slightly toward the Formulation 1 profile (higher 100lv, lower K4M) without fully adopting its extreme ratio.</w:t>
      </w:r>
    </w:p>
    <w:p>
      <w:pPr>
        <w:pStyle w:val="BodyText"/>
      </w:pPr>
      <w:r>
        <w:rPr>
          <w:b/>
          <w:bCs/>
        </w:rPr>
        <w:t xml:space="preserve">Image Analysis Note:</w:t>
      </w:r>
      <w:r>
        <w:t xml:space="preserve"> </w:t>
      </w:r>
      <w:r>
        <w:t xml:space="preserve">No image analysis results were provided. Therefore, the recommendation relies exclusively on the correlation between polymer composition and concentration-time profiles. Visual confirmation of gel layer thickness and erosion patterns would strengthen future iterations.</w:t>
      </w:r>
    </w:p>
    <w:bookmarkEnd w:id="30"/>
    <w:bookmarkStart w:id="31" w:name="X1e3359ef327fb18f09de81b889ab689d3fd32b2"/>
    <w:p>
      <w:pPr>
        <w:pStyle w:val="1"/>
      </w:pPr>
      <w:r>
        <w:t xml:space="preserve">Recommended Formulation Optimization Proposal</w:t>
      </w:r>
    </w:p>
    <w:p>
      <w:pPr>
        <w:pStyle w:val="FirstParagraph"/>
      </w:pPr>
      <w:r>
        <w:t xml:space="preserve">Based on the evidence, the recommended next-iteration formulation involves a</w:t>
      </w:r>
      <w:r>
        <w:t xml:space="preserve"> </w:t>
      </w:r>
      <w:r>
        <w:rPr>
          <w:b/>
          <w:bCs/>
        </w:rPr>
        <w:t xml:space="preserve">moderate decrease in HPMC K4M</w:t>
      </w:r>
      <w:r>
        <w:t xml:space="preserve"> </w:t>
      </w:r>
      <w:r>
        <w:t xml:space="preserve">and a</w:t>
      </w:r>
      <w:r>
        <w:t xml:space="preserve"> </w:t>
      </w:r>
      <w:r>
        <w:rPr>
          <w:b/>
          <w:bCs/>
        </w:rPr>
        <w:t xml:space="preserve">corresponding moderate increase in HPMC 100lv</w:t>
      </w:r>
      <w:r>
        <w:t xml:space="preserve">, while keeping the total polymer mass and other excipients constant. This adjustment aims to lower the initial gel viscosity to enhance early flux (0–4 h) while maintaining enough high-viscosity polymer to prevent the rapid depletion seen in Formulation 1.</w:t>
      </w:r>
    </w:p>
    <w:p>
      <w:pPr>
        <w:pStyle w:val="BodyText"/>
      </w:pPr>
      <w:r>
        <w:rPr>
          <w:b/>
          <w:bCs/>
        </w:rPr>
        <w:t xml:space="preserve">Proposed Composition for Next Iteration (Formulation 2-Optimized):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Ingredient</w:t>
            </w:r>
          </w:p>
        </w:tc>
        <w:tc>
          <w:tcPr/>
          <w:p>
            <w:pPr>
              <w:pStyle w:val="Compact"/>
              <w:jc w:val="left"/>
            </w:pPr>
            <w:r>
              <w:t xml:space="preserve">Current Mass (Formulation 2)</w:t>
            </w:r>
          </w:p>
        </w:tc>
        <w:tc>
          <w:tcPr/>
          <w:p>
            <w:pPr>
              <w:pStyle w:val="Compact"/>
              <w:jc w:val="left"/>
            </w:pPr>
            <w:r>
              <w:t xml:space="preserve">Proposed Mass (Next Iteration)</w:t>
            </w:r>
          </w:p>
        </w:tc>
        <w:tc>
          <w:tcPr/>
          <w:p>
            <w:pPr>
              <w:pStyle w:val="Compact"/>
              <w:jc w:val="left"/>
            </w:pPr>
            <w:r>
              <w:t xml:space="preserve">Change Direction</w:t>
            </w:r>
          </w:p>
        </w:tc>
      </w:tr>
      <w:tr>
        <w:tc>
          <w:tcPr/>
          <w:p>
            <w:pPr>
              <w:pStyle w:val="Compact"/>
              <w:jc w:val="left"/>
            </w:pPr>
            <w:r>
              <w:rPr>
                <w:b/>
                <w:bCs/>
              </w:rPr>
              <w:t xml:space="preserve">Methylene Blue</w:t>
            </w:r>
          </w:p>
        </w:tc>
        <w:tc>
          <w:tcPr/>
          <w:p>
            <w:pPr>
              <w:pStyle w:val="Compact"/>
              <w:jc w:val="left"/>
            </w:pPr>
            <w:r>
              <w:t xml:space="preserve">0.1420</w:t>
            </w:r>
          </w:p>
        </w:tc>
        <w:tc>
          <w:tcPr/>
          <w:p>
            <w:pPr>
              <w:pStyle w:val="Compact"/>
              <w:jc w:val="left"/>
            </w:pPr>
            <w:r>
              <w:t xml:space="preserve">0.1420</w:t>
            </w:r>
          </w:p>
        </w:tc>
        <w:tc>
          <w:tcPr/>
          <w:p>
            <w:pPr>
              <w:pStyle w:val="Compact"/>
              <w:jc w:val="left"/>
            </w:pPr>
            <w:r>
              <w:t xml:space="preserve">Maintain</w:t>
            </w:r>
          </w:p>
        </w:tc>
      </w:tr>
      <w:tr>
        <w:tc>
          <w:tcPr/>
          <w:p>
            <w:pPr>
              <w:pStyle w:val="Compact"/>
              <w:jc w:val="left"/>
            </w:pPr>
            <w:r>
              <w:rPr>
                <w:b/>
                <w:bCs/>
              </w:rPr>
              <w:t xml:space="preserve">Silicon Dioxide</w:t>
            </w:r>
          </w:p>
        </w:tc>
        <w:tc>
          <w:tcPr/>
          <w:p>
            <w:pPr>
              <w:pStyle w:val="Compact"/>
              <w:jc w:val="left"/>
            </w:pPr>
            <w:r>
              <w:t xml:space="preserve">0.0503</w:t>
            </w:r>
          </w:p>
        </w:tc>
        <w:tc>
          <w:tcPr/>
          <w:p>
            <w:pPr>
              <w:pStyle w:val="Compact"/>
              <w:jc w:val="left"/>
            </w:pPr>
            <w:r>
              <w:t xml:space="preserve">0.0503</w:t>
            </w:r>
          </w:p>
        </w:tc>
        <w:tc>
          <w:tcPr/>
          <w:p>
            <w:pPr>
              <w:pStyle w:val="Compact"/>
              <w:jc w:val="left"/>
            </w:pPr>
            <w:r>
              <w:t xml:space="preserve">Maintain</w:t>
            </w:r>
          </w:p>
        </w:tc>
      </w:tr>
      <w:tr>
        <w:tc>
          <w:tcPr/>
          <w:p>
            <w:pPr>
              <w:pStyle w:val="Compact"/>
              <w:jc w:val="left"/>
            </w:pPr>
            <w:r>
              <w:rPr>
                <w:b/>
                <w:bCs/>
              </w:rPr>
              <w:t xml:space="preserve">Magnesium Stearate</w:t>
            </w:r>
          </w:p>
        </w:tc>
        <w:tc>
          <w:tcPr/>
          <w:p>
            <w:pPr>
              <w:pStyle w:val="Compact"/>
              <w:jc w:val="left"/>
            </w:pPr>
            <w:r>
              <w:t xml:space="preserve">0.1278</w:t>
            </w:r>
          </w:p>
        </w:tc>
        <w:tc>
          <w:tcPr/>
          <w:p>
            <w:pPr>
              <w:pStyle w:val="Compact"/>
              <w:jc w:val="left"/>
            </w:pPr>
            <w:r>
              <w:t xml:space="preserve">0.1278</w:t>
            </w:r>
          </w:p>
        </w:tc>
        <w:tc>
          <w:tcPr/>
          <w:p>
            <w:pPr>
              <w:pStyle w:val="Compact"/>
              <w:jc w:val="left"/>
            </w:pPr>
            <w:r>
              <w:t xml:space="preserve">Maintain</w:t>
            </w:r>
          </w:p>
        </w:tc>
      </w:tr>
      <w:tr>
        <w:tc>
          <w:tcPr/>
          <w:p>
            <w:pPr>
              <w:pStyle w:val="Compact"/>
              <w:jc w:val="left"/>
            </w:pPr>
            <w:r>
              <w:rPr>
                <w:b/>
                <w:bCs/>
              </w:rPr>
              <w:t xml:space="preserve">Microcrystalline Cellulose</w:t>
            </w:r>
          </w:p>
        </w:tc>
        <w:tc>
          <w:tcPr/>
          <w:p>
            <w:pPr>
              <w:pStyle w:val="Compact"/>
              <w:jc w:val="left"/>
            </w:pPr>
            <w:r>
              <w:t xml:space="preserve">9.6893</w:t>
            </w:r>
          </w:p>
        </w:tc>
        <w:tc>
          <w:tcPr/>
          <w:p>
            <w:pPr>
              <w:pStyle w:val="Compact"/>
              <w:jc w:val="left"/>
            </w:pPr>
            <w:r>
              <w:t xml:space="preserve">9.6893</w:t>
            </w:r>
          </w:p>
        </w:tc>
        <w:tc>
          <w:tcPr/>
          <w:p>
            <w:pPr>
              <w:pStyle w:val="Compact"/>
              <w:jc w:val="left"/>
            </w:pPr>
            <w:r>
              <w:t xml:space="preserve">Maintain</w:t>
            </w:r>
          </w:p>
        </w:tc>
      </w:tr>
      <w:tr>
        <w:tc>
          <w:tcPr/>
          <w:p>
            <w:pPr>
              <w:pStyle w:val="Compact"/>
              <w:jc w:val="left"/>
            </w:pPr>
            <w:r>
              <w:rPr>
                <w:b/>
                <w:bCs/>
              </w:rPr>
              <w:t xml:space="preserve">Lactose</w:t>
            </w:r>
          </w:p>
        </w:tc>
        <w:tc>
          <w:tcPr/>
          <w:p>
            <w:pPr>
              <w:pStyle w:val="Compact"/>
              <w:jc w:val="left"/>
            </w:pPr>
            <w:r>
              <w:t xml:space="preserve">9.6830</w:t>
            </w:r>
          </w:p>
        </w:tc>
        <w:tc>
          <w:tcPr/>
          <w:p>
            <w:pPr>
              <w:pStyle w:val="Compact"/>
              <w:jc w:val="left"/>
            </w:pPr>
            <w:r>
              <w:t xml:space="preserve">9.6830</w:t>
            </w:r>
          </w:p>
        </w:tc>
        <w:tc>
          <w:tcPr/>
          <w:p>
            <w:pPr>
              <w:pStyle w:val="Compact"/>
              <w:jc w:val="left"/>
            </w:pPr>
            <w:r>
              <w:t xml:space="preserve">Maintain</w:t>
            </w:r>
          </w:p>
        </w:tc>
      </w:tr>
      <w:tr>
        <w:tc>
          <w:tcPr/>
          <w:p>
            <w:pPr>
              <w:pStyle w:val="Compact"/>
              <w:jc w:val="left"/>
            </w:pPr>
            <w:r>
              <w:rPr>
                <w:b/>
                <w:bCs/>
              </w:rPr>
              <w:t xml:space="preserve">HPMC K4M (High Viscosity)</w:t>
            </w:r>
          </w:p>
        </w:tc>
        <w:tc>
          <w:tcPr/>
          <w:p>
            <w:pPr>
              <w:pStyle w:val="Compact"/>
              <w:jc w:val="left"/>
            </w:pPr>
            <w:r>
              <w:rPr>
                <w:b/>
                <w:bCs/>
              </w:rPr>
              <w:t xml:space="preserve">2.5037</w:t>
            </w:r>
          </w:p>
        </w:tc>
        <w:tc>
          <w:tcPr/>
          <w:p>
            <w:pPr>
              <w:pStyle w:val="Compact"/>
              <w:jc w:val="left"/>
            </w:pPr>
            <w:r>
              <w:rPr>
                <w:b/>
                <w:bCs/>
              </w:rPr>
              <w:t xml:space="preserve">2.1000</w:t>
            </w:r>
          </w:p>
        </w:tc>
        <w:tc>
          <w:tcPr/>
          <w:p>
            <w:pPr>
              <w:pStyle w:val="Compact"/>
              <w:jc w:val="left"/>
            </w:pPr>
            <w:r>
              <w:rPr>
                <w:b/>
                <w:bCs/>
              </w:rPr>
              <w:t xml:space="preserve">Decrease</w:t>
            </w:r>
          </w:p>
        </w:tc>
      </w:tr>
      <w:tr>
        <w:tc>
          <w:tcPr/>
          <w:p>
            <w:pPr>
              <w:pStyle w:val="Compact"/>
              <w:jc w:val="left"/>
            </w:pPr>
            <w:r>
              <w:rPr>
                <w:b/>
                <w:bCs/>
              </w:rPr>
              <w:t xml:space="preserve">HPMC 100lv (Low Viscosity)</w:t>
            </w:r>
          </w:p>
        </w:tc>
        <w:tc>
          <w:tcPr/>
          <w:p>
            <w:pPr>
              <w:pStyle w:val="Compact"/>
              <w:jc w:val="left"/>
            </w:pPr>
            <w:r>
              <w:rPr>
                <w:b/>
                <w:bCs/>
              </w:rPr>
              <w:t xml:space="preserve">2.8171</w:t>
            </w:r>
          </w:p>
        </w:tc>
        <w:tc>
          <w:tcPr/>
          <w:p>
            <w:pPr>
              <w:pStyle w:val="Compact"/>
              <w:jc w:val="left"/>
            </w:pPr>
            <w:r>
              <w:rPr>
                <w:b/>
                <w:bCs/>
              </w:rPr>
              <w:t xml:space="preserve">3.2208</w:t>
            </w:r>
          </w:p>
        </w:tc>
        <w:tc>
          <w:tcPr/>
          <w:p>
            <w:pPr>
              <w:pStyle w:val="Compact"/>
              <w:jc w:val="left"/>
            </w:pPr>
            <w:r>
              <w:rPr>
                <w:b/>
                <w:bCs/>
              </w:rPr>
              <w:t xml:space="preserve">Increase</w:t>
            </w:r>
          </w:p>
        </w:tc>
      </w:tr>
      <w:tr>
        <w:tc>
          <w:tcPr/>
          <w:p>
            <w:pPr>
              <w:pStyle w:val="Compact"/>
              <w:jc w:val="left"/>
            </w:pPr>
            <w:r>
              <w:rPr>
                <w:b/>
                <w:bCs/>
              </w:rPr>
              <w:t xml:space="preserve">Total Polymer Mass</w:t>
            </w:r>
          </w:p>
        </w:tc>
        <w:tc>
          <w:tcPr/>
          <w:p>
            <w:pPr>
              <w:pStyle w:val="Compact"/>
              <w:jc w:val="left"/>
            </w:pPr>
            <w:r>
              <w:rPr>
                <w:b/>
                <w:bCs/>
              </w:rPr>
              <w:t xml:space="preserve">5.3208</w:t>
            </w:r>
          </w:p>
        </w:tc>
        <w:tc>
          <w:tcPr/>
          <w:p>
            <w:pPr>
              <w:pStyle w:val="Compact"/>
              <w:jc w:val="left"/>
            </w:pPr>
            <w:r>
              <w:rPr>
                <w:b/>
                <w:bCs/>
              </w:rPr>
              <w:t xml:space="preserve">5.3208</w:t>
            </w:r>
          </w:p>
        </w:tc>
        <w:tc>
          <w:tcPr/>
          <w:p>
            <w:pPr>
              <w:pStyle w:val="Compact"/>
              <w:jc w:val="left"/>
            </w:pPr>
            <w:r>
              <w:rPr>
                <w:b/>
                <w:bCs/>
              </w:rPr>
              <w:t xml:space="preserve">Constant</w:t>
            </w:r>
          </w:p>
        </w:tc>
      </w:tr>
    </w:tbl>
    <w:p>
      <w:pPr>
        <w:pStyle w:val="BodyText"/>
      </w:pPr>
      <w:r>
        <w:rPr>
          <w:b/>
          <w:bCs/>
        </w:rPr>
        <w:t xml:space="preserve">Key Adjustment Metrics:</w:t>
      </w:r>
      <w:r>
        <w:t xml:space="preserve"> </w:t>
      </w:r>
      <w:r>
        <w:t xml:space="preserve">*</w:t>
      </w:r>
      <w:r>
        <w:t xml:space="preserve"> </w:t>
      </w:r>
      <w:r>
        <w:rPr>
          <w:b/>
          <w:bCs/>
        </w:rPr>
        <w:t xml:space="preserve">HPMC K4M:</w:t>
      </w:r>
      <w:r>
        <w:t xml:space="preserve"> </w:t>
      </w:r>
      <w:r>
        <w:t xml:space="preserve">Reduced by ~0.40 g (approx. 16% reduction from baseline).</w:t>
      </w:r>
      <w:r>
        <w:t xml:space="preserve"> </w:t>
      </w:r>
      <w:r>
        <w:t xml:space="preserve">*</w:t>
      </w:r>
      <w:r>
        <w:t xml:space="preserve"> </w:t>
      </w:r>
      <w:r>
        <w:rPr>
          <w:b/>
          <w:bCs/>
        </w:rPr>
        <w:t xml:space="preserve">HPMC 100lv:</w:t>
      </w:r>
      <w:r>
        <w:t xml:space="preserve"> </w:t>
      </w:r>
      <w:r>
        <w:t xml:space="preserve">Increased by ~0.40 g (approx. 14% increase from baseline).</w:t>
      </w:r>
      <w:r>
        <w:t xml:space="preserve"> </w:t>
      </w:r>
      <w:r>
        <w:t xml:space="preserve">*</w:t>
      </w:r>
      <w:r>
        <w:t xml:space="preserve"> </w:t>
      </w:r>
      <w:r>
        <w:rPr>
          <w:b/>
          <w:bCs/>
        </w:rPr>
        <w:t xml:space="preserve">New K4M/100lv Mass Ratio:</w:t>
      </w:r>
      <w:r>
        <w:t xml:space="preserve"> </w:t>
      </w:r>
      <w:r>
        <w:t xml:space="preserve">Shifts from ~0.89 (Formulation 2) to ~0.65. This places the new formulation mechanically between Formulation 2 (0.89) and Formulation 1 (0.25), closer to Formulation 2 but with distinctly lower initial viscosity.</w:t>
      </w:r>
    </w:p>
    <w:bookmarkEnd w:id="31"/>
    <w:bookmarkStart w:id="32" w:name="adjustment-rationale"/>
    <w:p>
      <w:pPr>
        <w:pStyle w:val="1"/>
      </w:pPr>
      <w:r>
        <w:t xml:space="preserve">Adjustment Rationale</w:t>
      </w:r>
    </w:p>
    <w:p>
      <w:pPr>
        <w:pStyle w:val="Compact"/>
        <w:numPr>
          <w:ilvl w:val="0"/>
          <w:numId w:val="1012"/>
        </w:numPr>
      </w:pPr>
      <w:r>
        <w:rPr>
          <w:b/>
          <w:bCs/>
        </w:rPr>
        <w:t xml:space="preserve">Decrease HPMC K4M (2.50g → 2.10g):</w:t>
      </w:r>
    </w:p>
    <w:p>
      <w:pPr>
        <w:pStyle w:val="Compact"/>
        <w:numPr>
          <w:ilvl w:val="1"/>
          <w:numId w:val="1013"/>
        </w:numPr>
      </w:pPr>
      <w:r>
        <w:rPr>
          <w:b/>
          <w:bCs/>
        </w:rPr>
        <w:t xml:space="preserve">Evidence Support:</w:t>
      </w:r>
      <w:r>
        <w:t xml:space="preserve"> </w:t>
      </w:r>
      <w:r>
        <w:t xml:space="preserve">Formulation 3 (high K4M) showed the slowest release, while Formulation 1 (low K4M) showed the fastest. Formulation 2 is intermediate but needs faster early release.</w:t>
      </w:r>
    </w:p>
    <w:p>
      <w:pPr>
        <w:pStyle w:val="Compact"/>
        <w:numPr>
          <w:ilvl w:val="1"/>
          <w:numId w:val="1013"/>
        </w:numPr>
      </w:pPr>
      <w:r>
        <w:rPr>
          <w:b/>
          <w:bCs/>
        </w:rPr>
        <w:t xml:space="preserve">Mechanistic Effect:</w:t>
      </w:r>
      <w:r>
        <w:t xml:space="preserve"> </w:t>
      </w:r>
      <w:r>
        <w:t xml:space="preserve">Reducing the high-viscosity component decreases the density and rheological strength of the initial gel layer formed at pH 1.2. This lowers the diffusion path resistance, allowing methylene blue to escape the matrix more readily during the first 4 hours.</w:t>
      </w:r>
    </w:p>
    <w:p>
      <w:pPr>
        <w:pStyle w:val="Compact"/>
        <w:numPr>
          <w:ilvl w:val="0"/>
          <w:numId w:val="1012"/>
        </w:numPr>
      </w:pPr>
      <w:r>
        <w:rPr>
          <w:b/>
          <w:bCs/>
        </w:rPr>
        <w:t xml:space="preserve">Increase HPMC 100lv (2.82g → 3.22g):</w:t>
      </w:r>
    </w:p>
    <w:p>
      <w:pPr>
        <w:pStyle w:val="Compact"/>
        <w:numPr>
          <w:ilvl w:val="1"/>
          <w:numId w:val="1014"/>
        </w:numPr>
      </w:pPr>
      <w:r>
        <w:rPr>
          <w:b/>
          <w:bCs/>
        </w:rPr>
        <w:t xml:space="preserve">Evidence Support:</w:t>
      </w:r>
      <w:r>
        <w:t xml:space="preserve"> </w:t>
      </w:r>
      <w:r>
        <w:t xml:space="preserve">Formulation 1 (high 100lv) demonstrated rapid early uptake. Increasing 100lv in Formulation 2 mimics this tendency to a controlled degree.</w:t>
      </w:r>
    </w:p>
    <w:p>
      <w:pPr>
        <w:pStyle w:val="Compact"/>
        <w:numPr>
          <w:ilvl w:val="1"/>
          <w:numId w:val="1014"/>
        </w:numPr>
      </w:pPr>
      <w:r>
        <w:rPr>
          <w:b/>
          <w:bCs/>
        </w:rPr>
        <w:t xml:space="preserve">Mechanistic Effect:</w:t>
      </w:r>
      <w:r>
        <w:t xml:space="preserve"> </w:t>
      </w:r>
      <w:r>
        <w:t xml:space="preserve">HPMC 100lv hydrates quickly but forms a weaker gel. Increasing its proportion facilitates faster water penetration into the tablet core during the acidic phase (0–1 h) and immediately after the pH switch (1–4 h). This accelerates the establishment of the diffusion channel network.</w:t>
      </w:r>
    </w:p>
    <w:p>
      <w:pPr>
        <w:pStyle w:val="Compact"/>
        <w:numPr>
          <w:ilvl w:val="0"/>
          <w:numId w:val="1012"/>
        </w:numPr>
      </w:pPr>
      <w:r>
        <w:rPr>
          <w:b/>
          <w:bCs/>
        </w:rPr>
        <w:t xml:space="preserve">Maintain Total Polymer Mass and Excipients:</w:t>
      </w:r>
    </w:p>
    <w:p>
      <w:pPr>
        <w:pStyle w:val="Compact"/>
        <w:numPr>
          <w:ilvl w:val="1"/>
          <w:numId w:val="1015"/>
        </w:numPr>
      </w:pPr>
      <w:r>
        <w:rPr>
          <w:b/>
          <w:bCs/>
        </w:rPr>
        <w:t xml:space="preserve">Rationale:</w:t>
      </w:r>
      <w:r>
        <w:t xml:space="preserve"> </w:t>
      </w:r>
      <w:r>
        <w:t xml:space="preserve">Keeping the total polymer load constant isolates the effect of the</w:t>
      </w:r>
      <w:r>
        <w:t xml:space="preserve"> </w:t>
      </w:r>
      <w:r>
        <w:rPr>
          <w:i/>
          <w:iCs/>
        </w:rPr>
        <w:t xml:space="preserve">viscosity ratio</w:t>
      </w:r>
      <w:r>
        <w:t xml:space="preserve"> </w:t>
      </w:r>
      <w:r>
        <w:t xml:space="preserve">rather than total polymer content. This ensures that any change in release profile is attributable to the K4M/100lv balance, aligning with the optimization strategy notes. Maintaining fillers (MCC, Lactose) ensures consistent tablet geometry and porosity.</w:t>
      </w:r>
    </w:p>
    <w:p>
      <w:pPr>
        <w:pStyle w:val="Compact"/>
        <w:numPr>
          <w:ilvl w:val="0"/>
          <w:numId w:val="1012"/>
        </w:numPr>
      </w:pPr>
      <w:r>
        <w:rPr>
          <w:b/>
          <w:bCs/>
        </w:rPr>
        <w:t xml:space="preserve">Avoiding Formulation 1’s Extreme:</w:t>
      </w:r>
    </w:p>
    <w:p>
      <w:pPr>
        <w:pStyle w:val="Compact"/>
        <w:numPr>
          <w:ilvl w:val="1"/>
          <w:numId w:val="1016"/>
        </w:numPr>
      </w:pPr>
      <w:r>
        <w:rPr>
          <w:b/>
          <w:bCs/>
        </w:rPr>
        <w:t xml:space="preserve">Rationale:</w:t>
      </w:r>
      <w:r>
        <w:t xml:space="preserve"> </w:t>
      </w:r>
      <w:r>
        <w:t xml:space="preserve">Formulation 1’s ratio (K4M: 1.06g / 100lv: 4.25g) caused premature depletion. The proposed ratio (K4M: 2.10g / 100lv: 3.22g) retains significantly more K4M than Formulation 1. This residual K4M is expected to provide sufficient gel strength to sustain release beyond 6 hours, preventing the</w:t>
      </w:r>
      <w:r>
        <w:t xml:space="preserve"> </w:t>
      </w:r>
      <w:r>
        <w:t xml:space="preserve">“sharp decline”</w:t>
      </w:r>
      <w:r>
        <w:t xml:space="preserve"> </w:t>
      </w:r>
      <w:r>
        <w:t xml:space="preserve">observed in Formulation 1.</w:t>
      </w:r>
    </w:p>
    <w:bookmarkEnd w:id="32"/>
    <w:bookmarkStart w:id="33" w:name="expected-behavioral-change"/>
    <w:p>
      <w:pPr>
        <w:pStyle w:val="1"/>
      </w:pPr>
      <w:r>
        <w:t xml:space="preserve">Expected Behavioral Change</w:t>
      </w:r>
    </w:p>
    <w:p>
      <w:pPr>
        <w:pStyle w:val="Compact"/>
        <w:numPr>
          <w:ilvl w:val="0"/>
          <w:numId w:val="1017"/>
        </w:numPr>
      </w:pPr>
      <w:r>
        <w:rPr>
          <w:b/>
          <w:bCs/>
        </w:rPr>
        <w:t xml:space="preserve">Early Phase (0–4 Hours):</w:t>
      </w:r>
      <w:r>
        <w:t xml:space="preserve"> </w:t>
      </w:r>
      <w:r>
        <w:t xml:space="preserve">The reduced initial gel viscosity is expected to increase the cumulative release amount by approximately 10–15% compared to Formulation 2, potentially meeting or exceeding the 110% target. The absorbance curve should rise more steeply in the first 2 hours, approaching the trajectory of Formulation 1 but with a lower peak magnitude.</w:t>
      </w:r>
    </w:p>
    <w:p>
      <w:pPr>
        <w:pStyle w:val="Compact"/>
        <w:numPr>
          <w:ilvl w:val="0"/>
          <w:numId w:val="1017"/>
        </w:numPr>
      </w:pPr>
      <w:r>
        <w:rPr>
          <w:b/>
          <w:bCs/>
        </w:rPr>
        <w:t xml:space="preserve">Mid Phase (4–8 Hours):</w:t>
      </w:r>
      <w:r>
        <w:t xml:space="preserve"> </w:t>
      </w:r>
      <w:r>
        <w:t xml:space="preserve">The formulation should maintain a high plateau similar to Formulation 2, though potentially slightly elevated due to the higher early flux. The decline should be slower than Formulation 1, indicating that the remaining K4M is successfully sustaining the matrix integrity.</w:t>
      </w:r>
    </w:p>
    <w:p>
      <w:pPr>
        <w:pStyle w:val="Compact"/>
        <w:numPr>
          <w:ilvl w:val="0"/>
          <w:numId w:val="1017"/>
        </w:numPr>
      </w:pPr>
      <w:r>
        <w:rPr>
          <w:b/>
          <w:bCs/>
        </w:rPr>
        <w:t xml:space="preserve">Late Phase (8–24 Hours):</w:t>
      </w:r>
      <w:r>
        <w:t xml:space="preserve"> </w:t>
      </w:r>
      <w:r>
        <w:t xml:space="preserve">Release should continue at a controlled, declining rate, avoiding the near-zero clearance seen in Formulation 1. The tail may be slightly shorter than Formulation 3 but longer than Formulation 1, representing a balanced sustained-release profile.</w:t>
      </w:r>
    </w:p>
    <w:bookmarkEnd w:id="33"/>
    <w:bookmarkStart w:id="34" w:name="uncertainty-and-validation-needs"/>
    <w:p>
      <w:pPr>
        <w:pStyle w:val="1"/>
      </w:pPr>
      <w:r>
        <w:t xml:space="preserve">Uncertainty and Validation Needs</w:t>
      </w:r>
    </w:p>
    <w:p>
      <w:pPr>
        <w:pStyle w:val="Compact"/>
        <w:numPr>
          <w:ilvl w:val="0"/>
          <w:numId w:val="1018"/>
        </w:numPr>
      </w:pPr>
      <w:r>
        <w:rPr>
          <w:b/>
          <w:bCs/>
        </w:rPr>
        <w:t xml:space="preserve">Lack of Visual Mechanistic Data:</w:t>
      </w:r>
      <w:r>
        <w:t xml:space="preserve"> </w:t>
      </w:r>
      <w:r>
        <w:t xml:space="preserve">The recommendation is based solely on concentration trends. Without image analysis, it is uncertain whether the release limitation in Formulation 2 is due to slow gel formation (lag time) or low gel permeability. If the issue is lag time, the proposed change will help; if it is purely permeability, the effect might be less pronounced.</w:t>
      </w:r>
    </w:p>
    <w:p>
      <w:pPr>
        <w:pStyle w:val="Compact"/>
        <w:numPr>
          <w:ilvl w:val="0"/>
          <w:numId w:val="1018"/>
        </w:numPr>
      </w:pPr>
      <w:r>
        <w:rPr>
          <w:b/>
          <w:bCs/>
        </w:rPr>
        <w:t xml:space="preserve">pH-Shift Interaction:</w:t>
      </w:r>
      <w:r>
        <w:t xml:space="preserve"> </w:t>
      </w:r>
      <w:r>
        <w:t xml:space="preserve">The impact of the pH switch (1.2 to 6.8 at 1 hour) on the modified gel layer is not visually confirmed. It is hypothesized that the thinner/less viscous gel will respond more quickly to the pH change, enhancing release in the 1–4 hour window.</w:t>
      </w:r>
    </w:p>
    <w:p>
      <w:pPr>
        <w:pStyle w:val="Compact"/>
        <w:numPr>
          <w:ilvl w:val="0"/>
          <w:numId w:val="1018"/>
        </w:numPr>
      </w:pPr>
      <w:r>
        <w:rPr>
          <w:b/>
          <w:bCs/>
        </w:rPr>
        <w:t xml:space="preserve">Validation Requirements:</w:t>
      </w:r>
    </w:p>
    <w:p>
      <w:pPr>
        <w:pStyle w:val="Compact"/>
        <w:numPr>
          <w:ilvl w:val="1"/>
          <w:numId w:val="1019"/>
        </w:numPr>
      </w:pPr>
      <w:r>
        <w:rPr>
          <w:b/>
          <w:bCs/>
        </w:rPr>
        <w:t xml:space="preserve">Run Dissolution Test:</w:t>
      </w:r>
      <w:r>
        <w:t xml:space="preserve"> </w:t>
      </w:r>
      <w:r>
        <w:t xml:space="preserve">Execute the flow-through cell experiment with the proposed formulation to verify if the 4-hour cumulative release reaches 110% of Formulation 2’s baseline.</w:t>
      </w:r>
    </w:p>
    <w:p>
      <w:pPr>
        <w:pStyle w:val="Compact"/>
        <w:numPr>
          <w:ilvl w:val="1"/>
          <w:numId w:val="1019"/>
        </w:numPr>
      </w:pPr>
      <w:r>
        <w:rPr>
          <w:b/>
          <w:bCs/>
        </w:rPr>
        <w:t xml:space="preserve">Image Analysis:</w:t>
      </w:r>
      <w:r>
        <w:t xml:space="preserve"> </w:t>
      </w:r>
      <w:r>
        <w:t xml:space="preserve">Capture images during the 0–4 hour window to observe gel layer thickness and integrity. Compare specifically against Formulation 2 to confirm that the gel is indeed less dense/thinner initially.</w:t>
      </w:r>
    </w:p>
    <w:p>
      <w:pPr>
        <w:pStyle w:val="Compact"/>
        <w:numPr>
          <w:ilvl w:val="1"/>
          <w:numId w:val="1019"/>
        </w:numPr>
      </w:pPr>
      <w:r>
        <w:rPr>
          <w:b/>
          <w:bCs/>
        </w:rPr>
        <w:t xml:space="preserve">Monitor Late-Stage Release:</w:t>
      </w:r>
      <w:r>
        <w:t xml:space="preserve"> </w:t>
      </w:r>
      <w:r>
        <w:t xml:space="preserve">Closely monitor the 8–24 hour profile to ensure that the increase in early release does not compromise the sustained nature of the tablet (i.e., avoid drifting toward Formulation 1’s depletion profile).</w:t>
      </w:r>
    </w:p>
    <w:p>
      <w:r>
        <w:pict>
          <v:rect style="width:0;height:1.5pt" o:hralign="center" o:hrstd="t" o:hr="t"/>
        </w:pict>
      </w:r>
    </w:p>
    <w:bookmarkEnd w:id="34"/>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ns0:settings xmlns:ns0="http://schemas.openxmlformats.org/wordprocessingml/2006/main">
  <ns0:zoom ns0:percent="100"/>
  <ns0:embedSystemFonts/>
  <ns0:bordersDoNotSurroundHeader/>
  <ns0:bordersDoNotSurroundFooter/>
  <ns0:proofState ns0:grammar="clean"/>
  <ns0:stylePaneFormatFilter ns0:allStyles="0" ns0:alternateStyleNames="0" ns0:clearFormatting="0" ns0:customStyles="0" ns0:directFormattingOnNumbering="0" ns0:directFormattingOnParagraphs="0" ns0:directFormattingOnRuns="0" ns0:directFormattingOnTables="0" ns0:headingStyles="0" ns0:latentStyles="1" ns0:numberingStyles="0" ns0:stylesInUse="0" ns0:tableStyles="0" ns0:top3HeadingStyles="0" ns0:val="0004" ns0:visibleStyles="0"/>
  <ns0:doNotTrackMoves/>
  <ns0:defaultTabStop ns0:val="420"/>
  <ns0:drawingGridHorizontalSpacing ns0:val="360"/>
  <ns0:drawingGridVerticalSpacing ns0:val="156"/>
  <ns0:displayHorizontalDrawingGridEvery ns0:val="0"/>
  <ns0:displayVerticalDrawingGridEvery ns0:val="2"/>
  <ns0:characterSpacingControl ns0:val="compressPunctuation"/>
  <ns0:savePreviewPicture/>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1685B"/>
    <ns0:rsid ns0:val="002C5CDE"/>
    <ns0:rsid ns0:val="00377025"/>
    <ns0:rsid ns0:val="004276F3"/>
    <ns0:rsid ns0:val="0051685B"/>
    <ns0:rsid ns0:val="006452E8"/>
    <ns0:rsid ns0:val="00970A3B"/>
    <ns0:rsid ns0:val="00BD72EF"/>
    <ns0:rsid ns0:val="00D85068"/>
    <ns0:rsid ns0:val="00F77E3D"/>
  </ns0:rsids>
  <ns0:themeFontLang ns0:eastAsia="zh-CN"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ns0:Relationships xmlns:ns0="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creator/>
  <ns0:keywords/>
  <ns2:created xsi:type="dcterms:W3CDTF">2026-07-24T08:11:16Z</ns2:created>
  <ns2:modified xsi:type="dcterms:W3CDTF">2026-07-24T08:11:16Z</ns2:modified>
</ns0:coreProperties>
</file>

<file path=docProps/custom.xml><?xml version="1.0" encoding="utf-8"?>
<Properties xmlns="http://schemas.openxmlformats.org/officeDocument/2006/custom-properties" xmlns:vt="http://schemas.openxmlformats.org/officeDocument/2006/docPropsVTypes"/>
</file>