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773C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jc w:val="right"/>
        <w:textAlignment w:val="auto"/>
        <w:rPr>
          <w:rFonts w:hint="eastAsia" w:ascii="楷体_GB2312" w:hAnsi="楷体_GB2312" w:eastAsia="楷体_GB2312" w:cs="楷体_GB2312"/>
          <w:b w:val="0"/>
          <w:bCs w:val="0"/>
          <w:sz w:val="32"/>
          <w:szCs w:val="32"/>
        </w:rPr>
      </w:pPr>
      <w:r>
        <w:rPr>
          <w:rFonts w:hint="eastAsia" w:ascii="楷体_GB2312" w:hAnsi="楷体_GB2312" w:eastAsia="楷体_GB2312" w:cs="楷体_GB2312"/>
          <w:b w:val="0"/>
          <w:bCs w:val="0"/>
          <w:sz w:val="32"/>
          <w:szCs w:val="32"/>
          <w:lang w:eastAsia="zh-CN"/>
        </w:rPr>
        <w:t>编号：（穗南化工）</w:t>
      </w:r>
      <w:r>
        <w:rPr>
          <w:rFonts w:hint="eastAsia" w:ascii="楷体_GB2312" w:hAnsi="楷体_GB2312" w:eastAsia="楷体_GB2312" w:cs="楷体_GB2312"/>
          <w:b w:val="0"/>
          <w:bCs w:val="0"/>
          <w:sz w:val="32"/>
          <w:szCs w:val="32"/>
        </w:rPr>
        <w:t>督</w:t>
      </w:r>
      <w:r>
        <w:rPr>
          <w:rFonts w:hint="eastAsia" w:ascii="楷体_GB2312" w:hAnsi="楷体_GB2312" w:eastAsia="楷体_GB2312" w:cs="楷体_GB2312"/>
          <w:b w:val="0"/>
          <w:bCs w:val="0"/>
          <w:sz w:val="32"/>
          <w:szCs w:val="32"/>
          <w:lang w:eastAsia="zh-CN"/>
        </w:rPr>
        <w:t>办</w:t>
      </w:r>
      <w:r>
        <w:rPr>
          <w:rFonts w:hint="eastAsia" w:ascii="楷体_GB2312" w:hAnsi="楷体_GB2312" w:eastAsia="楷体_GB2312" w:cs="楷体_GB2312"/>
          <w:b w:val="0"/>
          <w:bCs w:val="0"/>
          <w:sz w:val="32"/>
          <w:szCs w:val="32"/>
        </w:rPr>
        <w:t>〔</w:t>
      </w:r>
      <w:r>
        <w:rPr>
          <w:rFonts w:hint="default" w:ascii="楷体_GB2312" w:hAnsi="楷体_GB2312" w:eastAsia="楷体_GB2312" w:cs="楷体_GB2312"/>
          <w:b w:val="0"/>
          <w:bCs w:val="0"/>
          <w:sz w:val="32"/>
          <w:szCs w:val="32"/>
          <w:lang w:val="en-US"/>
        </w:rPr>
        <w:t>{</w:t>
      </w:r>
      <w:r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  <w:t>year</w:t>
      </w:r>
      <w:r>
        <w:rPr>
          <w:rFonts w:hint="default" w:ascii="楷体_GB2312" w:hAnsi="楷体_GB2312" w:eastAsia="楷体_GB2312" w:cs="楷体_GB2312"/>
          <w:b w:val="0"/>
          <w:bCs w:val="0"/>
          <w:sz w:val="32"/>
          <w:szCs w:val="32"/>
          <w:lang w:val="en-US"/>
        </w:rPr>
        <w:t>}</w:t>
      </w:r>
      <w:r>
        <w:rPr>
          <w:rFonts w:hint="eastAsia" w:ascii="楷体_GB2312" w:hAnsi="楷体_GB2312" w:eastAsia="楷体_GB2312" w:cs="楷体_GB2312"/>
          <w:b w:val="0"/>
          <w:bCs w:val="0"/>
          <w:sz w:val="32"/>
          <w:szCs w:val="32"/>
        </w:rPr>
        <w:t>〕</w:t>
      </w:r>
      <w:r>
        <w:rPr>
          <w:rFonts w:hint="eastAsia" w:ascii="楷体_GB2312" w:hAnsi="楷体_GB2312" w:eastAsia="楷体_GB2312" w:cs="楷体_GB2312"/>
          <w:b w:val="0"/>
          <w:bCs w:val="0"/>
          <w:sz w:val="32"/>
          <w:szCs w:val="32"/>
          <w:lang w:val="en-US" w:eastAsia="zh-CN"/>
        </w:rPr>
        <w:t>001</w:t>
      </w:r>
      <w:r>
        <w:rPr>
          <w:rFonts w:hint="eastAsia" w:ascii="楷体_GB2312" w:hAnsi="楷体_GB2312" w:eastAsia="楷体_GB2312" w:cs="楷体_GB2312"/>
          <w:b w:val="0"/>
          <w:bCs w:val="0"/>
          <w:sz w:val="32"/>
          <w:szCs w:val="32"/>
        </w:rPr>
        <w:t>号</w:t>
      </w:r>
    </w:p>
    <w:p w14:paraId="7C9C00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jc w:val="right"/>
        <w:textAlignment w:val="auto"/>
        <w:rPr>
          <w:rFonts w:hint="eastAsia" w:ascii="楷体_GB2312" w:hAnsi="楷体_GB2312" w:eastAsia="楷体_GB2312" w:cs="楷体_GB2312"/>
          <w:b w:val="0"/>
          <w:bCs w:val="0"/>
          <w:sz w:val="32"/>
          <w:szCs w:val="32"/>
          <w:lang w:eastAsia="zh-CN"/>
        </w:rPr>
      </w:pPr>
    </w:p>
    <w:p w14:paraId="51C7E8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jc w:val="center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eastAsia="zh-CN"/>
        </w:rPr>
        <w:t>重大</w:t>
      </w:r>
      <w:r>
        <w:rPr>
          <w:rFonts w:hint="eastAsia" w:ascii="方正小标宋简体" w:hAnsi="方正小标宋简体" w:eastAsia="方正小标宋简体" w:cs="方正小标宋简体"/>
          <w:sz w:val="44"/>
          <w:szCs w:val="44"/>
        </w:rPr>
        <w:t>隐患整改</w:t>
      </w:r>
      <w:r>
        <w:rPr>
          <w:rFonts w:hint="eastAsia" w:ascii="方正小标宋简体" w:hAnsi="方正小标宋简体" w:eastAsia="方正小标宋简体" w:cs="方正小标宋简体"/>
          <w:sz w:val="44"/>
          <w:szCs w:val="44"/>
          <w:lang w:eastAsia="zh-CN"/>
        </w:rPr>
        <w:t>督办</w:t>
      </w:r>
      <w:r>
        <w:rPr>
          <w:rFonts w:hint="eastAsia" w:ascii="方正小标宋简体" w:hAnsi="方正小标宋简体" w:eastAsia="方正小标宋简体" w:cs="方正小标宋简体"/>
          <w:sz w:val="44"/>
          <w:szCs w:val="44"/>
        </w:rPr>
        <w:t>通知书</w:t>
      </w:r>
    </w:p>
    <w:p w14:paraId="7D2AC4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</w:p>
    <w:p w14:paraId="274721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default" w:ascii="仿宋_GB2312" w:hAnsi="仿宋_GB2312" w:eastAsia="仿宋_GB2312" w:cs="仿宋_GB2312"/>
          <w:sz w:val="32"/>
          <w:szCs w:val="32"/>
          <w:lang w:val="en-US"/>
        </w:rPr>
        <w:t>{company}</w:t>
      </w:r>
      <w:r>
        <w:rPr>
          <w:rFonts w:hint="eastAsia" w:ascii="仿宋_GB2312" w:hAnsi="仿宋_GB2312" w:eastAsia="仿宋_GB2312" w:cs="仿宋_GB2312"/>
          <w:sz w:val="32"/>
          <w:szCs w:val="32"/>
        </w:rPr>
        <w:t>企业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:</w:t>
      </w:r>
      <w:bookmarkStart w:id="0" w:name="_GoBack"/>
      <w:bookmarkEnd w:id="0"/>
    </w:p>
    <w:p w14:paraId="5D322A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根据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小虎</w:t>
      </w:r>
      <w:r>
        <w:rPr>
          <w:rFonts w:hint="eastAsia" w:ascii="仿宋_GB2312" w:hAnsi="仿宋_GB2312" w:eastAsia="仿宋_GB2312" w:cs="仿宋_GB2312"/>
          <w:sz w:val="32"/>
          <w:szCs w:val="32"/>
        </w:rPr>
        <w:t>化工区安全风险智能化管控平台监测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情况</w:t>
      </w:r>
      <w:r>
        <w:rPr>
          <w:rFonts w:hint="eastAsia" w:ascii="仿宋_GB2312" w:hAnsi="仿宋_GB2312" w:eastAsia="仿宋_GB2312" w:cs="仿宋_GB2312"/>
          <w:sz w:val="32"/>
          <w:szCs w:val="32"/>
        </w:rPr>
        <w:t>，你单位存在以下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重大事故隐患</w:t>
      </w:r>
      <w:r>
        <w:rPr>
          <w:rFonts w:hint="eastAsia" w:ascii="仿宋_GB2312" w:hAnsi="仿宋_GB2312" w:eastAsia="仿宋_GB2312" w:cs="仿宋_GB2312"/>
          <w:sz w:val="32"/>
          <w:szCs w:val="32"/>
        </w:rPr>
        <w:t>：</w:t>
      </w:r>
    </w:p>
    <w:tbl>
      <w:tblPr>
        <w:tblStyle w:val="5"/>
        <w:tblW w:w="534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7"/>
        <w:gridCol w:w="3376"/>
        <w:gridCol w:w="2341"/>
        <w:gridCol w:w="2261"/>
      </w:tblGrid>
      <w:tr w14:paraId="6CEF0873">
        <w:tc>
          <w:tcPr>
            <w:tcW w:w="619" w:type="pct"/>
            <w:vAlign w:val="center"/>
          </w:tcPr>
          <w:p w14:paraId="2485DF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exact"/>
              <w:jc w:val="center"/>
              <w:textAlignment w:val="auto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  <w:t>序号</w:t>
            </w:r>
          </w:p>
        </w:tc>
        <w:tc>
          <w:tcPr>
            <w:tcW w:w="1853" w:type="pct"/>
            <w:vAlign w:val="center"/>
          </w:tcPr>
          <w:p w14:paraId="50D9FC9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exact"/>
              <w:jc w:val="center"/>
              <w:textAlignment w:val="auto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</w:rPr>
              <w:t>隐患</w:t>
            </w: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  <w:t>名称</w:t>
            </w:r>
          </w:p>
        </w:tc>
        <w:tc>
          <w:tcPr>
            <w:tcW w:w="1285" w:type="pct"/>
            <w:vAlign w:val="center"/>
          </w:tcPr>
          <w:p w14:paraId="122AD0C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exact"/>
              <w:jc w:val="center"/>
              <w:textAlignment w:val="auto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  <w:t>排查日期</w:t>
            </w:r>
          </w:p>
        </w:tc>
        <w:tc>
          <w:tcPr>
            <w:tcW w:w="1241" w:type="pct"/>
            <w:vAlign w:val="center"/>
          </w:tcPr>
          <w:p w14:paraId="55E3C88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exact"/>
              <w:jc w:val="center"/>
              <w:textAlignment w:val="auto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</w:rPr>
              <w:t>整改期限</w:t>
            </w:r>
          </w:p>
        </w:tc>
      </w:tr>
      <w:tr w14:paraId="671A5648">
        <w:tc>
          <w:tcPr>
            <w:tcW w:w="619" w:type="pct"/>
            <w:vAlign w:val="center"/>
          </w:tcPr>
          <w:p w14:paraId="7D78A7A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exact"/>
              <w:jc w:val="center"/>
              <w:textAlignment w:val="auto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{num}</w:t>
            </w:r>
          </w:p>
        </w:tc>
        <w:tc>
          <w:tcPr>
            <w:tcW w:w="1853" w:type="pct"/>
            <w:vAlign w:val="center"/>
          </w:tcPr>
          <w:p w14:paraId="142A85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exact"/>
              <w:jc w:val="center"/>
              <w:textAlignment w:val="auto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{hiddenName}</w:t>
            </w:r>
          </w:p>
        </w:tc>
        <w:tc>
          <w:tcPr>
            <w:tcW w:w="1285" w:type="pct"/>
            <w:vAlign w:val="center"/>
          </w:tcPr>
          <w:p w14:paraId="2C9131B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exact"/>
              <w:jc w:val="center"/>
              <w:textAlignment w:val="auto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{checkDate}</w:t>
            </w:r>
          </w:p>
        </w:tc>
        <w:tc>
          <w:tcPr>
            <w:tcW w:w="1241" w:type="pct"/>
            <w:vAlign w:val="center"/>
          </w:tcPr>
          <w:p w14:paraId="4AC8013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exact"/>
              <w:jc w:val="center"/>
              <w:textAlignment w:val="auto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{fixDate}</w:t>
            </w:r>
          </w:p>
        </w:tc>
      </w:tr>
    </w:tbl>
    <w:p w14:paraId="35A759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</w:p>
    <w:p w14:paraId="7D5686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请你单位对上述第</w:t>
      </w:r>
      <w:r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  <w:t>{number}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项问题按期限完成整改，并及时将整改情况录入管控平台。</w:t>
      </w:r>
    </w:p>
    <w:p w14:paraId="0D9E00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整改期间，你单位应当采取措施，确保生产安全。</w:t>
      </w:r>
    </w:p>
    <w:p w14:paraId="028221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textAlignment w:val="auto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</w:p>
    <w:p w14:paraId="58EAA7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textAlignment w:val="auto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</w:p>
    <w:p w14:paraId="75A3C5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jc w:val="right"/>
        <w:textAlignment w:val="auto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南沙区化工应急管理中心</w:t>
      </w:r>
    </w:p>
    <w:p w14:paraId="65EFC9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jc w:val="right"/>
        <w:textAlignment w:val="auto"/>
        <w:rPr>
          <w:lang w:val="en-US" w:eastAsia="zh-CN"/>
        </w:rPr>
      </w:pPr>
      <w:r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  <w:t>{year}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年</w:t>
      </w:r>
      <w:r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  <w:t>{month}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月</w:t>
      </w:r>
      <w:r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  <w:t>{day}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_GB2312">
    <w:altName w:val="方正仿宋_GBK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方正小标宋简体">
    <w:altName w:val="汉仪书宋二KW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楷体_GB2312">
    <w:altName w:val="汉仪楷体简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89FA44F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0EFCB5"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20EFCB5"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9ED234"/>
    <w:rsid w:val="57EF67D9"/>
    <w:rsid w:val="D79ED234"/>
    <w:rsid w:val="F2BF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Office_6.15.1.8935_F1E327BC-269C-435d-A152-05C5408002CA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2025-04-15T06:54:00Z</dcterms:created>
  <dc:creator>马赫原理.</dc:creator>
  <cp:lastModifiedBy>马赫原理.</cp:lastModifiedBy>
  <dcterms:modified xsi:type="dcterms:W3CDTF">2025-04-15T16:36:16Z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2052-6.15.1.8935</vt:lpwstr>
  </property>
  <property fmtid="{D5CDD505-2E9C-101B-9397-08002B2CF9AE}" pid="3" name="ICV">
    <vt:lpwstr>5A5A8AE30028F31023B1FC67FD0B6EA4_41</vt:lpwstr>
  </property>
</Properties>
</file>