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02A43"/>
          <w:sz w:val="48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VG1 冻结准入与决定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FS-OBS-V010-VG1-FD-001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GO / FROZEN VERSION SCOPE BASELINE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2026-07-12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FS-OBS-REQ-BL-1.0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FS-OBS-ARCH-BL-1.0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FS-OBS-VRP-BL-1.0</w:t>
            </w:r>
          </w:p>
        </w:tc>
      </w:tr>
      <w:tr>
        <w:tc>
          <w:tcPr>
            <w:tcW w:type="dxa" w:w="5213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FS-OBS-V010-SCOPE-BL-1.0</w:t>
            </w:r>
          </w:p>
        </w:tc>
      </w:tr>
    </w:tbl>
    <w:p>
      <w:r>
        <w:br w:type="page"/>
      </w:r>
    </w:p>
    <w:p>
      <w:pPr>
        <w:pStyle w:val="Heading1"/>
      </w:pPr>
      <w:r>
        <w:t>1. 冻结对象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版本范围与需求分解 v1.0 Scope Baseline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版本范围与需求矩阵 v1.0 Baseline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VG1 范围覆盖与设计输入验证报告 v1.0</w:t>
      </w:r>
    </w:p>
    <w:p>
      <w:pPr>
        <w:pStyle w:val="Heading1"/>
      </w:pPr>
      <w:r>
        <w:t>2. 冻结准入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213"/>
            <w:shd w:fill="102A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结果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上位三项基线固定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24 条范围记录批准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VAC-FK-001 批准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进入/延期/技术上限完整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组件、合同、数据所有权完整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12 个 Fixture 完整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第二干净环境资格固定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12 项 VG2 决策已排序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未锁定技术栈和日期</w:t>
            </w:r>
          </w:p>
        </w:tc>
        <w:tc>
          <w:tcPr>
            <w:tcW w:type="dxa" w:w="5213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基线 hash 登记</w:t>
            </w:r>
          </w:p>
        </w:tc>
        <w:tc>
          <w:tcPr>
            <w:tcW w:type="dxa" w:w="5213"/>
            <w:shd w:fill="F3F5F7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3. 正式决定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8EE"/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Decision: GO</w:t>
            </w:r>
          </w:p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Status: FROZEN VERSION SCOPE BASELINE</w:t>
              <w:br/>
              <w:t>Baseline ID: FS-OBS-V010-SCOPE-BL-1.0</w:t>
              <w:br/>
              <w:t>Scope Records: 24 + VAC-FK-001</w:t>
              <w:br/>
              <w:t>Implementation Authorization: NO</w:t>
            </w:r>
          </w:p>
        </w:tc>
      </w:tr>
    </w:tbl>
    <w:p/>
    <w:p>
      <w:pPr>
        <w:pStyle w:val="Heading1"/>
      </w:pPr>
      <w:r>
        <w:t>4. 冻结范围</w:t>
      </w:r>
    </w:p>
    <w:p>
      <w:r>
        <w:rPr>
          <w:rFonts w:ascii="Noto Sans CJK SC" w:hAnsi="Noto Sans CJK SC" w:eastAsia="Noto Sans CJK SC"/>
          <w:b w:val="0"/>
          <w:sz w:val="18"/>
        </w:rPr>
        <w:t>冻结版本范围、验收、明确不进入、Facade 架构约束、逻辑组件、技术复杂度上限、合同候选、数据所有权、Fixture、停止规则和 VG2 设计决策顺序。</w:t>
      </w:r>
    </w:p>
    <w:p>
      <w:pPr>
        <w:pStyle w:val="Heading1"/>
      </w:pPr>
      <w:r>
        <w:t>5. 不代表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最终技术栈已经确定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详细设计已经完成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代码已经实现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测试已经执行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第二干净环境已经通过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版本已经发布</w:t>
      </w:r>
    </w:p>
    <w:p>
      <w:pPr>
        <w:pStyle w:val="Heading1"/>
      </w:pPr>
      <w:r>
        <w:t>6. 下一步</w:t>
      </w:r>
    </w:p>
    <w:p>
      <w:r>
        <w:rPr>
          <w:rFonts w:ascii="Noto Sans CJK SC" w:hAnsi="Noto Sans CJK SC" w:eastAsia="Noto Sans CJK SC"/>
          <w:b w:val="0"/>
          <w:sz w:val="18"/>
        </w:rPr>
        <w:t>只允许进入 VG2 Detailed Design Ready。12 项开放决策必须按依赖顺序形成 ADR 或明确设计决议，并完成详细技术设计、Schema/API/Error Contract、Threat Model、Test Requirement、Fixture Specification、Traceability 和 Evidence 模板。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C"/>
          </w:tcPr>
          <w:p>
            <w:r>
              <w:rPr>
                <w:rFonts w:ascii="Noto Sans CJK SC" w:hAnsi="Noto Sans CJK SC" w:eastAsia="Noto Sans CJK SC"/>
                <w:b/>
                <w:color w:val="A61B1B"/>
                <w:sz w:val="20"/>
              </w:rPr>
              <w:t>实现限制</w:t>
            </w:r>
          </w:p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未通过 VG2，不得进入正式实现。</w:t>
            </w:r>
          </w:p>
        </w:tc>
      </w:tr>
    </w:tbl>
    <w:p/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