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02A43"/>
          <w:sz w:val="48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VG1 范围覆盖与设计输入验证报告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FS-OBS-V010-VG1-VAL-001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APPROVED BASELINE EVIDENCE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2026-07-12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FS-OBS-REQ-BL-1.0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FS-OBS-ARCH-BL-1.0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FS-OBS-VRP-BL-1.0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FS-OBS-V010-SCOPE-BL-1.0</w:t>
            </w:r>
          </w:p>
        </w:tc>
      </w:tr>
    </w:tbl>
    <w:p>
      <w:r>
        <w:br w:type="page"/>
      </w:r>
    </w:p>
    <w:p>
      <w:pPr>
        <w:pStyle w:val="Heading1"/>
      </w:pPr>
      <w:r>
        <w:t>1. 验证目的</w:t>
      </w:r>
    </w:p>
    <w:p>
      <w:r>
        <w:rPr>
          <w:rFonts w:ascii="Noto Sans CJK SC" w:hAnsi="Noto Sans CJK SC" w:eastAsia="Noto Sans CJK SC"/>
          <w:b w:val="0"/>
          <w:sz w:val="18"/>
        </w:rPr>
        <w:t>确认 24 条版本范围记录、1 条版本架构约束、明确不进入、合同、数据所有权、Fixture 和开放决策足以支撑 Foundation Kernel 的 VG2 设计，并且未提前引入后续版本能力。</w:t>
      </w:r>
    </w:p>
    <w:p>
      <w:pPr>
        <w:pStyle w:val="Heading1"/>
      </w:pPr>
      <w:r>
        <w:t>2. 覆盖结果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闭环环节</w:t>
            </w:r>
          </w:p>
        </w:tc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追踪</w:t>
            </w:r>
          </w:p>
        </w:tc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结论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Input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FR-AN-001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开发者输入和结构化错误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Adapter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FR-AN-001 / ER-002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转换、失败隔离，不计算治理结论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双重校验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FR-AN-004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Schema 与 Governance 分离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Runtime Snapshot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FR-AN-002 / NFR-SEC-005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固定依赖与 digest，篡改可检测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Engine / Facade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VAC-FK-001 / FR-PF-005/006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单一正式调用边界，不复制算法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Output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FR-AN-005/006/007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UNKNOWN、Evidence、版本引用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Observation / Audit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FR-AN-008 / FR-AU-001/002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唯一标识、追加式和 Hash Chain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离线/安全/隐私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10 条 NFR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默认关闭外部能力和 Raw 最小化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异常与验收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ER-002 / AT-09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Adapter 失败和硬门控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8EE"/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覆盖结论</w:t>
            </w:r>
          </w:p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PASS：最小闭环不存在未追踪的阻断环节。Runtime Snapshot 完整性由 FR-AN-002 与 NFR-SEC-005 共同覆盖。</w:t>
            </w:r>
          </w:p>
        </w:tc>
      </w:tr>
    </w:tbl>
    <w:p/>
    <w:p>
      <w:pPr>
        <w:pStyle w:val="Heading1"/>
      </w:pPr>
      <w:r>
        <w:t>3. 范围控制验证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检查项</w:t>
            </w:r>
          </w:p>
        </w:tc>
        <w:tc>
          <w:tcPr>
            <w:tcW w:type="dxa" w:w="5213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结果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24 条版本记录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24/24 APPROVED_FOR_VG1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架构约束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VAC-FK-001 APPROVED_FOR_VG1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产品延期能力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14 类，全部指向后续版本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技术复杂度上限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10 类 OUT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Fixture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12 个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VG2 开放决策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12 项，已排序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待处理 Scope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/>
    <w:p>
      <w:pPr>
        <w:pStyle w:val="Heading1"/>
      </w:pPr>
      <w:r>
        <w:t>4. VAC-FK-001 验证</w:t>
      </w:r>
    </w:p>
    <w:p>
      <w:r>
        <w:rPr>
          <w:rFonts w:ascii="Noto Sans CJK SC" w:hAnsi="Noto Sans CJK SC" w:eastAsia="Noto Sans CJK SC"/>
          <w:b w:val="0"/>
          <w:sz w:val="18"/>
        </w:rPr>
        <w:t>Observer System 的正式治理计算只能通过版本化 Observer Engine Facade 调用固定 Engine。System 不得复制、分叉或独立重写正式 FSHI、Risk、ESS、Gate、UNKNOWN、Explanation 或 Runestone 逻辑。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FK-FAC-001：验证组件不直接依赖 Engine 内部实现，调用记录包含 Facade 和 Engine 版本。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FK-FAC-002：验证 System 中不存在第二套正式治理计算。</w:t>
      </w:r>
    </w:p>
    <w:p>
      <w:pPr>
        <w:pStyle w:val="Heading1"/>
      </w:pPr>
      <w:r>
        <w:t>5. VG2 决策依赖顺序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</w:t>
            </w:r>
          </w:p>
        </w:tc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3475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决策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G1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CASE 与语义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OD-FK-008、011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G2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Host、Engine 和入口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OD-FK-002、003、001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G3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数据表示与存储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OD-FK-005、007、004</w:t>
            </w:r>
          </w:p>
        </w:tc>
      </w:tr>
      <w:tr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G4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并发与完整性</w:t>
            </w:r>
          </w:p>
        </w:tc>
        <w:tc>
          <w:tcPr>
            <w:tcW w:type="dxa" w:w="3475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OD-FK-006、010</w:t>
            </w:r>
          </w:p>
        </w:tc>
      </w:tr>
      <w:tr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G5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部署与发布证据</w:t>
            </w:r>
          </w:p>
        </w:tc>
        <w:tc>
          <w:tcPr>
            <w:tcW w:type="dxa" w:w="3475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OD-FK-009、012</w:t>
            </w:r>
          </w:p>
        </w:tc>
      </w:tr>
    </w:tbl>
    <w:p/>
    <w:p>
      <w:pPr>
        <w:pStyle w:val="Heading1"/>
      </w:pPr>
      <w:r>
        <w:t>6. 最终结论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2457A6"/>
                <w:sz w:val="20"/>
              </w:rPr>
              <w:t>VG1 验证结果</w:t>
            </w:r>
          </w:p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PASS。范围内容可冻结；本报告不表示详细设计完成，不授权编码。</w:t>
            </w:r>
          </w:p>
        </w:tc>
      </w:tr>
    </w:tbl>
    <w:p/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