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Noto Sans CJK SC" w:hAnsi="Noto Sans CJK SC" w:eastAsia="Noto Sans CJK SC"/>
          <w:b/>
          <w:color w:val="102A43"/>
          <w:sz w:val="46"/>
        </w:rPr>
        <w:t>全频谱观察者系统 v0.1.0-alpha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57A6"/>
          <w:sz w:val="24"/>
        </w:rPr>
        <w:t>Foundation Kernel Schema 身份、依赖与实例验证报告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文档编号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FS-OBS-V010-SCH-VAL-001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状态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APPROVED BASELINE EVIDENCE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日期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2026-07-12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需求基线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FS-OBS-REQ-BL-1.0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架构基线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FS-OBS-ARCH-BL-1.0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版本规划基线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FS-OBS-VRP-BL-1.0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版本范围基线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FS-OBS-V010-SCOPE-BL-1.0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详细设计基线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FS-OBS-V010-DES-BL-1.0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Engine 基线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full-spectrum-engine v1.0.0 / 09062bae2c7608bda79ee4bfde5779109e8e6197</w:t>
            </w:r>
          </w:p>
        </w:tc>
      </w:tr>
      <w:tr>
        <w:tc>
          <w:tcPr>
            <w:tcW w:type="dxa" w:w="5241"/>
            <w:shd w:fill="EAF2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7"/>
              </w:rPr>
              <w:t>实现授权</w:t>
            </w:r>
          </w:p>
        </w:tc>
        <w:tc>
          <w:tcPr>
            <w:tcW w:type="dxa" w:w="5241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YES — 仅按冻结设计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F8EE"/>
            <w:tcBorders>
              <w:top w:val="single" w:sz="10" w:color="2F7D32"/>
              <w:left w:val="single" w:sz="10" w:color="2F7D32"/>
              <w:bottom w:val="single" w:sz="10" w:color="2F7D32"/>
              <w:right w:val="single" w:sz="10" w:color="2F7D32"/>
            </w:tcBorders>
            <w:tcMar>
              <w:top w:w="105" w:type="dxa"/>
              <w:start w:w="105" w:type="dxa"/>
              <w:bottom w:w="105" w:type="dxa"/>
              <w:end w:w="10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F7D32"/>
                <w:sz w:val="20"/>
              </w:rPr>
              <w:t>验证结论</w:t>
            </w:r>
          </w:p>
          <w:p>
            <w:r>
              <w:rPr>
                <w:rFonts w:ascii="Noto Sans CJK SC" w:hAnsi="Noto Sans CJK SC" w:eastAsia="Noto Sans CJK SC"/>
                <w:sz w:val="18"/>
              </w:rPr>
              <w:t>12/12 Schema 元验证 PASS；12/12 示例实例 PASS；12 个稳定 $id；0 个外部 $ref；0 个循环依赖；0 个假零 digest。</w:t>
            </w:r>
          </w:p>
        </w:tc>
      </w:tr>
    </w:tbl>
    <w:p/>
    <w:p>
      <w:pPr>
        <w:pStyle w:val="Heading1"/>
        <w:keepNext/>
      </w:pPr>
      <w:r>
        <w:t>1. 策略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Schema dialect：JSON Schema Draft 2020-12。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每个 Schema 使用稳定 canonical $id。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v0.1 采用 SELF_CONTAINED_GENERATED，不在运行时解析外部 $ref。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重复片段由 FS-OBS-COMMON-1 生成或一致性测试治理。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Schema 状态为 APPROVED_DESIGN_BASELINE，不是公开 STABLE 协议。</w:t>
      </w:r>
    </w:p>
    <w:p>
      <w:pPr>
        <w:pStyle w:val="Heading1"/>
        <w:keepNext/>
      </w:pPr>
      <w:r>
        <w:t>2. 逐项结果</w:t>
      </w:r>
    </w:p>
    <w:p>
      <w:pPr>
        <w:sectPr>
          <w:headerReference w:type="default" r:id="rId9"/>
          <w:footerReference w:type="default" r:id="rId10"/>
          <w:pgSz w:w="12240" w:h="15840"/>
          <w:pgMar w:top="850" w:right="879" w:bottom="765" w:left="879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blHeader w:val="true"/>
        </w:trPr>
        <w:tc>
          <w:tcPr>
            <w:tcW w:type="dxa" w:w="2551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5953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稳定 $id</w:t>
            </w:r>
          </w:p>
        </w:tc>
        <w:tc>
          <w:tcPr>
            <w:tcW w:type="dxa" w:w="1134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元验证</w:t>
            </w:r>
          </w:p>
        </w:tc>
        <w:tc>
          <w:tcPr>
            <w:tcW w:type="dxa" w:w="1134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实例验证</w:t>
            </w:r>
          </w:p>
        </w:tc>
        <w:tc>
          <w:tcPr>
            <w:tcW w:type="dxa" w:w="850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引用</w:t>
            </w:r>
          </w:p>
        </w:tc>
        <w:tc>
          <w:tcPr>
            <w:tcW w:type="dxa" w:w="1587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片段一致性</w:t>
            </w:r>
          </w:p>
        </w:tc>
        <w:tc>
          <w:tcPr>
            <w:tcW w:type="dxa" w:w="4535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SHA-256</w:t>
            </w:r>
          </w:p>
        </w:tc>
        <w:tc>
          <w:tcPr>
            <w:tcW w:type="dxa" w:w="2268"/>
            <w:shd w:fill="6B46A1"/>
            <w:tcBorders>
              <w:top w:val="single" w:sz="5" w:color="6B46A1"/>
              <w:left w:val="single" w:sz="5" w:color="6B46A1"/>
              <w:bottom w:val="single" w:sz="5" w:color="6B46A1"/>
              <w:right w:val="single" w:sz="5" w:color="6B46A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audit-event.schema.json</w:t>
            </w:r>
          </w:p>
        </w:tc>
        <w:tc>
          <w:tcPr>
            <w:tcW w:type="dxa" w:w="595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https://fullspectrumprotocol.com/schemas/observer/foundation-kernel/audit-event/1.0.0-alpha.1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e11358d1503b2ff0b1eb51027a12cd3b7609f5053df1640ead486800e82ab157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engine-facade-request.schema.json</w:t>
            </w:r>
          </w:p>
        </w:tc>
        <w:tc>
          <w:tcPr>
            <w:tcW w:type="dxa" w:w="595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https://fullspectrumprotocol.com/schemas/observer/foundation-kernel/engine-facade-request/1.0.0-alpha.1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6248b26e8e0e4d0a1722c4622fbbd208818edde8a44182f89d5aac32fa7c7e45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engine-facade-response.schema.json</w:t>
            </w:r>
          </w:p>
        </w:tc>
        <w:tc>
          <w:tcPr>
            <w:tcW w:type="dxa" w:w="595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https://fullspectrumprotocol.com/schemas/observer/foundation-kernel/engine-facade-response/1.0.0-alpha.1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bdd28cd993a88887b443b8c2639ab49d21e33bb865a9eec1ae995fae32cdbf65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foundation-analysis-request.schema.json</w:t>
            </w:r>
          </w:p>
        </w:tc>
        <w:tc>
          <w:tcPr>
            <w:tcW w:type="dxa" w:w="595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https://fullspectrumprotocol.com/schemas/observer/foundation-kernel/foundation-analysis-request/1.0.0-alpha.1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2d4bf2d26f800444ac83f9e72a374796a6aca17ee06b4caea8ef7a529a63e9ff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foundation-case-pack-manifest.schema.json</w:t>
            </w:r>
          </w:p>
        </w:tc>
        <w:tc>
          <w:tcPr>
            <w:tcW w:type="dxa" w:w="595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https://fullspectrumprotocol.com/schemas/observer/foundation-kernel/foundation-case-pack-manifest/1.0.0-alpha.1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1ae8f54d89cc015adc05e9ad204d4ac4bae9584798206559cb43a6464c87e0cc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foundation-error-envelope.schema.json</w:t>
            </w:r>
          </w:p>
        </w:tc>
        <w:tc>
          <w:tcPr>
            <w:tcW w:type="dxa" w:w="595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https://fullspectrumprotocol.com/schemas/observer/foundation-kernel/foundation-error-envelope/1.0.0-alpha.1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142a7a55bb82cb567761efe8bc12cf70a0ab6a999f7f313da6dc4d9b66849d33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foundation-operation-status.schema.json</w:t>
            </w:r>
          </w:p>
        </w:tc>
        <w:tc>
          <w:tcPr>
            <w:tcW w:type="dxa" w:w="595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https://fullspectrumprotocol.com/schemas/observer/foundation-kernel/foundation-operation-status/1.0.0-alpha.1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a9a5ffd2997a05f536d17459c7bfa32785405cd1642830b348234e65b5d348fe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governance-output-envelope.schema.json</w:t>
            </w:r>
          </w:p>
        </w:tc>
        <w:tc>
          <w:tcPr>
            <w:tcW w:type="dxa" w:w="595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https://fullspectrumprotocol.com/schemas/observer/foundation-kernel/governance-output-envelope/1.0.0-alpha.1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79d0a85100573b132171e35981b80b2fdefb52852d626858f64715b6140dcfe5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observation-record.schema.json</w:t>
            </w:r>
          </w:p>
        </w:tc>
        <w:tc>
          <w:tcPr>
            <w:tcW w:type="dxa" w:w="595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https://fullspectrumprotocol.com/schemas/observer/foundation-kernel/observation-record/1.0.0-alpha.1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356316e4c11a7f3b976a412f1b083ec8fdbb4a55b72afbdba0ed03c40d56b700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release-manifest.schema.json</w:t>
            </w:r>
          </w:p>
        </w:tc>
        <w:tc>
          <w:tcPr>
            <w:tcW w:type="dxa" w:w="595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https://fullspectrumprotocol.com/schemas/observer/foundation-kernel/release-manifest/1.0.0-alpha.1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708d9667a1ec24103ee647fac2757ea6f9cd95b46271c020af5f6443d9be2725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runtime-configuration-snapshot.schema.json</w:t>
            </w:r>
          </w:p>
        </w:tc>
        <w:tc>
          <w:tcPr>
            <w:tcW w:type="dxa" w:w="5953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https://fullspectrumprotocol.com/schemas/observer/foundation-kernel/runtime-configuration-snapshot/1.0.0-alpha.1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b3c423b33f87f3ff34beb8ac772910cc5ce93046185fd1ffbe1d4820f5e82d1b</w:t>
            </w:r>
          </w:p>
        </w:tc>
        <w:tc>
          <w:tcPr>
            <w:tcW w:type="dxa" w:w="2268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  <w:tr>
        <w:tc>
          <w:tcPr>
            <w:tcW w:type="dxa" w:w="2551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1"/>
              </w:rPr>
              <w:t>validation-result.schema.json</w:t>
            </w:r>
          </w:p>
        </w:tc>
        <w:tc>
          <w:tcPr>
            <w:tcW w:type="dxa" w:w="5953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https://fullspectrumprotocol.com/schemas/observer/foundation-kernel/validation-result/1.0.0-alpha.1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1134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850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0</w:t>
            </w:r>
          </w:p>
        </w:tc>
        <w:tc>
          <w:tcPr>
            <w:tcW w:type="dxa" w:w="1587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PASS</w:t>
            </w:r>
          </w:p>
        </w:tc>
        <w:tc>
          <w:tcPr>
            <w:tcW w:type="dxa" w:w="45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88c7c100abe46d7c6a29a8efda3e12c3eb260d16d34e561249d51b1cfbb0dde0</w:t>
            </w:r>
          </w:p>
        </w:tc>
        <w:tc>
          <w:tcPr>
            <w:tcW w:type="dxa" w:w="2268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1"/>
              </w:rPr>
              <w:t>APPROVED_DESIGN_BASELINE</w:t>
            </w:r>
          </w:p>
        </w:tc>
      </w:tr>
    </w:tbl>
    <w:p/>
    <w:p>
      <w:pPr>
        <w:sectPr>
          <w:pgSz w:w="16838" w:h="11906" w:orient="landscape"/>
          <w:pgMar w:top="624" w:right="567" w:bottom="567" w:left="567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3. Manifest 修订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Case Pack Manifest 不再使用全零 Engine artifact hash。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Engine source identity 固定 version/source_commit；build artifact 在 VG2 为 PENDING_VG3 + null。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schemas 数组已填入 12 个 Schema 的 $id、版本和真实 SHA-256。</w:t>
      </w:r>
    </w:p>
    <w:p>
      <w:pPr>
        <w:pStyle w:val="ListBullet"/>
      </w:pPr>
      <w:r>
        <w:rPr>
          <w:rFonts w:ascii="Noto Sans CJK SC" w:hAnsi="Noto Sans CJK SC" w:eastAsia="Noto Sans CJK SC"/>
          <w:sz w:val="17"/>
        </w:rPr>
        <w:t>manifest_sha256 使用删除自身字段后的 FS-OBS-CANON-1 计算。</w:t>
      </w:r>
    </w:p>
    <w:p>
      <w:pPr>
        <w:pStyle w:val="Heading1"/>
        <w:keepNext/>
      </w:pPr>
      <w:r>
        <w:t>4. Digest 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2835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5102"/>
            <w:shd w:fill="102A43"/>
            <w:tcBorders>
              <w:top w:val="single" w:sz="5" w:color="102A43"/>
              <w:left w:val="single" w:sz="5" w:color="102A43"/>
              <w:bottom w:val="single" w:sz="5" w:color="102A43"/>
              <w:right w:val="single" w:sz="5" w:color="102A43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算法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RuntimeConfigurationSnapshot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snapshot_sha256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SHA-256(FS-OBS-CANON-1(object without snapshot_sha256))</w:t>
            </w:r>
          </w:p>
        </w:tc>
      </w:tr>
      <w:t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FoundationCasePackManifest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manifest_sha256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SHA-256(FS-OBS-CANON-1(object without manifest_sha256))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ReleaseManifest</w:t>
            </w:r>
          </w:p>
        </w:tc>
        <w:tc>
          <w:tcPr>
            <w:tcW w:type="dxa" w:w="2835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manifest_sha256</w:t>
            </w:r>
          </w:p>
        </w:tc>
        <w:tc>
          <w:tcPr>
            <w:tcW w:type="dxa" w:w="5102"/>
            <w:shd w:fill="FFFFFF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SHA-256(FS-OBS-CANON-1(object without manifest_sha256))</w:t>
            </w:r>
          </w:p>
        </w:tc>
      </w:tr>
      <w:tr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color w:val="102A43"/>
                <w:sz w:val="14"/>
              </w:rPr>
              <w:t>AuditEvent</w:t>
            </w:r>
          </w:p>
        </w:tc>
        <w:tc>
          <w:tcPr>
            <w:tcW w:type="dxa" w:w="2835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event_hash</w:t>
            </w:r>
          </w:p>
        </w:tc>
        <w:tc>
          <w:tcPr>
            <w:tcW w:type="dxa" w:w="5102"/>
            <w:shd w:fill="F3F5F7"/>
            <w:tcBorders>
              <w:top w:val="single" w:sz="5" w:color="CBD5E1"/>
              <w:left w:val="single" w:sz="5" w:color="CBD5E1"/>
              <w:bottom w:val="single" w:sz="5" w:color="CBD5E1"/>
              <w:right w:val="single" w:sz="5" w:color="CBD5E1"/>
            </w:tcBorders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1F2937"/>
                <w:sz w:val="14"/>
              </w:rPr>
              <w:t>SHA-256(FS-OBS-CANON-1(event without event_hash; previous_hash retained))</w:t>
            </w:r>
          </w:p>
        </w:tc>
      </w:tr>
    </w:tbl>
    <w:p/>
    <w:sectPr w:rsidR="00FC693F" w:rsidRPr="0006063C" w:rsidSect="00034616">
      <w:pgSz w:w="11906" w:h="16838"/>
      <w:pgMar w:top="850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2616B"/>
        <w:sz w:val="14"/>
      </w:rPr>
      <w:t>Full Spectrum Observer System | Foundation Kernel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2616B"/>
        <w:sz w:val="14"/>
      </w:rPr>
      <w:t>FS-OBS-V010-SCH-VAL-001 | v1.0 | Frozen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02A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7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