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VG2 设计决策与 ADR 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FS-OBS-V010-ADR-001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APPROVED ADR BASELINE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8EE"/>
            <w:tcBorders>
              <w:top w:val="single" w:sz="10" w:color="2F7D32"/>
              <w:left w:val="single" w:sz="10" w:color="2F7D32"/>
              <w:bottom w:val="single" w:sz="10" w:color="2F7D32"/>
              <w:right w:val="single" w:sz="10" w:color="2F7D32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ADR 状态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12/12 APPROVED_FOR_VG2。后续语义变化必须形成新的 ADR 或正式 Change Request。</w:t>
            </w:r>
          </w:p>
        </w:tc>
      </w:tr>
    </w:tbl>
    <w:p/>
    <w:p>
      <w:pPr>
        <w:pStyle w:val="Heading1"/>
        <w:keepNext/>
      </w:pPr>
      <w:r>
        <w:t>1. 决策依赖顺序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85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顺序</w:t>
            </w:r>
          </w:p>
        </w:tc>
        <w:tc>
          <w:tcPr>
            <w:tcW w:type="dxa" w:w="311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组</w:t>
            </w:r>
          </w:p>
        </w:tc>
        <w:tc>
          <w:tcPr>
            <w:tcW w:type="dxa" w:w="170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ADR</w:t>
            </w:r>
          </w:p>
        </w:tc>
        <w:tc>
          <w:tcPr>
            <w:tcW w:type="dxa" w:w="45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主题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1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G1 CASE_AND_SEMANTICS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ADR-FK-001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Reference CASE 与 Adapter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2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G1 CASE_AND_SEMANTICS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ADR-FK-002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reason_code 命名空间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3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G2 HOST_ENGINE_ENTRY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ADR-FK-003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Observer Host 语言与运行时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4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G2 HOST_ENGINE_ENTRY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ADR-FK-004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Engine Facade 进程模型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5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G2 HOST_ENGINE_ENTRY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ADR-FK-005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主要开发者入口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6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G3 DATA_REPRESENTATION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ADR-FK-006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Canonical Serialization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7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G3 DATA_REPRESENTATION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ADR-FK-007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CanonicalContext 保存策略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8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G3 DATA_REPRESENTATION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ADR-FK-008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本地存储实现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9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G4 CONCURRENCY_INTEGRITY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ADR-FK-009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Audit Hash Chain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10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G4 CONCURRENCY_INTEGRITY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ADR-FK-010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任务超时与取消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11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G5 DEPLOYMENT_RELEASE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ADR-FK-011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Windows 与安装封装</w:t>
            </w:r>
          </w:p>
        </w:tc>
      </w:tr>
      <w:tr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12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G5 DEPLOYMENT_RELEASE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ADR-FK-012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依赖锁定、SBOM 与 ReleaseManifest</w:t>
            </w:r>
          </w:p>
        </w:tc>
      </w:tr>
    </w:tbl>
    <w:p/>
    <w:p>
      <w:pPr>
        <w:pStyle w:val="Heading1"/>
        <w:keepNext/>
      </w:pPr>
      <w:r>
        <w:t>2. 正式 ADR</w:t>
      </w:r>
    </w:p>
    <w:p>
      <w:pPr>
        <w:pStyle w:val="Heading2"/>
        <w:keepNext/>
      </w:pPr>
      <w:r>
        <w:t>ADR-FK-001：Reference CASE 与 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OD-FK-008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固定使用 CASE005_KNOWLEDGE_CONFLICT；Engine v1.0.0 commit 09062b…；seed=42；fixed_time=2026-07-04T00:00:00Z；Observer 使用 FoundationScenarioAdapter 包装 direct scenario。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使用 CASE001 退款冲突；使用 MetricAdapter；新造场景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与公开主参考“知识源冲突”一致；已有 Engine golden；避免在 v0.1 引入业务指标 Adapter。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Reference Pack 固定 synthetic；Adapter 只转换，不计算治理结论。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ADR-FK-002：reason_code 命名空间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OD-FK-011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采用 13 个域前缀：REQ/INTAKE/ADAPTER/SCHEMA/GOV/SNAPSHOT/FACADE/ENGINE/OUTPUT/STORE/AUDIT/SEC/SYSTEM；代码稳定、消息可本地化、详情默认脱敏。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复用异常消息；单一 ERROR 前缀；HTTP 状态码式编号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可区分阶段和责任；不把自然语言当机器合同。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reason_code 不随文案变化；新增仅向后兼容；删除需迁移。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ADR-FK-003：Observer Host 语言与运行时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OD-FK-002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C# / .NET 10 LTS，目标 net10.0，Windows x64 self-contained；模块化单体。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Python 单体 Host；.NET 8；Node.js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用户主技术栈为 C#；.NET 10 是当前 LTS；长期支持窗口优于 .NET 8；适合 Windows-first 与后续 Linux。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不把 Engine 算法移植到 C#；System 与 Engine 通过合同隔离。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ADR-FK-004：Engine Facade 进程模型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OD-FK-003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每次分析启动一个受控 Python Worker 子进程；stdin/stdout 单行 JSON 协议；stderr 仅诊断；Worker 直接 import run_simulation；不启动 FastAPI，不使用 Engine SQLite。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进程内嵌 Python；长期驻留本地 HTTP 服务；本地 RPC/gRPC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最小依赖、边界清楚、可超时和强制终止；避免 Engine API 自带存储与 System Evidence 所有权冲突。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进程启动开销可接受；v0.1 不承诺高吞吐。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ADR-FK-005：主要开发者入口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OD-FK-001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以 observer.exe CLI 为唯一外部入口；Application Use Case 为内部稳定接口；v0.1 不暴露 HTTP。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CLI + HTTP 同时发布；只使用 Python CLI；本地 REST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避免两套入口逻辑和额外攻击面；满足 Internal Alpha 和第二干净环境。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后续 HTTP 必须复用相同 Use Case，不得复制业务逻辑。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ADR-FK-006：Canonical Serialization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OD-FK-005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Observer-owned Snapshot/Audit 使用 FS-OBS-CANON-1：UTF-8、键按 Unicode 排序、无空白、UTC 毫秒时间、禁止 NaN/Infinity、Audit payload 只存 digest/ref；Engine 输出使用 FSE-PYJSON-1，由固定 Python Worker sort_keys + compact JSON 生成并按原始字节 SHA-256。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所有对象统一 RFC 8785；普通 JSON pretty print；数据库行拼接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避免跨运行时浮点格式差异，同时保持 Observer Audit 的稳定规范化。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serialization_id 必须进入 Snapshot/Audit/Manifest；算法变更需新版本。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ADR-FK-007：CanonicalContext 保存策略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OD-FK-007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Raw Input 与完整 CanonicalContext 默认不持久化；保存 input/context digest、ValidationResult、Snapshot、Output；内置 synthetic CASE 可因其随包公开而完整保留。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全部保存；全部不保存；加密保存所有输入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符合最小化和 v0.1 非 Exact Replay 边界；避免企业输入长期留存。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v0.1 只声明 synthetic rerun / semantic reference，不声明 Exact Replay。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ADR-FK-008：本地存储实现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OD-FK-004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Observer 自有 SQLite 单文件 observer.db + 文件 Artifact Store；表级逻辑所有权分离；WAL 禁用，journal_mode=DELETE，foreign_keys=ON，busy_timeout；不放网络共享。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多数据库文件；JSON 文件库；复用 Engine SQLite；嵌入式文档库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Internal Alpha 最简部署；事务和唯一约束可满足幂等与 Audit；不耦合 Engine API 存储。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Audit 表由触发器禁止 UPDATE/DELETE；Artifact 用 content-addressed path。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ADR-FK-009：Audit Hash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OD-FK-006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v0.1 使用单一 GLOBAL stream、单 Host 实例、进程内 SemaphoreSlim 单写者 + SQLite BEGIN IMMEDIATE；sequence_no 单调递增；genesis previous_hash=64 个 0。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 Observation 分链；Merkle Tree；无链只签名每行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最易验证和解释；并发量低，串行写入成本可接受。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 Host 实例启动时检测锁并拒绝写入；v0.1 不支持集群。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ADR-FK-010：任务超时与取消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OD-FK-010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默认 30 秒，可配置 1-300 秒；Ctrl+C/取消令牌将状态置 CANCELLING，等待 2 秒后杀死 Worker 进程树；最终 CANCELLED 或 TIMED_OUT；不自动重跑 Engine。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完全不支持取消；只软取消；无限等待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子进程模型可可靠终止；避免无反馈挂起。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Audit 记录取消来源、时间和是否强制终止。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ADR-FK-011：Windows 与安装封装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OD-FK-009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首个包为 portable ZIP：.NET 10 win-x64 self-contained + Python 3.11 x64 private runtime + locked NumPy/Engine + Pack/Schemas/Docs/Licenses；测试支持 Windows 11 x64 与 Windows Server 2022 x64；Windows 10 非 LTSC 不作支持声明。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MSI 安装器；要求用户预装 .NET/Python；单文件 PyInstaller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离线、可复制、可校验，最适合第二干净环境；不引入安装器复杂度。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不得搜索 PATH 中任意 python.exe；必须使用包内绝对路径。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2"/>
        <w:keepNext/>
      </w:pPr>
      <w:r>
        <w:t>ADR-FK-012：依赖锁定、SBOM 与 ReleaseManifest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737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原开放问题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OD-FK-012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批准决定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global.json 固定 .NET 10 feature band；NuGet packages.lock.json + locked restore；Python wheelhouse + requirements.lock（hash）；Engine commit/tag 固定；生成 CycloneDX SBOM 和 ReleaseManifest，所有发布文件 SHA-256；Release Tag 指向固定 commit。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评估替代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仅锁主版本；requirements.txt 范围依赖；手工清单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理由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满足确定性、离线和供应链审计。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不可违反边界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VG3 才填入最终 patch/package/file digest；VG2 固定生成规则。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状态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APPROVED_FOR_VG2</w:t>
            </w:r>
          </w:p>
        </w:tc>
      </w:tr>
    </w:tbl>
    <w:p/>
    <w:p>
      <w:pPr>
        <w:pStyle w:val="Heading1"/>
        <w:keepNext/>
      </w:pPr>
      <w:r>
        <w:t>3. 关键稳定性判断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.NET 10、Python Worker 子进程和 Observer SQLite 三项大决策已经稳定，且均不改变 Engine 独立合同。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每次分析启动 Worker 的开销在 Internal Alpha 可接受；不得以性能理由提前引入常驻服务或进程池。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最终 SDK patch、Python wheel digest 和 Engine packaged artifact digest 在 VG3 构建时固定，不构成 ADR 漂移。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FS-OBS-V010-ADR-001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