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Noto Sans CJK SC" w:hAnsi="Noto Sans CJK SC" w:eastAsia="Noto Sans CJK SC"/>
          <w:b/>
          <w:color w:val="102A43"/>
          <w:sz w:val="54"/>
        </w:rPr>
        <w:t>全频谱观察者系统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2457A6"/>
          <w:sz w:val="44"/>
        </w:rPr>
        <w:t>v0.1.0-alpha Foundation Kernel</w:t>
      </w:r>
    </w:p>
    <w:p>
      <w:pPr>
        <w:jc w:val="center"/>
      </w:pPr>
      <w:r>
        <w:rPr>
          <w:rFonts w:ascii="Noto Sans CJK SC" w:hAnsi="Noto Sans CJK SC" w:eastAsia="Noto Sans CJK SC"/>
          <w:b/>
          <w:color w:val="0F766E"/>
          <w:sz w:val="34"/>
        </w:rPr>
        <w:t>版本范围与需求分解</w:t>
      </w:r>
    </w:p>
    <w:p>
      <w:pPr>
        <w:jc w:val="center"/>
      </w:pPr>
      <w:r>
        <w:rPr>
          <w:rFonts w:ascii="Noto Sans CJK SC" w:hAnsi="Noto Sans CJK SC" w:eastAsia="Noto Sans CJK SC"/>
          <w:b/>
          <w:color w:val="B45309"/>
          <w:sz w:val="21"/>
        </w:rPr>
        <w:t>VG1 Version Scope Review Candidate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 w:val="true"/>
        </w:trP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文档编号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FS-OBS-V010-SCOPE-001</w:t>
            </w:r>
          </w:p>
        </w:tc>
      </w:tr>
      <w:tr>
        <w:trPr>
          <w:cantSplit/>
        </w:trP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v0.1</w:t>
            </w:r>
          </w:p>
        </w:tc>
      </w:tr>
      <w:tr>
        <w:trPr>
          <w:cantSplit/>
        </w:trP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状态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Decision: GO / FROZEN VERSION SCOPE BASELINE | FS-OBS-V010-SCOPE-BL-1.0</w:t>
            </w:r>
          </w:p>
        </w:tc>
      </w:tr>
      <w:tr>
        <w:trPr>
          <w:cantSplit/>
        </w:trP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目标版本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Observer System v0.1.0-alpha</w:t>
            </w:r>
          </w:p>
        </w:tc>
      </w:tr>
      <w:tr>
        <w:trPr>
          <w:cantSplit/>
        </w:trP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需求基线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FS-OBS-REQ-BL-1.0</w:t>
            </w:r>
          </w:p>
        </w:tc>
      </w:tr>
      <w:tr>
        <w:trPr>
          <w:cantSplit/>
        </w:trP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架构基线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FS-OBS-ARCH-BL-1.0</w:t>
            </w:r>
          </w:p>
        </w:tc>
      </w:tr>
      <w:tr>
        <w:trPr>
          <w:cantSplit/>
        </w:trP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版本规划基线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FS-OBS-VRP-BL-1.0</w:t>
            </w:r>
          </w:p>
        </w:tc>
      </w:tr>
      <w:tr>
        <w:trPr>
          <w:cantSplit/>
        </w:trP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实施授权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日期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2026-07-12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  <w:tblHeader w:val="true"/>
        </w:trPr>
        <w:tc>
          <w:tcPr>
            <w:tcW w:type="dxa" w:w="10482"/>
            <w:shd w:fill="E8F7F4"/>
            <w:tcBorders>
              <w:top w:val="single" w:sz="10" w:color="0F766E"/>
              <w:left w:val="single" w:sz="10" w:color="0F766E"/>
              <w:bottom w:val="single" w:sz="10" w:color="0F766E"/>
              <w:right w:val="single" w:sz="10" w:color="0F766E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版本核心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Input → Adapter → 双校验 → Runtime Snapshot → Engine → Output → Audit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8" w:space="3" w:color="B9C7D8"/>
        </w:pBdr>
      </w:pPr>
      <w:r>
        <w:t>0. 文档说明</w:t>
      </w:r>
    </w:p>
    <w:p>
      <w:pPr>
        <w:pStyle w:val="Heading2"/>
      </w:pPr>
      <w:r>
        <w:t>0.1 目的</w:t>
      </w:r>
    </w:p>
    <w:p>
      <w:r>
        <w:rPr>
          <w:rFonts w:ascii="Noto Sans CJK SC" w:hAnsi="Noto Sans CJK SC" w:eastAsia="Noto Sans CJK SC"/>
          <w:b w:val="0"/>
          <w:color w:val="1F2937"/>
          <w:sz w:val="18"/>
        </w:rPr>
        <w:t>本文件把已冻结的系统需求、总体架构和版本规划转换为 v0.1.0-alpha Foundation Kernel 的独立版本范围，定义本版本必须证明什么、进入什么、不进入什么、需要哪些合同、数据、Fixture、证据和设计决策。</w:t>
      </w:r>
    </w:p>
    <w:p>
      <w:pPr>
        <w:pStyle w:val="Heading2"/>
      </w:pPr>
      <w:r>
        <w:t>0.2 当前状态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  <w:tblHeader w:val="true"/>
        </w:trPr>
        <w:tc>
          <w:tcPr>
            <w:tcW w:type="dxa" w:w="10482"/>
            <w:shd w:fill="FFF4E5"/>
            <w:tcBorders>
              <w:top w:val="single" w:sz="10" w:color="B45309"/>
              <w:left w:val="single" w:sz="10" w:color="B45309"/>
              <w:bottom w:val="single" w:sz="10" w:color="B45309"/>
              <w:right w:val="single" w:sz="10" w:color="B4530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45309"/>
                <w:sz w:val="20"/>
              </w:rPr>
              <w:t>VG1 REVIEW CANDIDATE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Decision: GO</w:t>
              <w:br/>
              <w:t>Author Approval: PASS</w:t>
              <w:br/>
              <w:t>Fixed Baseline Hash: RECORDED</w:t>
              <w:br/>
              <w:t>Implementation Authorization: NO</w:t>
            </w:r>
          </w:p>
        </w:tc>
      </w:tr>
    </w:tbl>
    <w:p/>
    <w:p>
      <w:pPr>
        <w:pStyle w:val="Heading2"/>
      </w:pPr>
      <w:r>
        <w:t>0.3 一句话定位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  <w:tblHeader w:val="true"/>
        </w:trPr>
        <w:tc>
          <w:tcPr>
            <w:tcW w:type="dxa" w:w="10482"/>
            <w:shd w:fill="EAF2FF"/>
            <w:tcBorders>
              <w:top w:val="single" w:sz="10" w:color="2457A6"/>
              <w:left w:val="single" w:sz="10" w:color="2457A6"/>
              <w:bottom w:val="single" w:sz="10" w:color="2457A6"/>
              <w:right w:val="single" w:sz="10" w:color="2457A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457A6"/>
                <w:sz w:val="20"/>
              </w:rPr>
              <w:t>Foundation Kernel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用一个固定 synthetic CASE，证明 Observer System 能通过稳定 Facade 调用确定性 Engine，完成 Input → Adapter → 双校验 → Runtime Snapshot → Engine → Output → Audit 的本地离线闭环。</w:t>
            </w:r>
          </w:p>
        </w:tc>
      </w:tr>
    </w:tbl>
    <w:p/>
    <w:p>
      <w:pPr>
        <w:pStyle w:val="Heading1"/>
        <w:pBdr>
          <w:bottom w:val="single" w:sz="8" w:space="3" w:color="B9C7D8"/>
        </w:pBdr>
      </w:pPr>
      <w:r>
        <w:t>1. 版本目标与成功定义</w:t>
      </w:r>
    </w:p>
    <w:p>
      <w:pPr>
        <w:pStyle w:val="Heading2"/>
      </w:pPr>
      <w:r>
        <w:t>1.1 主目标</w:t>
      </w:r>
    </w:p>
    <w:p>
      <w:r>
        <w:rPr>
          <w:rFonts w:ascii="Noto Sans CJK SC" w:hAnsi="Noto Sans CJK SC" w:eastAsia="Noto Sans CJK SC"/>
          <w:b w:val="0"/>
          <w:color w:val="1F2937"/>
          <w:sz w:val="18"/>
        </w:rPr>
        <w:t>本版本只证明 Foundation Kernel 成立，不证明普通用户可用、企业可用或治理控制面完整。</w:t>
      </w:r>
    </w:p>
    <w:p>
      <w:pPr>
        <w:pStyle w:val="Heading2"/>
      </w:pPr>
      <w:r>
        <w:t>1.2 成功定义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1. </w:t>
      </w:r>
      <w:r>
        <w:rPr>
          <w:rFonts w:ascii="Noto Sans CJK SC" w:hAnsi="Noto Sans CJK SC" w:eastAsia="Noto Sans CJK SC"/>
          <w:sz w:val="18"/>
        </w:rPr>
        <w:t>断网、无模型、无遥测、无企业 Connector 时可运行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2. </w:t>
      </w:r>
      <w:r>
        <w:rPr>
          <w:rFonts w:ascii="Noto Sans CJK SC" w:hAnsi="Noto Sans CJK SC" w:eastAsia="Noto Sans CJK SC"/>
          <w:sz w:val="18"/>
        </w:rPr>
        <w:t>至少一种开发者输入路径可发起分析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3. </w:t>
      </w:r>
      <w:r>
        <w:rPr>
          <w:rFonts w:ascii="Noto Sans CJK SC" w:hAnsi="Noto Sans CJK SC" w:eastAsia="Noto Sans CJK SC"/>
          <w:sz w:val="18"/>
        </w:rPr>
        <w:t>Adapter、Schema Validation、Governance Validation 职责分离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4. </w:t>
      </w:r>
      <w:r>
        <w:rPr>
          <w:rFonts w:ascii="Noto Sans CJK SC" w:hAnsi="Noto Sans CJK SC" w:eastAsia="Noto Sans CJK SC"/>
          <w:sz w:val="18"/>
        </w:rPr>
        <w:t>每次运行形成不可变 RuntimeConfigurationSnapshot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5. </w:t>
      </w:r>
      <w:r>
        <w:rPr>
          <w:rFonts w:ascii="Noto Sans CJK SC" w:hAnsi="Noto Sans CJK SC" w:eastAsia="Noto Sans CJK SC"/>
          <w:sz w:val="18"/>
        </w:rPr>
        <w:t>System 通过 Facade 调用 Engine，不复制正式治理算法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6. </w:t>
      </w:r>
      <w:r>
        <w:rPr>
          <w:rFonts w:ascii="Noto Sans CJK SC" w:hAnsi="Noto Sans CJK SC" w:eastAsia="Noto Sans CJK SC"/>
          <w:sz w:val="18"/>
        </w:rPr>
        <w:t>Output 保留 UNKNOWN、Evidence 和版本引用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7. </w:t>
      </w:r>
      <w:r>
        <w:rPr>
          <w:rFonts w:ascii="Noto Sans CJK SC" w:hAnsi="Noto Sans CJK SC" w:eastAsia="Noto Sans CJK SC"/>
          <w:sz w:val="18"/>
        </w:rPr>
        <w:t>高分不能覆盖 PROHIBITED、UNKNOWN、Human Anchor 或硬 Gate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8. </w:t>
      </w:r>
      <w:r>
        <w:rPr>
          <w:rFonts w:ascii="Noto Sans CJK SC" w:hAnsi="Noto Sans CJK SC" w:eastAsia="Noto Sans CJK SC"/>
          <w:sz w:val="18"/>
        </w:rPr>
        <w:t>产生 ObservationRecord 与追加式 AuditEvent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9. </w:t>
      </w:r>
      <w:r>
        <w:rPr>
          <w:rFonts w:ascii="Noto Sans CJK SC" w:hAnsi="Noto Sans CJK SC" w:eastAsia="Noto Sans CJK SC"/>
          <w:sz w:val="18"/>
        </w:rPr>
        <w:t>Snapshot/Audit 篡改可检测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10. </w:t>
      </w:r>
      <w:r>
        <w:rPr>
          <w:rFonts w:ascii="Noto Sans CJK SC" w:hAnsi="Noto Sans CJK SC" w:eastAsia="Noto Sans CJK SC"/>
          <w:sz w:val="18"/>
        </w:rPr>
        <w:t>第二干净环境走查通过</w:t>
      </w:r>
    </w:p>
    <w:p>
      <w:pPr>
        <w:pStyle w:val="Heading2"/>
      </w:pPr>
      <w:r>
        <w:t>1.3 不代表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完整 Console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普通用户独立使用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Copilot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主体/知识/Profile/I-O 可视化管理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企业审批、R4 或 Connector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Exact Replay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外部验证、企业 PoC、生产验证或合规认证</w:t>
      </w:r>
    </w:p>
    <w:p>
      <w:pPr>
        <w:pStyle w:val="Heading1"/>
        <w:pBdr>
          <w:bottom w:val="single" w:sz="8" w:space="3" w:color="B9C7D8"/>
        </w:pBdr>
      </w:pPr>
      <w:r>
        <w:t>2. 上位基线与继承约束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 w:val="true"/>
        </w:trPr>
        <w:tc>
          <w:tcPr>
            <w:tcW w:type="dxa" w:w="243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基线</w:t>
            </w:r>
          </w:p>
        </w:tc>
        <w:tc>
          <w:tcPr>
            <w:tcW w:type="dxa" w:w="1757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6009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继承内容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FS-OBS-REQ-BL-1.0</w:t>
            </w:r>
          </w:p>
        </w:tc>
        <w:tc>
          <w:tcPr>
            <w:tcW w:type="dxa" w:w="175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FROZEN</w:t>
            </w:r>
          </w:p>
        </w:tc>
        <w:tc>
          <w:tcPr>
            <w:tcW w:type="dxa" w:w="600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本地优先、观察不执行、UNKNOWN、Audit、边界与验收纪律</w:t>
            </w:r>
          </w:p>
        </w:tc>
      </w:tr>
      <w:tr>
        <w:trPr>
          <w:cantSplit/>
        </w:trPr>
        <w:tc>
          <w:tcPr>
            <w:tcW w:type="dxa" w:w="243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FS-OBS-ARCH-BL-1.0</w:t>
            </w:r>
          </w:p>
        </w:tc>
        <w:tc>
          <w:tcPr>
            <w:tcW w:type="dxa" w:w="175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FROZEN</w:t>
            </w:r>
          </w:p>
        </w:tc>
        <w:tc>
          <w:tcPr>
            <w:tcW w:type="dxa" w:w="600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模块化 Host、独立 Engine、数据所有权、信任区与禁止职责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FS-OBS-VRP-BL-1.0</w:t>
            </w:r>
          </w:p>
        </w:tc>
        <w:tc>
          <w:tcPr>
            <w:tcW w:type="dxa" w:w="175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FROZEN</w:t>
            </w:r>
          </w:p>
        </w:tc>
        <w:tc>
          <w:tcPr>
            <w:tcW w:type="dxa" w:w="600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v0.1 主目标、VG0-VG7、停止规则、Alpha 最低安全边界</w:t>
            </w:r>
          </w:p>
        </w:tc>
      </w:tr>
    </w:tbl>
    <w:p/>
    <w:p>
      <w:pPr>
        <w:pStyle w:val="ListBullet"/>
      </w:pPr>
      <w:r>
        <w:rPr>
          <w:rFonts w:ascii="Noto Sans CJK SC" w:hAnsi="Noto Sans CJK SC" w:eastAsia="Noto Sans CJK SC"/>
          <w:sz w:val="18"/>
        </w:rPr>
        <w:t>Engine 无 UI、DB、模型、企业凭证和副作用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Adapter 只转换，不计算最终治理结论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Schema Validation 与 Governance Validation 分离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非 STABLE 依赖固定版本和 digest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不产生 Certified/Authorized/ACTIVE_EXTERNAL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Raw Input 默认不长期保存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不同证据等级严格区分</w:t>
      </w:r>
    </w:p>
    <w:p>
      <w:pPr>
        <w:pStyle w:val="Heading1"/>
        <w:pBdr>
          <w:bottom w:val="single" w:sz="8" w:space="3" w:color="B9C7D8"/>
        </w:pBdr>
      </w:pPr>
      <w:r>
        <w:t>3. 目标用户与运行环境</w:t>
      </w:r>
    </w:p>
    <w:p>
      <w:pPr>
        <w:pStyle w:val="Heading2"/>
      </w:pPr>
      <w:r>
        <w:t>3.1 目标用户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项目维护者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Engine / I-O Contract 开发者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测试与验证人员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架构评审人员</w:t>
      </w:r>
    </w:p>
    <w:p>
      <w:pPr>
        <w:pStyle w:val="Heading2"/>
      </w:pPr>
      <w:r>
        <w:t>3.2 非目标用户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普通企业管理人员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只使用图形化产品的用户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需要 Copilot 或写回的用户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需要多用户治理平台的组织</w:t>
      </w:r>
    </w:p>
    <w:p>
      <w:pPr>
        <w:pStyle w:val="Heading2"/>
      </w:pPr>
      <w:r>
        <w:t>3.3 运行环境基线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Windows x64 为首要走查环境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运行时不依赖公网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模型、遥测、企业 Connector 不存在或关闭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最低系统版本、安装封装和调用入口在 VG2 决定</w:t>
      </w:r>
    </w:p>
    <w:p>
      <w:pPr>
        <w:pStyle w:val="Heading1"/>
        <w:pBdr>
          <w:bottom w:val="single" w:sz="8" w:space="3" w:color="B9C7D8"/>
        </w:pBdr>
      </w:pPr>
      <w:r>
        <w:t>4. 版本范围总览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  <w:tblHeader w:val="true"/>
        </w:trPr>
        <w:tc>
          <w:tcPr>
            <w:tcW w:type="dxa" w:w="10482"/>
            <w:shd w:fill="F7F8FA"/>
            <w:tcBorders>
              <w:top w:val="single" w:sz="5" w:color="D5D9E0"/>
              <w:left w:val="single" w:sz="5" w:color="D5D9E0"/>
              <w:bottom w:val="single" w:sz="5" w:color="D5D9E0"/>
              <w:right w:val="single" w:sz="5" w:color="D5D9E0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>Developer Input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 xml:space="preserve">  → Input &amp; Artifact Intake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 xml:space="preserve">  → Reference Adapter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 xml:space="preserve">  → Schema Validation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 xml:space="preserve">  → Governance Validation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 xml:space="preserve">  → RuntimeConfigurationSnapshot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 xml:space="preserve">  → Observer Engine Facade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 xml:space="preserve">  → Deterministic Observer Engine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 xml:space="preserve">  → Output Assembler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 xml:space="preserve">  → Observation Store + Append-only Audit Ledger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 w:val="true"/>
        </w:trPr>
        <w:tc>
          <w:tcPr>
            <w:tcW w:type="dxa" w:w="4535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2835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数量</w:t>
            </w:r>
          </w:p>
        </w:tc>
      </w:tr>
      <w:tr>
        <w:trPr>
          <w:cantSplit/>
        </w:trPr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FR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NFR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ER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AT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合计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24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822" w:right="879" w:bottom="765" w:left="879" w:header="720" w:footer="720" w:gutter="0"/>
          <w:cols w:space="720"/>
          <w:docGrid w:linePitch="360"/>
        </w:sectPr>
      </w:pPr>
    </w:p>
    <w:p>
      <w:pPr>
        <w:pStyle w:val="Heading1"/>
        <w:pBdr>
          <w:bottom w:val="single" w:sz="8" w:space="3" w:color="B9C7D8"/>
        </w:pBdr>
      </w:pPr>
      <w:r>
        <w:t>5. 版本级需求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4"/>
        <w:gridCol w:w="2174"/>
        <w:gridCol w:w="2174"/>
        <w:gridCol w:w="2174"/>
        <w:gridCol w:w="2174"/>
        <w:gridCol w:w="2174"/>
        <w:gridCol w:w="2174"/>
      </w:tblGrid>
      <w:tr>
        <w:trPr>
          <w:cantSplit/>
          <w:tblHeader w:val="true"/>
        </w:trPr>
        <w:tc>
          <w:tcPr>
            <w:tcW w:type="dxa" w:w="2381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版本需求 ID</w:t>
            </w:r>
          </w:p>
        </w:tc>
        <w:tc>
          <w:tcPr>
            <w:tcW w:type="dxa" w:w="907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1020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4082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版本范围</w:t>
            </w:r>
          </w:p>
        </w:tc>
        <w:tc>
          <w:tcPr>
            <w:tcW w:type="dxa" w:w="4252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版本验收</w:t>
            </w:r>
          </w:p>
        </w:tc>
        <w:tc>
          <w:tcPr>
            <w:tcW w:type="dxa" w:w="3685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明确不进入</w:t>
            </w:r>
          </w:p>
        </w:tc>
        <w:tc>
          <w:tcPr>
            <w:tcW w:type="dxa" w:w="1701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Primary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FR-SY-009@v0.1.0-alpha</w:t>
            </w:r>
          </w:p>
        </w:tc>
        <w:tc>
          <w:tcPr>
            <w:tcW w:type="dxa" w:w="90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Host 最小运行不依赖多租户、计费或 CRM。</w:t>
            </w:r>
          </w:p>
        </w:tc>
        <w:tc>
          <w:tcPr>
            <w:tcW w:type="dxa" w:w="425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构建和运行依赖清单中不存在这些模块。</w:t>
            </w:r>
          </w:p>
        </w:tc>
        <w:tc>
          <w:tcPr>
            <w:tcW w:type="dxa" w:w="368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不要求用户界面。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C-OPS-01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FR-AN-001@v0.1.0-alpha</w:t>
            </w:r>
          </w:p>
        </w:tc>
        <w:tc>
          <w:tcPr>
            <w:tcW w:type="dxa" w:w="90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提供内置 CASE、文件或 JSON 输入中的至少一种开发者入口，并可通过内部 API/CLI 发起分析。</w:t>
            </w:r>
          </w:p>
        </w:tc>
        <w:tc>
          <w:tcPr>
            <w:tcW w:type="dxa" w:w="425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固定 synthetic 输入可完成最小闭环；错误输入返回结构化错误。</w:t>
            </w:r>
          </w:p>
        </w:tc>
        <w:tc>
          <w:tcPr>
            <w:tcW w:type="dxa" w:w="368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不要求图形化上传、粘贴和公开 API。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C-EXE-01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FR-AN-002@v0.1.0-alpha</w:t>
            </w:r>
          </w:p>
        </w:tc>
        <w:tc>
          <w:tcPr>
            <w:tcW w:type="dxa" w:w="90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使用固定且显式的 RuntimeConfigurationSnapshot，引用内置 Industry/Domain/Adapter/Scenario/Profile/Template。</w:t>
            </w:r>
          </w:p>
        </w:tc>
        <w:tc>
          <w:tcPr>
            <w:tcW w:type="dxa" w:w="425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每次分析记录所有固定引用和 digest；不得使用隐式“当前最新”。</w:t>
            </w:r>
          </w:p>
        </w:tc>
        <w:tc>
          <w:tcPr>
            <w:tcW w:type="dxa" w:w="368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不要求自动建议和图形化选择。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C-EXE-04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FR-AN-004@v0.1.0-alpha</w:t>
            </w:r>
          </w:p>
        </w:tc>
        <w:tc>
          <w:tcPr>
            <w:tcW w:type="dxa" w:w="90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在执行链中独立运行 Schema Validation 与 Governance Validation。</w:t>
            </w:r>
          </w:p>
        </w:tc>
        <w:tc>
          <w:tcPr>
            <w:tcW w:type="dxa" w:w="425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格式错误和证据/治理上下文不足分别返回不同状态和 reason_code。</w:t>
            </w:r>
          </w:p>
        </w:tc>
        <w:tc>
          <w:tcPr>
            <w:tcW w:type="dxa" w:w="368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不要求完整 UI 分区展示。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C-EXE-03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FR-AN-005@v0.1.0-alpha</w:t>
            </w:r>
          </w:p>
        </w:tc>
        <w:tc>
          <w:tcPr>
            <w:tcW w:type="dxa" w:w="90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保存 Engine 产生的结构化治理输出及适用字段。</w:t>
            </w:r>
          </w:p>
        </w:tc>
        <w:tc>
          <w:tcPr>
            <w:tcW w:type="dxa" w:w="425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Output Envelope 可读取 FSHI/Risk/UNKNOWN/Explanation/Runestone/Human Review/Audit 引用；不适用项明确。</w:t>
            </w:r>
          </w:p>
        </w:tc>
        <w:tc>
          <w:tcPr>
            <w:tcW w:type="dxa" w:w="368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不要求图形化展示。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C-EXE-07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FR-AN-006@v0.1.0-alpha</w:t>
            </w:r>
          </w:p>
        </w:tc>
        <w:tc>
          <w:tcPr>
            <w:tcW w:type="dxa" w:w="90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输出保留 Evidence/Profile/Policy/Knowledge/Subject/Version 引用。</w:t>
            </w:r>
          </w:p>
        </w:tc>
        <w:tc>
          <w:tcPr>
            <w:tcW w:type="dxa" w:w="425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Golden CASE 中每个正式结论至少可解析到结构化引用或明确缺失状态。</w:t>
            </w:r>
          </w:p>
        </w:tc>
        <w:tc>
          <w:tcPr>
            <w:tcW w:type="dxa" w:w="368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不要求点击式因果链页面。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C-EXE-07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FR-AN-007@v0.1.0-alpha</w:t>
            </w:r>
          </w:p>
        </w:tc>
        <w:tc>
          <w:tcPr>
            <w:tcW w:type="dxa" w:w="90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UNKNOWN 作为独立结构保存来源、影响和复核标志。</w:t>
            </w:r>
          </w:p>
        </w:tc>
        <w:tc>
          <w:tcPr>
            <w:tcW w:type="dxa" w:w="425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缺失值不被转为 0/低风险；结构化输出可区分 UNKNOWN、ERROR、NOT_APPLICABLE。</w:t>
            </w:r>
          </w:p>
        </w:tc>
        <w:tc>
          <w:tcPr>
            <w:tcW w:type="dxa" w:w="368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不要求完整补证建议 UI。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C-EXE-07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FR-AN-008@v0.1.0-alpha</w:t>
            </w:r>
          </w:p>
        </w:tc>
        <w:tc>
          <w:tcPr>
            <w:tcW w:type="dxa" w:w="90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分析必须生成唯一 observation_id、trace_id 和完整 Audit Event。</w:t>
            </w:r>
          </w:p>
        </w:tc>
        <w:tc>
          <w:tcPr>
            <w:tcW w:type="dxa" w:w="425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重复请求可通过幂等键识别；历史结果不被覆盖。</w:t>
            </w:r>
          </w:p>
        </w:tc>
        <w:tc>
          <w:tcPr>
            <w:tcW w:type="dxa" w:w="368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完整系统需求即本版本范围；后续扩展仍按上位基线管理。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C-EVD-01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FR-PF-005@v0.1.0-alpha</w:t>
            </w:r>
          </w:p>
        </w:tc>
        <w:tc>
          <w:tcPr>
            <w:tcW w:type="dxa" w:w="90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Engine 输出和 Facade 不允许综合分数覆盖 PROHIBITED、UNKNOWN、Human Anchor 或硬 Gate。</w:t>
            </w:r>
          </w:p>
        </w:tc>
        <w:tc>
          <w:tcPr>
            <w:tcW w:type="dxa" w:w="425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Golden CASE 验证高总分下的硬条件仍独立保留并触发相应状态。</w:t>
            </w:r>
          </w:p>
        </w:tc>
        <w:tc>
          <w:tcPr>
            <w:tcW w:type="dxa" w:w="368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不要求完整 Profile Registry。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C-EXE-06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FR-PF-006@v0.1.0-alpha</w:t>
            </w:r>
          </w:p>
        </w:tc>
        <w:tc>
          <w:tcPr>
            <w:tcW w:type="dxa" w:w="90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Observer 输出仅为本地条件评估/候选，不产生外部认证或授权。</w:t>
            </w:r>
          </w:p>
        </w:tc>
        <w:tc>
          <w:tcPr>
            <w:tcW w:type="dxa" w:w="425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结果字段和示例不包含 Observer 自签发的 Certified/Authorized 状态。</w:t>
            </w:r>
          </w:p>
        </w:tc>
        <w:tc>
          <w:tcPr>
            <w:tcW w:type="dxa" w:w="368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不实现认证管理。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C-EXE-06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FR-AU-001@v0.1.0-alpha</w:t>
            </w:r>
          </w:p>
        </w:tc>
        <w:tc>
          <w:tcPr>
            <w:tcW w:type="dxa" w:w="90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所有分析、配置、审批、工具调用和高风险操作必须写入追加式 Audit Event。</w:t>
            </w:r>
          </w:p>
        </w:tc>
        <w:tc>
          <w:tcPr>
            <w:tcW w:type="dxa" w:w="425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不得覆盖历史事件。</w:t>
            </w:r>
          </w:p>
        </w:tc>
        <w:tc>
          <w:tcPr>
            <w:tcW w:type="dxa" w:w="368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完整系统需求即本版本范围；后续扩展仍按上位基线管理。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C-EVD-02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FR-AU-002@v0.1.0-alpha</w:t>
            </w:r>
          </w:p>
        </w:tc>
        <w:tc>
          <w:tcPr>
            <w:tcW w:type="dxa" w:w="90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Audit Event 必须具有 canonical serialization、event_hash、previous_hash 或等价完整性机制。</w:t>
            </w:r>
          </w:p>
        </w:tc>
        <w:tc>
          <w:tcPr>
            <w:tcW w:type="dxa" w:w="425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系统提供完整性验证结果。</w:t>
            </w:r>
          </w:p>
        </w:tc>
        <w:tc>
          <w:tcPr>
            <w:tcW w:type="dxa" w:w="368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完整系统需求即本版本范围；后续扩展仍按上位基线管理。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C-EVD-02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NFR-AUD-001@v0.1.0-alpha</w:t>
            </w:r>
          </w:p>
        </w:tc>
        <w:tc>
          <w:tcPr>
            <w:tcW w:type="dxa" w:w="90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NFR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输出和证据中区分单元测试、Golden/synthetic CASE 与运行结果。</w:t>
            </w:r>
          </w:p>
        </w:tc>
        <w:tc>
          <w:tcPr>
            <w:tcW w:type="dxa" w:w="425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Release Evidence 不把 141 tests 等同外部验证。</w:t>
            </w:r>
          </w:p>
        </w:tc>
        <w:tc>
          <w:tcPr>
            <w:tcW w:type="dxa" w:w="368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不要求 UI 展示全部证据等级。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C-EVD-02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NFR-LOC-001@v0.1.0-alpha</w:t>
            </w:r>
          </w:p>
        </w:tc>
        <w:tc>
          <w:tcPr>
            <w:tcW w:type="dxa" w:w="90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NFR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关闭互联网和模型后，最小 CASE 分析、Output 和 Audit 可运行。</w:t>
            </w:r>
          </w:p>
        </w:tc>
        <w:tc>
          <w:tcPr>
            <w:tcW w:type="dxa" w:w="425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干净环境断网执行通过。</w:t>
            </w:r>
          </w:p>
        </w:tc>
        <w:tc>
          <w:tcPr>
            <w:tcW w:type="dxa" w:w="368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不要求完整治理管理页面。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C-OPS-01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NFR-PERF-002@v0.1.0-alpha</w:t>
            </w:r>
          </w:p>
        </w:tc>
        <w:tc>
          <w:tcPr>
            <w:tcW w:type="dxa" w:w="90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NFR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内部 API/CLI 提供任务状态、超时和失败 reason_code。</w:t>
            </w:r>
          </w:p>
        </w:tc>
        <w:tc>
          <w:tcPr>
            <w:tcW w:type="dxa" w:w="425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长任务可超时/取消或明确不支持取消；不无反馈挂起。</w:t>
            </w:r>
          </w:p>
        </w:tc>
        <w:tc>
          <w:tcPr>
            <w:tcW w:type="dxa" w:w="368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不要求图形进度。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C-CTL-04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NFR-PRV-001@v0.1.0-alpha</w:t>
            </w:r>
          </w:p>
        </w:tc>
        <w:tc>
          <w:tcPr>
            <w:tcW w:type="dxa" w:w="90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NFR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最小 CASE 只收集 Engine 必要字段，Raw 默认不持久化。</w:t>
            </w:r>
          </w:p>
        </w:tc>
        <w:tc>
          <w:tcPr>
            <w:tcW w:type="dxa" w:w="425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Runtime Snapshot/Output 不包含无关字段；扩展字段显式。</w:t>
            </w:r>
          </w:p>
        </w:tc>
        <w:tc>
          <w:tcPr>
            <w:tcW w:type="dxa" w:w="368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不涉及模型外发。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C-EVD-04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NFR-REL-001@v0.1.0-alpha</w:t>
            </w:r>
          </w:p>
        </w:tc>
        <w:tc>
          <w:tcPr>
            <w:tcW w:type="dxa" w:w="90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NFR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单个 Adapter 失败不导致 Engine 进程和历史 Audit 不可用。</w:t>
            </w:r>
          </w:p>
        </w:tc>
        <w:tc>
          <w:tcPr>
            <w:tcW w:type="dxa" w:w="425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故障注入后可继续读取历史记录并运行有效 CASE。</w:t>
            </w:r>
          </w:p>
        </w:tc>
        <w:tc>
          <w:tcPr>
            <w:tcW w:type="dxa" w:w="368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不涉及 Copilot/Connector。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C-CTL-04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NFR-REL-002@v0.1.0-alpha</w:t>
            </w:r>
          </w:p>
        </w:tc>
        <w:tc>
          <w:tcPr>
            <w:tcW w:type="dxa" w:w="90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NFR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分析请求支持幂等键或等价去重，重试不产生重复 Observation 成功记录。</w:t>
            </w:r>
          </w:p>
        </w:tc>
        <w:tc>
          <w:tcPr>
            <w:tcW w:type="dxa" w:w="425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重复请求测试通过。</w:t>
            </w:r>
          </w:p>
        </w:tc>
        <w:tc>
          <w:tcPr>
            <w:tcW w:type="dxa" w:w="368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不涉及 R3/R4。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C-CTL-04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NFR-SEC-001@v0.1.0-alpha</w:t>
            </w:r>
          </w:p>
        </w:tc>
        <w:tc>
          <w:tcPr>
            <w:tcW w:type="dxa" w:w="90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NFR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外网、远程模型、遥测、企业写回和 R4 工具默认不存在或关闭。</w:t>
            </w:r>
          </w:p>
        </w:tc>
        <w:tc>
          <w:tcPr>
            <w:tcW w:type="dxa" w:w="425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安装后无需联网；配置中无默认外发目标。</w:t>
            </w:r>
          </w:p>
        </w:tc>
        <w:tc>
          <w:tcPr>
            <w:tcW w:type="dxa" w:w="368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不要求完整权限控制面。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C-CTL-01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NFR-SEC-003@v0.1.0-alpha</w:t>
            </w:r>
          </w:p>
        </w:tc>
        <w:tc>
          <w:tcPr>
            <w:tcW w:type="dxa" w:w="90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NFR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日志和输出不记录明文秘密；Raw Input 默认不长期保存。</w:t>
            </w:r>
          </w:p>
        </w:tc>
        <w:tc>
          <w:tcPr>
            <w:tcW w:type="dxa" w:w="425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测试验证错误路径不泄露秘密或完整敏感输入。</w:t>
            </w:r>
          </w:p>
        </w:tc>
        <w:tc>
          <w:tcPr>
            <w:tcW w:type="dxa" w:w="368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不包含模型/备份/Connector 全链路。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C-EVD-04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NFR-SEC-005@v0.1.0-alpha</w:t>
            </w:r>
          </w:p>
        </w:tc>
        <w:tc>
          <w:tcPr>
            <w:tcW w:type="dxa" w:w="90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NFR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Audit 和 Runtime Snapshot 至少通过 digest/hash 验证完整性。</w:t>
            </w:r>
          </w:p>
        </w:tc>
        <w:tc>
          <w:tcPr>
            <w:tcW w:type="dxa" w:w="425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Golden 执行可检测修改后的关键制品。</w:t>
            </w:r>
          </w:p>
        </w:tc>
        <w:tc>
          <w:tcPr>
            <w:tcW w:type="dxa" w:w="368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不要求完整 ReplayBundle。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C-EVD-02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NFR-SEC-006@v0.1.0-alpha</w:t>
            </w:r>
          </w:p>
        </w:tc>
        <w:tc>
          <w:tcPr>
            <w:tcW w:type="dxa" w:w="90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NFR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数据库/签名等本地秘密不写入报告、错误或日志。</w:t>
            </w:r>
          </w:p>
        </w:tc>
        <w:tc>
          <w:tcPr>
            <w:tcW w:type="dxa" w:w="425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静态检查和错误路径测试通过。</w:t>
            </w:r>
          </w:p>
        </w:tc>
        <w:tc>
          <w:tcPr>
            <w:tcW w:type="dxa" w:w="368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不包含模型和 Connector 秘密。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C-EVD-05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ER-002@v0.1.0-alpha</w:t>
            </w:r>
          </w:p>
        </w:tc>
        <w:tc>
          <w:tcPr>
            <w:tcW w:type="dxa" w:w="90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ER</w:t>
            </w:r>
          </w:p>
        </w:tc>
        <w:tc>
          <w:tcPr>
            <w:tcW w:type="dxa" w:w="10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MUST</w:t>
            </w:r>
          </w:p>
        </w:tc>
        <w:tc>
          <w:tcPr>
            <w:tcW w:type="dxa" w:w="408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Adapter 失败保留原始输入引用、错误字段和 reason_code，不生成成功 Context。</w:t>
            </w:r>
          </w:p>
        </w:tc>
        <w:tc>
          <w:tcPr>
            <w:tcW w:type="dxa" w:w="425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故障 CASE 验证 Engine 未被调用或结果标记失败。</w:t>
            </w:r>
          </w:p>
        </w:tc>
        <w:tc>
          <w:tcPr>
            <w:tcW w:type="dxa" w:w="368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不要求版本迁移。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C-EXE-02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AT-09@v0.1.0-alpha</w:t>
            </w:r>
          </w:p>
        </w:tc>
        <w:tc>
          <w:tcPr>
            <w:tcW w:type="dxa" w:w="90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AT</w:t>
            </w:r>
          </w:p>
        </w:tc>
        <w:tc>
          <w:tcPr>
            <w:tcW w:type="dxa" w:w="10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ACCEPTANCE</w:t>
            </w:r>
          </w:p>
        </w:tc>
        <w:tc>
          <w:tcPr>
            <w:tcW w:type="dxa" w:w="408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Golden CASE 验证高 FSHI 下 PROHIBITED/UNKNOWN 硬条件仍触发人工复核。</w:t>
            </w:r>
          </w:p>
        </w:tc>
        <w:tc>
          <w:tcPr>
            <w:tcW w:type="dxa" w:w="425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Engine/Facade 输出保持硬条件。</w:t>
            </w:r>
          </w:p>
        </w:tc>
        <w:tc>
          <w:tcPr>
            <w:tcW w:type="dxa" w:w="368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不要求 Profile 生命周期。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C-EXE-06</w:t>
            </w:r>
          </w:p>
        </w:tc>
      </w:tr>
    </w:tbl>
    <w:p/>
    <w:p>
      <w:pPr>
        <w:pStyle w:val="Heading2"/>
      </w:pPr>
      <w:r>
        <w:t>5.1 版本架构约束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7"/>
        <w:gridCol w:w="2347"/>
        <w:gridCol w:w="2347"/>
        <w:gridCol w:w="2347"/>
        <w:gridCol w:w="2347"/>
        <w:gridCol w:w="2347"/>
      </w:tblGrid>
      <w:tr>
        <w:tc>
          <w:tcPr>
            <w:tcW w:type="dxa" w:w="2347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  <w:insideH w:val="single" w:sz="5" w:color="6B46A1"/>
              <w:insideV w:val="single" w:sz="5" w:color="6B46A1"/>
            </w:tcBorders>
          </w:tcPr>
          <w:p>
            <w:r>
              <w:rPr>
                <w:b/>
              </w:rPr>
              <w:t>约束 ID</w:t>
            </w:r>
          </w:p>
        </w:tc>
        <w:tc>
          <w:tcPr>
            <w:tcW w:type="dxa" w:w="2347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  <w:insideH w:val="single" w:sz="5" w:color="6B46A1"/>
              <w:insideV w:val="single" w:sz="5" w:color="6B46A1"/>
            </w:tcBorders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347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  <w:insideH w:val="single" w:sz="5" w:color="6B46A1"/>
              <w:insideV w:val="single" w:sz="5" w:color="6B46A1"/>
            </w:tcBorders>
          </w:tcPr>
          <w:p>
            <w:r>
              <w:rPr>
                <w:b/>
              </w:rPr>
              <w:t>强度</w:t>
            </w:r>
          </w:p>
        </w:tc>
        <w:tc>
          <w:tcPr>
            <w:tcW w:type="dxa" w:w="2347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  <w:insideH w:val="single" w:sz="5" w:color="6B46A1"/>
              <w:insideV w:val="single" w:sz="5" w:color="6B46A1"/>
            </w:tcBorders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347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  <w:insideH w:val="single" w:sz="5" w:color="6B46A1"/>
              <w:insideV w:val="single" w:sz="5" w:color="6B46A1"/>
            </w:tcBorders>
          </w:tcPr>
          <w:p>
            <w:r>
              <w:rPr>
                <w:b/>
              </w:rPr>
              <w:t>禁止</w:t>
            </w:r>
          </w:p>
        </w:tc>
        <w:tc>
          <w:tcPr>
            <w:tcW w:type="dxa" w:w="2347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  <w:insideH w:val="single" w:sz="5" w:color="6B46A1"/>
              <w:insideV w:val="single" w:sz="5" w:color="6B46A1"/>
            </w:tcBorders>
          </w:tcPr>
          <w:p>
            <w:r>
              <w:rPr>
                <w:b/>
              </w:rPr>
              <w:t>验收</w:t>
            </w:r>
          </w:p>
        </w:tc>
      </w:tr>
      <w:tr>
        <w:tc>
          <w:tcPr>
            <w:tcW w:type="dxa" w:w="234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VAC-FK-001</w:t>
            </w:r>
          </w:p>
        </w:tc>
        <w:tc>
          <w:tcPr>
            <w:tcW w:type="dxa" w:w="234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Engine Facade 单一正式调用边界</w:t>
            </w:r>
          </w:p>
        </w:tc>
        <w:tc>
          <w:tcPr>
            <w:tcW w:type="dxa" w:w="234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MUST</w:t>
            </w:r>
          </w:p>
        </w:tc>
        <w:tc>
          <w:tcPr>
            <w:tcW w:type="dxa" w:w="234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正式治理计算只能通过版本化 Facade 调用固定 Engine。</w:t>
            </w:r>
          </w:p>
        </w:tc>
        <w:tc>
          <w:tcPr>
            <w:tcW w:type="dxa" w:w="234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System 不得复制、分叉或重写正式 FSHI/Risk/ESS/Gate/UNKNOWN/Explanation/Runestone 逻辑。</w:t>
            </w:r>
          </w:p>
        </w:tc>
        <w:tc>
          <w:tcPr>
            <w:tcW w:type="dxa" w:w="234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结果可追踪固定 Engine/Facade；代码审查和测试证明不存在第二套正式治理计算。</w:t>
            </w:r>
          </w:p>
        </w:tc>
      </w:tr>
    </w:tbl>
    <w:p>
      <w:r>
        <w:t>该约束不是新增产品功能，而是把已冻结的 Engine 隔离和单一治理计算源转化为版本级可追踪合同。</w:t>
      </w:r>
    </w:p>
    <w:p>
      <w:pPr>
        <w:pStyle w:val="Heading1"/>
        <w:pBdr>
          <w:bottom w:val="single" w:sz="8" w:space="3" w:color="B9C7D8"/>
        </w:pBdr>
      </w:pPr>
      <w:r>
        <w:t>6. 进入范围的逻辑组件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  <w:gridCol w:w="3043"/>
        <w:gridCol w:w="3043"/>
      </w:tblGrid>
      <w:tr>
        <w:trPr>
          <w:cantSplit/>
          <w:tblHeader w:val="true"/>
        </w:trPr>
        <w:tc>
          <w:tcPr>
            <w:tcW w:type="dxa" w:w="1814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组件</w:t>
            </w:r>
          </w:p>
        </w:tc>
        <w:tc>
          <w:tcPr>
            <w:tcW w:type="dxa" w:w="2835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1928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交付模式</w:t>
            </w:r>
          </w:p>
        </w:tc>
        <w:tc>
          <w:tcPr>
            <w:tcW w:type="dxa" w:w="5669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v0.1 职责</w:t>
            </w:r>
          </w:p>
        </w:tc>
        <w:tc>
          <w:tcPr>
            <w:tcW w:type="dxa" w:w="4819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禁止/延期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C-API-01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Application Use Case Interface</w:t>
            </w:r>
          </w:p>
        </w:tc>
        <w:tc>
          <w:tcPr>
            <w:tcW w:type="dxa" w:w="192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MINIMAL_IN_SCOPE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提供一种稳定的本地机器调用边界，供 CLI 或本地 API 适配；返回结构化状态和错误。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不承诺公开 API；不形成第二套业务逻辑。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C-CTL-04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Minimal Job Runner</w:t>
            </w:r>
          </w:p>
        </w:tc>
        <w:tc>
          <w:tcPr>
            <w:tcW w:type="dxa" w:w="192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MINIMAL_IN_SCOPE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分配 operation_id，记录状态、超时、取消能力说明、幂等键与失败 reason_code。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不建设完整队列平台、调度中心或分布式任务。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C-EXE-01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Input &amp; Artifact Intake</w:t>
            </w:r>
          </w:p>
        </w:tc>
        <w:tc>
          <w:tcPr>
            <w:tcW w:type="dxa" w:w="192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IN_SCOPE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接受内置 synthetic CASE、文件或 JSON 中至少一种开发者输入，执行大小/类型/来源检查。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Raw Input 默认不长期保存；不提供图形化上传。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C-EXE-02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Adapter Runtime</w:t>
            </w:r>
          </w:p>
        </w:tc>
        <w:tc>
          <w:tcPr>
            <w:tcW w:type="dxa" w:w="192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IN_SCOPE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执行一个固定版本的参考 Adapter，把 Raw Input 转换为 GovernanceEvent/CanonicalContext。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不计算最终风险或 Gate；不支持在线编辑。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C-EXE-03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Validation Pipeline</w:t>
            </w:r>
          </w:p>
        </w:tc>
        <w:tc>
          <w:tcPr>
            <w:tcW w:type="dxa" w:w="192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IN_SCOPE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独立执行 Schema Validation 与 Governance Validation，输出不同状态与 reason_code。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不得把格式错误当治理风险，也不得静默补齐 UNKNOWN。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C-EXE-04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Runtime Configuration Resolver</w:t>
            </w:r>
          </w:p>
        </w:tc>
        <w:tc>
          <w:tcPr>
            <w:tcW w:type="dxa" w:w="192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IN_SCOPE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生成不可变 RuntimeConfigurationSnapshot，固定 Engine、Adapter、Schema、Scenario、Profile、Knowledge、Template 引用和 digest。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禁止引用 latest/current。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C-EXE-05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Observer Engine Facade</w:t>
            </w:r>
          </w:p>
        </w:tc>
        <w:tc>
          <w:tcPr>
            <w:tcW w:type="dxa" w:w="192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IN_SCOPE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隔离 System 与 Engine 合同，处理调用、超时、错误映射和版本信息。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不复制 Engine 算法；不访问企业系统。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C-EXE-06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Observer Engine Core</w:t>
            </w:r>
          </w:p>
        </w:tc>
        <w:tc>
          <w:tcPr>
            <w:tcW w:type="dxa" w:w="192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PINNED_DEPENDENCY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执行确定性 FSHI/Risk/UNKNOWN/Explanation/Runestone/Human Review 等正式计算。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无 UI、DB、模型、外网和企业副作用。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C-EXE-07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Output Assembler</w:t>
            </w:r>
          </w:p>
        </w:tc>
        <w:tc>
          <w:tcPr>
            <w:tcW w:type="dxa" w:w="192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IN_SCOPE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保存原始 Engine 输出，补充系统引用、适用性和关联 Audit，不改写正式结论。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不伪造缺失分值，不覆盖硬 Gate。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C-EVD-01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Observation Store</w:t>
            </w:r>
          </w:p>
        </w:tc>
        <w:tc>
          <w:tcPr>
            <w:tcW w:type="dxa" w:w="192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IN_SCOPE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保存 ObservationRecord、operation/trace 状态、输出引用和幂等结果。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不作为不可变 Audit 账本。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C-EVD-02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Append-only Audit Ledger</w:t>
            </w:r>
          </w:p>
        </w:tc>
        <w:tc>
          <w:tcPr>
            <w:tcW w:type="dxa" w:w="192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IN_SCOPE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追加 AuditEvent，执行 canonical serialization、event_hash、previous_hash 和完整性验证。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禁止覆盖历史事件。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C-EVD-04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Local Artifact Store</w:t>
            </w:r>
          </w:p>
        </w:tc>
        <w:tc>
          <w:tcPr>
            <w:tcW w:type="dxa" w:w="192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MINIMAL_IN_SCOPE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保存 synthetic Fixture、结构化输出、可选脱敏中间制品和 digest。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Raw 企业输入默认不持久化。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C-EVD-05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Secret Handling</w:t>
            </w:r>
          </w:p>
        </w:tc>
        <w:tc>
          <w:tcPr>
            <w:tcW w:type="dxa" w:w="192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MINIMAL_IN_SCOPE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默认运行不需要外部秘密；如存在本地存储/签名秘密，仅保存引用并防止日志泄露。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不建设企业密钥平台。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C-OPS-01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Health &amp; Diagnostics</w:t>
            </w:r>
          </w:p>
        </w:tc>
        <w:tc>
          <w:tcPr>
            <w:tcW w:type="dxa" w:w="192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MINIMAL_IN_SCOPE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提供版本、依赖、健康状态、结构化日志和离线运行诊断。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不启用遥测，不发送外部诊断。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C-CFG-02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Static Contract Catalog</w:t>
            </w:r>
          </w:p>
        </w:tc>
        <w:tc>
          <w:tcPr>
            <w:tcW w:type="dxa" w:w="192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STATIC_REFERENCE_ONLY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随包固定 Schema/Contract 版本、digest 和兼容声明。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不提供 Schema Registry UI、发布或动态编辑。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PACK-01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Built-in Foundation Case Pack</w:t>
            </w:r>
          </w:p>
        </w:tc>
        <w:tc>
          <w:tcPr>
            <w:tcW w:type="dxa" w:w="192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STATIC_REFERENCE_ONLY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提供固定 Industry/Domain/Adapter/Scenario/Profile/Knowledge/Report 引用和 Golden Fixtures。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不建设 Industry/Profile/Knowledge Registry。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6B46A1"/>
          <w:sz w:val="18"/>
        </w:rPr>
        <w:t>逻辑组件是责任边界，不等于 16 个服务、程序集或进程。v0.1 可以采用一个模块化单体 Host，但必须保持合同和数据所有权。</w:t>
      </w:r>
    </w:p>
    <w:p>
      <w:pPr>
        <w:pStyle w:val="Heading1"/>
        <w:pBdr>
          <w:bottom w:val="single" w:sz="8" w:space="3" w:color="B9C7D8"/>
        </w:pBdr>
      </w:pPr>
      <w:r>
        <w:t>7. 明确不进入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2"/>
        <w:gridCol w:w="5072"/>
        <w:gridCol w:w="5072"/>
      </w:tblGrid>
      <w:tr>
        <w:trPr>
          <w:cantSplit/>
          <w:tblHeader w:val="true"/>
        </w:trPr>
        <w:tc>
          <w:tcPr>
            <w:tcW w:type="dxa" w:w="2835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组件/能力</w:t>
            </w:r>
          </w:p>
        </w:tc>
        <w:tc>
          <w:tcPr>
            <w:tcW w:type="dxa" w:w="9071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本版本明确不进入</w:t>
            </w:r>
          </w:p>
        </w:tc>
        <w:tc>
          <w:tcPr>
            <w:tcW w:type="dxa" w:w="2835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目标阶段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C-EXP-01</w:t>
            </w:r>
          </w:p>
        </w:tc>
        <w:tc>
          <w:tcPr>
            <w:tcW w:type="dxa" w:w="90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完整 Observer Console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v0.3.0-beta</w:t>
            </w:r>
          </w:p>
        </w:tc>
      </w:tr>
      <w:tr>
        <w:trPr>
          <w:cantSplit/>
        </w:trPr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C-EXP-02</w:t>
            </w:r>
          </w:p>
        </w:tc>
        <w:tc>
          <w:tcPr>
            <w:tcW w:type="dxa" w:w="90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Observer Copilot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v0.5.0-beta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C-CTL-01</w:t>
            </w:r>
          </w:p>
        </w:tc>
        <w:tc>
          <w:tcPr>
            <w:tcW w:type="dxa" w:w="90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完整 Tool Gateway / R0-R4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v0.4.0-beta</w:t>
            </w:r>
          </w:p>
        </w:tc>
      </w:tr>
      <w:tr>
        <w:trPr>
          <w:cantSplit/>
        </w:trPr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C-CTL-02</w:t>
            </w:r>
          </w:p>
        </w:tc>
        <w:tc>
          <w:tcPr>
            <w:tcW w:type="dxa" w:w="90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多用户 IAM / Scope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v0.4.0-beta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C-CTL-03</w:t>
            </w:r>
          </w:p>
        </w:tc>
        <w:tc>
          <w:tcPr>
            <w:tcW w:type="dxa" w:w="90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Approval &amp; Human Anchor Workflow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v0.4.0-beta</w:t>
            </w:r>
          </w:p>
        </w:tc>
      </w:tr>
      <w:tr>
        <w:trPr>
          <w:cantSplit/>
        </w:trPr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C-CFG-01</w:t>
            </w:r>
          </w:p>
        </w:tc>
        <w:tc>
          <w:tcPr>
            <w:tcW w:type="dxa" w:w="90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Subject Registry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v0.4.0-beta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C-CFG-03</w:t>
            </w:r>
          </w:p>
        </w:tc>
        <w:tc>
          <w:tcPr>
            <w:tcW w:type="dxa" w:w="90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Industry &amp; Business Registry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v0.4.0-beta</w:t>
            </w:r>
          </w:p>
        </w:tc>
      </w:tr>
      <w:tr>
        <w:trPr>
          <w:cantSplit/>
        </w:trPr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C-CFG-04</w:t>
            </w:r>
          </w:p>
        </w:tc>
        <w:tc>
          <w:tcPr>
            <w:tcW w:type="dxa" w:w="90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Profile Registry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v0.4.0-beta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C-CFG-05</w:t>
            </w:r>
          </w:p>
        </w:tc>
        <w:tc>
          <w:tcPr>
            <w:tcW w:type="dxa" w:w="90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Knowledge Registry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v0.4.0-beta</w:t>
            </w:r>
          </w:p>
        </w:tc>
      </w:tr>
      <w:tr>
        <w:trPr>
          <w:cantSplit/>
        </w:trPr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C-CFG-06</w:t>
            </w:r>
          </w:p>
        </w:tc>
        <w:tc>
          <w:tcPr>
            <w:tcW w:type="dxa" w:w="90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Report Template Registry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v0.3/v0.4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C-CFG-07 / C-INT-01</w:t>
            </w:r>
          </w:p>
        </w:tc>
        <w:tc>
          <w:tcPr>
            <w:tcW w:type="dxa" w:w="90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Model Provider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v0.5.0-beta</w:t>
            </w:r>
          </w:p>
        </w:tc>
      </w:tr>
      <w:tr>
        <w:trPr>
          <w:cantSplit/>
        </w:trPr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C-EVD-03</w:t>
            </w:r>
          </w:p>
        </w:tc>
        <w:tc>
          <w:tcPr>
            <w:tcW w:type="dxa" w:w="90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完整 Replay Store / Diff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v0.4.0-beta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C-INT-02 / C-INT-03</w:t>
            </w:r>
          </w:p>
        </w:tc>
        <w:tc>
          <w:tcPr>
            <w:tcW w:type="dxa" w:w="90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企业 Handoff / Connector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v0.6.0-rc.1</w:t>
            </w:r>
          </w:p>
        </w:tc>
      </w:tr>
      <w:tr>
        <w:trPr>
          <w:cantSplit/>
        </w:trPr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C-OPS-02</w:t>
            </w:r>
          </w:p>
        </w:tc>
        <w:tc>
          <w:tcPr>
            <w:tcW w:type="dxa" w:w="90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企业备份、恢复与 Retention 作业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v0.6.0-rc.1</w:t>
            </w:r>
          </w:p>
        </w:tc>
      </w:tr>
    </w:tbl>
    <w:p/>
    <w:p>
      <w:pPr>
        <w:sectPr>
          <w:headerReference w:type="default" r:id="rId11"/>
          <w:footerReference w:type="default" r:id="rId12"/>
          <w:pgSz w:w="15840" w:h="12240" w:orient="landscape"/>
          <w:pgMar w:top="510" w:right="312" w:bottom="510" w:left="312" w:header="720" w:footer="720" w:gutter="0"/>
          <w:cols w:space="720"/>
          <w:docGrid w:linePitch="360"/>
        </w:sectPr>
      </w:pPr>
    </w:p>
    <w:p>
      <w:pPr>
        <w:pStyle w:val="Heading2"/>
      </w:pPr>
      <w:r>
        <w:t>7.1 Foundation Kernel 技术复杂度上限</w:t>
      </w:r>
    </w:p>
    <w:p>
      <w:r>
        <w:t>除非 VG2 以 ADR 证明某项是实现最小闭环的唯一合理方式，本版本不得建设以下能力：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4694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  <w:insideH w:val="single" w:sz="5" w:color="A61B1B"/>
              <w:insideV w:val="single" w:sz="5" w:color="A61B1B"/>
            </w:tcBorders>
          </w:tcPr>
          <w:p>
            <w:r>
              <w:rPr>
                <w:b/>
              </w:rPr>
              <w:t>技术能力</w:t>
            </w:r>
          </w:p>
        </w:tc>
        <w:tc>
          <w:tcPr>
            <w:tcW w:type="dxa" w:w="4694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  <w:insideH w:val="single" w:sz="5" w:color="A61B1B"/>
              <w:insideV w:val="single" w:sz="5" w:color="A61B1B"/>
            </w:tcBorders>
          </w:tcPr>
          <w:p>
            <w:r>
              <w:rPr>
                <w:b/>
              </w:rPr>
              <w:t>状态</w:t>
            </w:r>
          </w:p>
        </w:tc>
        <w:tc>
          <w:tcPr>
            <w:tcW w:type="dxa" w:w="4694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  <w:insideH w:val="single" w:sz="5" w:color="A61B1B"/>
              <w:insideV w:val="single" w:sz="5" w:color="A61B1B"/>
            </w:tcBorders>
          </w:tcPr>
          <w:p>
            <w:r>
              <w:rPr>
                <w:b/>
              </w:rPr>
              <w:t>规则</w:t>
            </w:r>
          </w:p>
        </w:tc>
      </w:tr>
      <w:tr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微服务拆分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OUT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模块化单体内保持逻辑边界。</w:t>
            </w:r>
          </w:p>
        </w:tc>
      </w:tr>
      <w:tr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分布式消息队列/缓存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OUT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只实现最小本地 Operation/Job。</w:t>
            </w:r>
          </w:p>
        </w:tc>
      </w:tr>
      <w:tr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集群、高可用、故障转移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OUT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不属于 Internal Alpha。</w:t>
            </w:r>
          </w:p>
        </w:tc>
      </w:tr>
      <w:tr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多租户、计费、CRM、SaaS 账户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OUT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不得成为依赖。</w:t>
            </w:r>
          </w:p>
        </w:tc>
      </w:tr>
      <w:tr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云端控制平面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OUT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闭环必须本地离线成立。</w:t>
            </w:r>
          </w:p>
        </w:tc>
      </w:tr>
      <w:tr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动态插件市场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OUT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Adapter/Pack 固定随包版本。</w:t>
            </w:r>
          </w:p>
        </w:tc>
      </w:tr>
      <w:tr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自动在线升级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OUT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仅受控手工安装/替换。</w:t>
            </w:r>
          </w:p>
        </w:tc>
      </w:tr>
      <w:tr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通用工作流/BPM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OUT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只实现最小状态机。</w:t>
            </w:r>
          </w:p>
        </w:tc>
      </w:tr>
      <w:tr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通用身份/认证/企业治理平台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OUT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第一代 Observer 不建设。</w:t>
            </w:r>
          </w:p>
        </w:tc>
      </w:tr>
    </w:tbl>
    <w:p>
      <w:pPr>
        <w:pStyle w:val="Heading1"/>
        <w:pBdr>
          <w:bottom w:val="single" w:sz="8" w:space="3" w:color="B9C7D8"/>
        </w:pBdr>
      </w:pPr>
      <w:r>
        <w:t>8. 端到端流程与状态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0"/>
        <w:gridCol w:w="3520"/>
        <w:gridCol w:w="3520"/>
        <w:gridCol w:w="3520"/>
      </w:tblGrid>
      <w:tr>
        <w:trPr>
          <w:cantSplit/>
          <w:tblHeader w:val="true"/>
        </w:trPr>
        <w:tc>
          <w:tcPr>
            <w:tcW w:type="dxa" w:w="1361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流程</w:t>
            </w:r>
          </w:p>
        </w:tc>
        <w:tc>
          <w:tcPr>
            <w:tcW w:type="dxa" w:w="226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4082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序列</w:t>
            </w:r>
          </w:p>
        </w:tc>
        <w:tc>
          <w:tcPr>
            <w:tcW w:type="dxa" w:w="2494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预期结果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FLOW-01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成功分析</w:t>
            </w:r>
          </w:p>
        </w:tc>
        <w:tc>
          <w:tcPr>
            <w:tcW w:type="dxa" w:w="408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Request → Intake → Adapter → Schema Validation → Governance Validation → Snapshot → Engine Facade → Engine → Output Assembler → Observation/Audit</w:t>
            </w:r>
          </w:p>
        </w:tc>
        <w:tc>
          <w:tcPr>
            <w:tcW w:type="dxa" w:w="249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COMPLETED + output_ref + audit_head</w:t>
            </w:r>
          </w:p>
        </w:tc>
      </w:tr>
      <w:tr>
        <w:trPr>
          <w:cantSplit/>
        </w:trP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FLOW-02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Schema 失败</w:t>
            </w:r>
          </w:p>
        </w:tc>
        <w:tc>
          <w:tcPr>
            <w:tcW w:type="dxa" w:w="408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Request → Intake → Adapter/Raw Schema Validation → FAILED_SCHEMA</w:t>
            </w:r>
          </w:p>
        </w:tc>
        <w:tc>
          <w:tcPr>
            <w:tcW w:type="dxa" w:w="249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Engine 不调用；field_path + reason_code + Audit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FLOW-03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Governance 不充分</w:t>
            </w:r>
          </w:p>
        </w:tc>
        <w:tc>
          <w:tcPr>
            <w:tcW w:type="dxa" w:w="408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Schema PASS → Governance Validation → UNKNOWN/NEEDS_EVIDENCE 或按 Profile 阻断</w:t>
            </w:r>
          </w:p>
        </w:tc>
        <w:tc>
          <w:tcPr>
            <w:tcW w:type="dxa" w:w="249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不得转成 0/低风险；输出或失败状态有 Audit</w:t>
            </w:r>
          </w:p>
        </w:tc>
      </w:tr>
      <w:tr>
        <w:trPr>
          <w:cantSplit/>
        </w:trP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FLOW-04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Adapter 失败</w:t>
            </w:r>
          </w:p>
        </w:tc>
        <w:tc>
          <w:tcPr>
            <w:tcW w:type="dxa" w:w="408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Request → Adapter Exception/Mapping Error</w:t>
            </w:r>
          </w:p>
        </w:tc>
        <w:tc>
          <w:tcPr>
            <w:tcW w:type="dxa" w:w="249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不生成成功 Context；保留 input digest、错误字段、reason_code、Audit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FLOW-05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幂等重试</w:t>
            </w:r>
          </w:p>
        </w:tc>
        <w:tc>
          <w:tcPr>
            <w:tcW w:type="dxa" w:w="408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相同 idempotency_key + 等价请求</w:t>
            </w:r>
          </w:p>
        </w:tc>
        <w:tc>
          <w:tcPr>
            <w:tcW w:type="dxa" w:w="249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返回既有 operation/observation，不重复成功记录</w:t>
            </w:r>
          </w:p>
        </w:tc>
      </w:tr>
      <w:tr>
        <w:trPr>
          <w:cantSplit/>
        </w:trP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FLOW-06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完整性验证</w:t>
            </w:r>
          </w:p>
        </w:tc>
        <w:tc>
          <w:tcPr>
            <w:tcW w:type="dxa" w:w="408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读取 Snapshot/Audit → canonicalize → recompute digest/hash</w:t>
            </w:r>
          </w:p>
        </w:tc>
        <w:tc>
          <w:tcPr>
            <w:tcW w:type="dxa" w:w="249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篡改可检测；返回验证结果与 reason_code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FLOW-07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离线执行</w:t>
            </w:r>
          </w:p>
        </w:tc>
        <w:tc>
          <w:tcPr>
            <w:tcW w:type="dxa" w:w="408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断开外网并禁用所有外部 Provider/Connector</w:t>
            </w:r>
          </w:p>
        </w:tc>
        <w:tc>
          <w:tcPr>
            <w:tcW w:type="dxa" w:w="249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完整 Foundation CASE 可运行，且无外部连接尝试</w:t>
            </w:r>
          </w:p>
        </w:tc>
      </w:tr>
    </w:tbl>
    <w:p/>
    <w:p>
      <w:pPr>
        <w:pStyle w:val="Heading2"/>
      </w:pPr>
      <w:r>
        <w:t>8.1 最小状态机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082"/>
      </w:tblGrid>
      <w:tr>
        <w:trPr>
          <w:cantSplit/>
          <w:tblHeader w:val="true"/>
        </w:trPr>
        <w:tc>
          <w:tcPr>
            <w:tcW w:type="dxa" w:w="14082"/>
            <w:shd w:fill="F7F8FA"/>
            <w:tcBorders>
              <w:top w:val="single" w:sz="5" w:color="D5D9E0"/>
              <w:left w:val="single" w:sz="5" w:color="D5D9E0"/>
              <w:bottom w:val="single" w:sz="5" w:color="D5D9E0"/>
              <w:right w:val="single" w:sz="5" w:color="D5D9E0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>RECEIVED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>→ INTAKE_VALIDATED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>→ ADAPTING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>→ SCHEMA_VALIDATING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>→ GOVERNANCE_VALIDATING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>→ SNAPSHOT_FIXED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>→ ENGINE_RUNNING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>→ OUTPUT_ASSEMBLING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>→ COMPLETED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>任一步可进入：FAILED / TIMED_OUT / CANCELLED（若设计支持）</w:t>
            </w:r>
          </w:p>
        </w:tc>
      </w:tr>
    </w:tbl>
    <w:p/>
    <w:p>
      <w:pPr>
        <w:pStyle w:val="Heading2"/>
      </w:pPr>
      <w:r>
        <w:t>8.2 幂等规则</w:t>
      </w:r>
    </w:p>
    <w:p>
      <w:r>
        <w:rPr>
          <w:rFonts w:ascii="Noto Sans CJK SC" w:hAnsi="Noto Sans CJK SC" w:eastAsia="Noto Sans CJK SC"/>
          <w:b w:val="0"/>
          <w:color w:val="1F2937"/>
          <w:sz w:val="18"/>
        </w:rPr>
        <w:t>同一 idempotency_key 和等价请求不得产生多个成功 Observation。非等价请求复用同一键必须明确拒绝。</w:t>
      </w:r>
    </w:p>
    <w:p>
      <w:pPr>
        <w:sectPr>
          <w:headerReference w:type="default" r:id="rId13"/>
          <w:footerReference w:type="default" r:id="rId14"/>
          <w:pgSz w:w="15840" w:h="12240"/>
          <w:pgMar w:top="822" w:right="879" w:bottom="765" w:left="879" w:header="720" w:footer="720" w:gutter="0"/>
          <w:cols w:space="720"/>
          <w:docGrid w:linePitch="360"/>
        </w:sectPr>
      </w:pPr>
    </w:p>
    <w:p>
      <w:pPr>
        <w:pStyle w:val="Heading1"/>
        <w:pBdr>
          <w:bottom w:val="single" w:sz="8" w:space="3" w:color="B9C7D8"/>
        </w:pBdr>
      </w:pPr>
      <w:r>
        <w:t>9. 合同与 Schema 候选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  <w:gridCol w:w="2323"/>
      </w:tblGrid>
      <w:tr>
        <w:trPr>
          <w:cantSplit/>
          <w:tblHeader w:val="true"/>
        </w:trPr>
        <w:tc>
          <w:tcPr>
            <w:tcW w:type="dxa" w:w="1417"/>
            <w:shd w:fill="B45309"/>
            <w:tcBorders>
              <w:top w:val="single" w:sz="5" w:color="B45309"/>
              <w:left w:val="single" w:sz="5" w:color="B45309"/>
              <w:bottom w:val="single" w:sz="5" w:color="B45309"/>
              <w:right w:val="single" w:sz="5" w:color="B4530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2948"/>
            <w:shd w:fill="B45309"/>
            <w:tcBorders>
              <w:top w:val="single" w:sz="5" w:color="B45309"/>
              <w:left w:val="single" w:sz="5" w:color="B45309"/>
              <w:bottom w:val="single" w:sz="5" w:color="B45309"/>
              <w:right w:val="single" w:sz="5" w:color="B4530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合同</w:t>
            </w:r>
          </w:p>
        </w:tc>
        <w:tc>
          <w:tcPr>
            <w:tcW w:type="dxa" w:w="1701"/>
            <w:shd w:fill="B45309"/>
            <w:tcBorders>
              <w:top w:val="single" w:sz="5" w:color="B45309"/>
              <w:left w:val="single" w:sz="5" w:color="B45309"/>
              <w:bottom w:val="single" w:sz="5" w:color="B45309"/>
              <w:right w:val="single" w:sz="5" w:color="B4530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稳定性</w:t>
            </w:r>
          </w:p>
        </w:tc>
        <w:tc>
          <w:tcPr>
            <w:tcW w:type="dxa" w:w="2268"/>
            <w:shd w:fill="B45309"/>
            <w:tcBorders>
              <w:top w:val="single" w:sz="5" w:color="B45309"/>
              <w:left w:val="single" w:sz="5" w:color="B45309"/>
              <w:bottom w:val="single" w:sz="5" w:color="B45309"/>
              <w:right w:val="single" w:sz="5" w:color="B4530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所有者</w:t>
            </w:r>
          </w:p>
        </w:tc>
        <w:tc>
          <w:tcPr>
            <w:tcW w:type="dxa" w:w="8220"/>
            <w:shd w:fill="B45309"/>
            <w:tcBorders>
              <w:top w:val="single" w:sz="5" w:color="B45309"/>
              <w:left w:val="single" w:sz="5" w:color="B45309"/>
              <w:bottom w:val="single" w:sz="5" w:color="B45309"/>
              <w:right w:val="single" w:sz="5" w:color="B4530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最低内容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FK-C-001</w:t>
            </w:r>
          </w:p>
        </w:tc>
        <w:tc>
          <w:tcPr>
            <w:tcW w:type="dxa" w:w="294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FoundationAnalysisRequest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DRAFT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System-owned</w:t>
            </w:r>
          </w:p>
        </w:tc>
        <w:tc>
          <w:tcPr>
            <w:tcW w:type="dxa" w:w="82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request_id/idempotency_key、input_kind、input_ref/payload、requested_runtime_ref、submitted_at</w:t>
            </w:r>
          </w:p>
        </w:tc>
      </w:tr>
      <w:tr>
        <w:trPr>
          <w:cantSplit/>
        </w:trPr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FK-C-002</w:t>
            </w:r>
          </w:p>
        </w:tc>
        <w:tc>
          <w:tcPr>
            <w:tcW w:type="dxa" w:w="294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FoundationOperationStatus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DRAFT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System-owned</w:t>
            </w:r>
          </w:p>
        </w:tc>
        <w:tc>
          <w:tcPr>
            <w:tcW w:type="dxa" w:w="82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operation_id、observation_id、trace_id、state、started_at/completed_at、reason_codes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FK-C-003</w:t>
            </w:r>
          </w:p>
        </w:tc>
        <w:tc>
          <w:tcPr>
            <w:tcW w:type="dxa" w:w="294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RuntimeConfigurationSnapshot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DRAFT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C-EXE-04</w:t>
            </w:r>
          </w:p>
        </w:tc>
        <w:tc>
          <w:tcPr>
            <w:tcW w:type="dxa" w:w="82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所有运行依赖的 id/version/schema_version/digest/scope；snapshot_digest</w:t>
            </w:r>
          </w:p>
        </w:tc>
      </w:tr>
      <w:tr>
        <w:trPr>
          <w:cantSplit/>
        </w:trPr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FK-C-004</w:t>
            </w:r>
          </w:p>
        </w:tc>
        <w:tc>
          <w:tcPr>
            <w:tcW w:type="dxa" w:w="294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SchemaValidationResult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DRAFT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C-EXE-03</w:t>
            </w:r>
          </w:p>
        </w:tc>
        <w:tc>
          <w:tcPr>
            <w:tcW w:type="dxa" w:w="82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status、schema_id/version、field_path、errors、warnings、reason_codes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FK-C-005</w:t>
            </w:r>
          </w:p>
        </w:tc>
        <w:tc>
          <w:tcPr>
            <w:tcW w:type="dxa" w:w="294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GovernanceValidationResult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DRAFT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C-EXE-03</w:t>
            </w:r>
          </w:p>
        </w:tc>
        <w:tc>
          <w:tcPr>
            <w:tcW w:type="dxa" w:w="82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status、known/unknown/evidence sufficiency、hard conditions、reason_codes</w:t>
            </w:r>
          </w:p>
        </w:tc>
      </w:tr>
      <w:tr>
        <w:trPr>
          <w:cantSplit/>
        </w:trPr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FK-C-006</w:t>
            </w:r>
          </w:p>
        </w:tc>
        <w:tc>
          <w:tcPr>
            <w:tcW w:type="dxa" w:w="294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GovernanceEvent / CanonicalContext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BETA_PINNED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I/O Contract</w:t>
            </w:r>
          </w:p>
        </w:tc>
        <w:tc>
          <w:tcPr>
            <w:tcW w:type="dxa" w:w="82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固定精确版本；通过 Compatibility Adapter/Facade，不平行重定义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FK-C-007</w:t>
            </w:r>
          </w:p>
        </w:tc>
        <w:tc>
          <w:tcPr>
            <w:tcW w:type="dxa" w:w="294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GovernanceOutputEnvelope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BETA_PINNED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I/O Contract / Engine</w:t>
            </w:r>
          </w:p>
        </w:tc>
        <w:tc>
          <w:tcPr>
            <w:tcW w:type="dxa" w:w="82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原始正式输出、UNKNOWN、Evidence refs、Profile refs、Human Review、Audit refs</w:t>
            </w:r>
          </w:p>
        </w:tc>
      </w:tr>
      <w:tr>
        <w:trPr>
          <w:cantSplit/>
        </w:trPr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FK-C-008</w:t>
            </w:r>
          </w:p>
        </w:tc>
        <w:tc>
          <w:tcPr>
            <w:tcW w:type="dxa" w:w="294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ObservationRecord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DRAFT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C-EVD-01</w:t>
            </w:r>
          </w:p>
        </w:tc>
        <w:tc>
          <w:tcPr>
            <w:tcW w:type="dxa" w:w="82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observation_id、operation_id、trace_id、status、input_digest、snapshot_ref、output_ref、audit_head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FK-C-009</w:t>
            </w:r>
          </w:p>
        </w:tc>
        <w:tc>
          <w:tcPr>
            <w:tcW w:type="dxa" w:w="294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AuditEvent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ALPHA_PINNED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C-EVD-02</w:t>
            </w:r>
          </w:p>
        </w:tc>
        <w:tc>
          <w:tcPr>
            <w:tcW w:type="dxa" w:w="82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event_id/type/time、subject/operator/service refs、payload_digest、previous_hash、event_hash、serialization_version</w:t>
            </w:r>
          </w:p>
        </w:tc>
      </w:tr>
      <w:tr>
        <w:trPr>
          <w:cantSplit/>
        </w:trPr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FK-C-010</w:t>
            </w:r>
          </w:p>
        </w:tc>
        <w:tc>
          <w:tcPr>
            <w:tcW w:type="dxa" w:w="294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FoundationErrorEnvelope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DRAFT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System-owned</w:t>
            </w:r>
          </w:p>
        </w:tc>
        <w:tc>
          <w:tcPr>
            <w:tcW w:type="dxa" w:w="82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error_code、reason_codes、stage、field_path、retryable、trace_id、details_redacted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FK-C-011</w:t>
            </w:r>
          </w:p>
        </w:tc>
        <w:tc>
          <w:tcPr>
            <w:tcW w:type="dxa" w:w="294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FoundationCasePackManifest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DRAFT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PACK-01</w:t>
            </w:r>
          </w:p>
        </w:tc>
        <w:tc>
          <w:tcPr>
            <w:tcW w:type="dxa" w:w="82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pack_id/version/digest、fixture refs、Adapter/Scenario/Profile/Knowledge refs、evidence classification</w:t>
            </w:r>
          </w:p>
        </w:tc>
      </w:tr>
      <w:tr>
        <w:trPr>
          <w:cantSplit/>
        </w:trPr>
        <w:tc>
          <w:tcPr>
            <w:tcW w:type="dxa" w:w="141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FK-C-012</w:t>
            </w:r>
          </w:p>
        </w:tc>
        <w:tc>
          <w:tcPr>
            <w:tcW w:type="dxa" w:w="294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ReleaseManifest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DRAFT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Release Evidence</w:t>
            </w:r>
          </w:p>
        </w:tc>
        <w:tc>
          <w:tcPr>
            <w:tcW w:type="dxa" w:w="82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System/Engine/Schema/Pack exact versions、commit/digest、build environment、known limitations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B45309"/>
          <w:sz w:val="18"/>
        </w:rPr>
        <w:t>BETA/ALPHA 合同必须固定精确版本与 digest；VG2 必须产出可机器校验的 Schema/API Contract。</w:t>
      </w:r>
    </w:p>
    <w:p>
      <w:pPr>
        <w:pStyle w:val="Heading1"/>
        <w:pBdr>
          <w:bottom w:val="single" w:sz="8" w:space="3" w:color="B9C7D8"/>
        </w:pBdr>
      </w:pPr>
      <w:r>
        <w:t>10. 数据所有权与持久化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  <w:gridCol w:w="2323"/>
      </w:tblGrid>
      <w:tr>
        <w:trPr>
          <w:cantSplit/>
          <w:tblHeader w:val="true"/>
        </w:trPr>
        <w:tc>
          <w:tcPr>
            <w:tcW w:type="dxa" w:w="2835"/>
            <w:shd w:fill="0F766E"/>
            <w:tcBorders>
              <w:top w:val="single" w:sz="5" w:color="0F766E"/>
              <w:left w:val="single" w:sz="5" w:color="0F766E"/>
              <w:bottom w:val="single" w:sz="5" w:color="0F766E"/>
              <w:right w:val="single" w:sz="5" w:color="0F766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数据对象</w:t>
            </w:r>
          </w:p>
        </w:tc>
        <w:tc>
          <w:tcPr>
            <w:tcW w:type="dxa" w:w="2551"/>
            <w:shd w:fill="0F766E"/>
            <w:tcBorders>
              <w:top w:val="single" w:sz="5" w:color="0F766E"/>
              <w:left w:val="single" w:sz="5" w:color="0F766E"/>
              <w:bottom w:val="single" w:sz="5" w:color="0F766E"/>
              <w:right w:val="single" w:sz="5" w:color="0F766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所有者</w:t>
            </w:r>
          </w:p>
        </w:tc>
        <w:tc>
          <w:tcPr>
            <w:tcW w:type="dxa" w:w="2268"/>
            <w:shd w:fill="0F766E"/>
            <w:tcBorders>
              <w:top w:val="single" w:sz="5" w:color="0F766E"/>
              <w:left w:val="single" w:sz="5" w:color="0F766E"/>
              <w:bottom w:val="single" w:sz="5" w:color="0F766E"/>
              <w:right w:val="single" w:sz="5" w:color="0F766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持久化</w:t>
            </w:r>
          </w:p>
        </w:tc>
        <w:tc>
          <w:tcPr>
            <w:tcW w:type="dxa" w:w="5669"/>
            <w:shd w:fill="0F766E"/>
            <w:tcBorders>
              <w:top w:val="single" w:sz="5" w:color="0F766E"/>
              <w:left w:val="single" w:sz="5" w:color="0F766E"/>
              <w:bottom w:val="single" w:sz="5" w:color="0F766E"/>
              <w:right w:val="single" w:sz="5" w:color="0F766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v0.1 规则</w:t>
            </w:r>
          </w:p>
        </w:tc>
        <w:tc>
          <w:tcPr>
            <w:tcW w:type="dxa" w:w="3969"/>
            <w:shd w:fill="0F766E"/>
            <w:tcBorders>
              <w:top w:val="single" w:sz="5" w:color="0F766E"/>
              <w:left w:val="single" w:sz="5" w:color="0F766E"/>
              <w:bottom w:val="single" w:sz="5" w:color="0F766E"/>
              <w:right w:val="single" w:sz="5" w:color="0F766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安全边界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Raw Input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Input Intake / caller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默认不持久化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仅记录 digest、kind、size、source；synthetic Fixture 可保留完整内容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不得进入日志/错误详情</w:t>
            </w:r>
          </w:p>
        </w:tc>
      </w:tr>
      <w:tr>
        <w:trPr>
          <w:cantSplit/>
        </w:trPr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GovernanceEvent / CanonicalContext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Execution Pipeline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最小化；默认仅保留 digest 或脱敏制品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详细设计必须决定是否保存脱敏 Context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不声明 Exact Replay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RuntimeConfigurationSnapshot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Execution / Evidence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必须持久化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不可变；固定所有版本与 digest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完整性校验必须可执行</w:t>
            </w:r>
          </w:p>
        </w:tc>
      </w:tr>
      <w:tr>
        <w:trPr>
          <w:cantSplit/>
        </w:trPr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GovernanceOutputEnvelope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Observation Store / Artifact Store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必须持久化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保存原始正式输出；报告/展示不得覆盖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敏感扩展需分类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ObservationRecord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Observation Store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必须持久化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保存状态、引用、幂等和 trace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可查询但不是 Audit 账本</w:t>
            </w:r>
          </w:p>
        </w:tc>
      </w:tr>
      <w:tr>
        <w:trPr>
          <w:cantSplit/>
        </w:trPr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AuditEvent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Audit Ledger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追加式持久化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canonical hash + previous_hash；禁止更新/删除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允许隐私 payload 外置，仅保留摘要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Logs</w:t>
            </w:r>
          </w:p>
        </w:tc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Operations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短期本地保留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结构化、可关联 trace_id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不得含秘密或完整 Raw Input</w:t>
            </w:r>
          </w:p>
        </w:tc>
      </w:tr>
      <w:tr>
        <w:trPr>
          <w:cantSplit/>
        </w:trPr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Secrets</w:t>
            </w:r>
          </w:p>
        </w:tc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Secret Handling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默认无秘密；需要时只存安全引用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配置导出不得包含明文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不得进入日志/报告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0F766E"/>
          <w:sz w:val="18"/>
        </w:rPr>
        <w:t>v0.1 不承诺 Exact Replay。Raw Input 默认不持久化，若不保留完整 Context，只能声明相应的可解释或语义能力。</w:t>
      </w:r>
    </w:p>
    <w:p>
      <w:pPr>
        <w:sectPr>
          <w:headerReference w:type="default" r:id="rId15"/>
          <w:footerReference w:type="default" r:id="rId16"/>
          <w:pgSz w:w="12240" w:h="15840" w:orient="landscape"/>
          <w:pgMar w:top="510" w:right="312" w:bottom="510" w:left="312" w:header="720" w:footer="720" w:gutter="0"/>
          <w:cols w:space="720"/>
          <w:docGrid w:linePitch="360"/>
        </w:sectPr>
      </w:pPr>
    </w:p>
    <w:p>
      <w:pPr>
        <w:pStyle w:val="Heading1"/>
        <w:pBdr>
          <w:bottom w:val="single" w:sz="8" w:space="3" w:color="B9C7D8"/>
        </w:pBdr>
      </w:pPr>
      <w:r>
        <w:t>11. Audit 与完整性</w:t>
      </w:r>
    </w:p>
    <w:p>
      <w:pPr>
        <w:pStyle w:val="Heading2"/>
      </w:pPr>
      <w:r>
        <w:t>11.1 最低 AuditEvent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  <w:tblHeader w:val="true"/>
        </w:trPr>
        <w:tc>
          <w:tcPr>
            <w:tcW w:type="dxa" w:w="10482"/>
            <w:shd w:fill="F7F8FA"/>
            <w:tcBorders>
              <w:top w:val="single" w:sz="5" w:color="D5D9E0"/>
              <w:left w:val="single" w:sz="5" w:color="D5D9E0"/>
              <w:bottom w:val="single" w:sz="5" w:color="D5D9E0"/>
              <w:right w:val="single" w:sz="5" w:color="D5D9E0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>event_id / event_type / event_time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>observation_id / operation_id / trace_id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>actor / service / subject refs（适用时）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>stage / reason_codes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>payload_digest / previous_hash / event_hash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263238"/>
                <w:sz w:val="15"/>
              </w:rPr>
              <w:t>serialization_version</w:t>
            </w:r>
          </w:p>
        </w:tc>
      </w:tr>
    </w:tbl>
    <w:p/>
    <w:p>
      <w:pPr>
        <w:pStyle w:val="Heading2"/>
      </w:pPr>
      <w:r>
        <w:t>11.2 完整性规则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固定版本 canonical serialization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event_hash 使用 SHA-256 或等价摘要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previous_hash 构成可验证链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Ledger 追加式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验证命令可检测 Snapshot/Audit 修改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并发写入和分区策略在 VG2 决定</w:t>
      </w:r>
    </w:p>
    <w:p>
      <w:pPr>
        <w:pStyle w:val="Heading1"/>
        <w:pBdr>
          <w:bottom w:val="single" w:sz="8" w:space="3" w:color="B9C7D8"/>
        </w:pBdr>
      </w:pPr>
      <w:r>
        <w:t>12. Alpha 安全与隐私边界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1. </w:t>
      </w:r>
      <w:r>
        <w:rPr>
          <w:rFonts w:ascii="Noto Sans CJK SC" w:hAnsi="Noto Sans CJK SC" w:eastAsia="Noto Sans CJK SC"/>
          <w:sz w:val="18"/>
        </w:rPr>
        <w:t>默认关闭公网和远程模型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2. </w:t>
      </w:r>
      <w:r>
        <w:rPr>
          <w:rFonts w:ascii="Noto Sans CJK SC" w:hAnsi="Noto Sans CJK SC" w:eastAsia="Noto Sans CJK SC"/>
          <w:sz w:val="18"/>
        </w:rPr>
        <w:t>默认关闭遥测、企业写回和 R4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3. </w:t>
      </w:r>
      <w:r>
        <w:rPr>
          <w:rFonts w:ascii="Noto Sans CJK SC" w:hAnsi="Noto Sans CJK SC" w:eastAsia="Noto Sans CJK SC"/>
          <w:sz w:val="18"/>
        </w:rPr>
        <w:t>无外部连接目标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4. </w:t>
      </w:r>
      <w:r>
        <w:rPr>
          <w:rFonts w:ascii="Noto Sans CJK SC" w:hAnsi="Noto Sans CJK SC" w:eastAsia="Noto Sans CJK SC"/>
          <w:sz w:val="18"/>
        </w:rPr>
        <w:t>Raw Input 默认不长期保存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5. </w:t>
      </w:r>
      <w:r>
        <w:rPr>
          <w:rFonts w:ascii="Noto Sans CJK SC" w:hAnsi="Noto Sans CJK SC" w:eastAsia="Noto Sans CJK SC"/>
          <w:sz w:val="18"/>
        </w:rPr>
        <w:t>日志/错误/报告不含秘密或完整敏感输入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6. </w:t>
      </w:r>
      <w:r>
        <w:rPr>
          <w:rFonts w:ascii="Noto Sans CJK SC" w:hAnsi="Noto Sans CJK SC" w:eastAsia="Noto Sans CJK SC"/>
          <w:sz w:val="18"/>
        </w:rPr>
        <w:t>默认运行尽量不需要秘密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7. </w:t>
      </w:r>
      <w:r>
        <w:rPr>
          <w:rFonts w:ascii="Noto Sans CJK SC" w:hAnsi="Noto Sans CJK SC" w:eastAsia="Noto Sans CJK SC"/>
          <w:sz w:val="18"/>
        </w:rPr>
        <w:t>业务数据只作为数据，不作为系统指令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8. </w:t>
      </w:r>
      <w:r>
        <w:rPr>
          <w:rFonts w:ascii="Noto Sans CJK SC" w:hAnsi="Noto Sans CJK SC" w:eastAsia="Noto Sans CJK SC"/>
          <w:sz w:val="18"/>
        </w:rPr>
        <w:t>Engine 不持有企业凭证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9. </w:t>
      </w:r>
      <w:r>
        <w:rPr>
          <w:rFonts w:ascii="Noto Sans CJK SC" w:hAnsi="Noto Sans CJK SC" w:eastAsia="Noto Sans CJK SC"/>
          <w:sz w:val="18"/>
        </w:rPr>
        <w:t>synthetic Fixture 与外部证据分级</w:t>
      </w:r>
    </w:p>
    <w:p>
      <w:r>
        <w:rPr>
          <w:rFonts w:ascii="Noto Sans CJK SC" w:hAnsi="Noto Sans CJK SC" w:eastAsia="Noto Sans CJK SC"/>
          <w:b/>
          <w:color w:val="102A43"/>
          <w:sz w:val="18"/>
        </w:rPr>
        <w:t xml:space="preserve">10. </w:t>
      </w:r>
      <w:r>
        <w:rPr>
          <w:rFonts w:ascii="Noto Sans CJK SC" w:hAnsi="Noto Sans CJK SC" w:eastAsia="Noto Sans CJK SC"/>
          <w:sz w:val="18"/>
        </w:rPr>
        <w:t>依赖与发布包生成固定清单</w:t>
      </w:r>
    </w:p>
    <w:p>
      <w:pPr>
        <w:sectPr>
          <w:headerReference w:type="default" r:id="rId17"/>
          <w:footerReference w:type="default" r:id="rId18"/>
          <w:pgSz w:w="12240" w:h="15840"/>
          <w:pgMar w:top="822" w:right="879" w:bottom="765" w:left="879" w:header="720" w:footer="720" w:gutter="0"/>
          <w:cols w:space="720"/>
          <w:docGrid w:linePitch="360"/>
        </w:sectPr>
      </w:pPr>
    </w:p>
    <w:p>
      <w:pPr>
        <w:pStyle w:val="Heading1"/>
        <w:pBdr>
          <w:bottom w:val="single" w:sz="8" w:space="3" w:color="B9C7D8"/>
        </w:pBdr>
      </w:pPr>
      <w:r>
        <w:t>13. Fixture 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04"/>
        <w:gridCol w:w="3804"/>
        <w:gridCol w:w="3804"/>
        <w:gridCol w:w="3804"/>
      </w:tblGrid>
      <w:tr>
        <w:trPr>
          <w:cantSplit/>
          <w:tblHeader w:val="true"/>
        </w:trPr>
        <w:tc>
          <w:tcPr>
            <w:tcW w:type="dxa" w:w="1984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Fixture</w:t>
            </w:r>
          </w:p>
        </w:tc>
        <w:tc>
          <w:tcPr>
            <w:tcW w:type="dxa" w:w="4535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6520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预期</w:t>
            </w:r>
          </w:p>
        </w:tc>
        <w:tc>
          <w:tcPr>
            <w:tcW w:type="dxa" w:w="3969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追踪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FK-GOLD-001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正常 synthetic CASE</w:t>
            </w:r>
          </w:p>
        </w:tc>
        <w:tc>
          <w:tcPr>
            <w:tcW w:type="dxa" w:w="65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Schema/Governance PASS，产生完整 Output 与 Audit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Golden deterministic</w:t>
            </w:r>
          </w:p>
        </w:tc>
      </w:tr>
      <w:tr>
        <w:trPr>
          <w:cantSplit/>
        </w:trPr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FK-GOLD-002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高总分 + PROHIBITED 硬条件</w:t>
            </w:r>
          </w:p>
        </w:tc>
        <w:tc>
          <w:tcPr>
            <w:tcW w:type="dxa" w:w="65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硬条件仍独立保留并触发相应状态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AT-09 / FR-PF-005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FK-GOLD-003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证据缺失</w:t>
            </w:r>
          </w:p>
        </w:tc>
        <w:tc>
          <w:tcPr>
            <w:tcW w:type="dxa" w:w="65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UNKNOWN 独立输出，不转为 0/低风险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FR-AN-007</w:t>
            </w:r>
          </w:p>
        </w:tc>
      </w:tr>
      <w:tr>
        <w:trPr>
          <w:cantSplit/>
        </w:trPr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FK-VAL-001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Schema 类型/必填错误</w:t>
            </w:r>
          </w:p>
        </w:tc>
        <w:tc>
          <w:tcPr>
            <w:tcW w:type="dxa" w:w="65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FAILED_SCHEMA；Engine 不调用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FR-AN-004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FK-VAL-002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Governance Evidence 不充分</w:t>
            </w:r>
          </w:p>
        </w:tc>
        <w:tc>
          <w:tcPr>
            <w:tcW w:type="dxa" w:w="65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与 Schema 错误分离；明确补证/复核状态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FR-AN-004</w:t>
            </w:r>
          </w:p>
        </w:tc>
      </w:tr>
      <w:tr>
        <w:trPr>
          <w:cantSplit/>
        </w:trPr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FK-ADP-001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Adapter 映射异常</w:t>
            </w:r>
          </w:p>
        </w:tc>
        <w:tc>
          <w:tcPr>
            <w:tcW w:type="dxa" w:w="65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不生成成功 Context；可继续运行后续有效 CASE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ER-002 / NFR-REL-001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FK-IDEM-001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重复 idempotency_key</w:t>
            </w:r>
          </w:p>
        </w:tc>
        <w:tc>
          <w:tcPr>
            <w:tcW w:type="dxa" w:w="65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不产生重复 Observation 成功记录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NFR-REL-002</w:t>
            </w:r>
          </w:p>
        </w:tc>
      </w:tr>
      <w:tr>
        <w:trPr>
          <w:cantSplit/>
        </w:trPr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FK-HASH-001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修改 Snapshot 或 AuditEvent</w:t>
            </w:r>
          </w:p>
        </w:tc>
        <w:tc>
          <w:tcPr>
            <w:tcW w:type="dxa" w:w="65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完整性验证失败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NFR-SEC-005 / FR-AU-002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FK-PRV-001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错误路径含敏感字段</w:t>
            </w:r>
          </w:p>
        </w:tc>
        <w:tc>
          <w:tcPr>
            <w:tcW w:type="dxa" w:w="65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日志/错误不输出秘密和完整 Raw Input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NFR-SEC-003/006</w:t>
            </w:r>
          </w:p>
        </w:tc>
      </w:tr>
      <w:tr>
        <w:trPr>
          <w:cantSplit/>
        </w:trPr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FK-OFF-001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断网运行</w:t>
            </w:r>
          </w:p>
        </w:tc>
        <w:tc>
          <w:tcPr>
            <w:tcW w:type="dxa" w:w="65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无外部请求，最小闭环完成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NFR-LOC-001 / NFR-SEC-001</w:t>
            </w:r>
          </w:p>
        </w:tc>
      </w:tr>
      <w:tr>
        <w:tc>
          <w:tcPr>
            <w:tcW w:type="dxa" w:w="3804"/>
          </w:tcPr>
          <w:p>
            <w:r>
              <w:t>FK-FAC-001</w:t>
            </w:r>
          </w:p>
        </w:tc>
        <w:tc>
          <w:tcPr>
            <w:tcW w:type="dxa" w:w="3804"/>
          </w:tcPr>
          <w:p>
            <w:r>
              <w:t>System 仅通过 Facade 调用 Engine</w:t>
            </w:r>
          </w:p>
        </w:tc>
        <w:tc>
          <w:tcPr>
            <w:tcW w:type="dxa" w:w="3804"/>
          </w:tcPr>
          <w:p>
            <w:r>
              <w:t>静态/架构测试证明组件不直接依赖 Engine 内部实现；调用记录包含 Facade 与 Engine 版本</w:t>
            </w:r>
          </w:p>
        </w:tc>
        <w:tc>
          <w:tcPr>
            <w:tcW w:type="dxa" w:w="3804"/>
          </w:tcPr>
          <w:p>
            <w:r>
              <w:t>VAC-FK-001</w:t>
            </w:r>
          </w:p>
        </w:tc>
      </w:tr>
      <w:tr>
        <w:tc>
          <w:tcPr>
            <w:tcW w:type="dxa" w:w="3804"/>
          </w:tcPr>
          <w:p>
            <w:r>
              <w:t>FK-FAC-002</w:t>
            </w:r>
          </w:p>
        </w:tc>
        <w:tc>
          <w:tcPr>
            <w:tcW w:type="dxa" w:w="3804"/>
          </w:tcPr>
          <w:p>
            <w:r>
              <w:t>检测 System 中的重复治理计算</w:t>
            </w:r>
          </w:p>
        </w:tc>
        <w:tc>
          <w:tcPr>
            <w:tcW w:type="dxa" w:w="3804"/>
          </w:tcPr>
          <w:p>
            <w:r>
              <w:t>代码审查和测试证明 System 不独立计算正式治理结论</w:t>
            </w:r>
          </w:p>
        </w:tc>
        <w:tc>
          <w:tcPr>
            <w:tcW w:type="dxa" w:w="3804"/>
          </w:tcPr>
          <w:p>
            <w:r>
              <w:t>VAC-FK-001</w:t>
            </w:r>
          </w:p>
        </w:tc>
      </w:tr>
    </w:tbl>
    <w:p/>
    <w:p>
      <w:pPr>
        <w:pStyle w:val="Heading2"/>
      </w:pPr>
      <w:r>
        <w:t>13.1 AT-09 硬门控验收</w:t>
      </w:r>
    </w:p>
    <w:p>
      <w:r>
        <w:rPr>
          <w:rFonts w:ascii="Noto Sans CJK SC" w:hAnsi="Noto Sans CJK SC" w:eastAsia="Noto Sans CJK SC"/>
          <w:b w:val="0"/>
          <w:color w:val="1F2937"/>
          <w:sz w:val="18"/>
        </w:rPr>
        <w:t>必须存在 Golden CASE：即使综合分数较高，只要出现 PROHIBITED、UNKNOWN 或需要 Human Anchor 的硬条件，Output 仍保留该条件并进入相应状态。</w:t>
      </w:r>
    </w:p>
    <w:p>
      <w:pPr>
        <w:pStyle w:val="Heading2"/>
      </w:pPr>
      <w:r>
        <w:t>13.2 第二干净环境与执行人员资格</w:t>
      </w:r>
    </w:p>
    <w:p>
      <w:r>
        <w:t>非主要开发者指未参与 v0.1.0-alpha 功能实现、安装打包或测试脚本编写的人。可以是同一团队成员或外部参与者，但不得是主要开发者本人，也不得由主要开发者实时逐步指导。</w:t>
      </w:r>
    </w:p>
    <w:p>
      <w:r>
        <w:t>走查环境必须与主要开发环境隔离，不得使用主要开发机缓存、私有配置或未发布脚本；必须记录环境、步骤、失败、修正和最终结果。该证据不等于 v0.3 非作者用户验证或 v0.6 企业 PoC。</w:t>
      </w:r>
    </w:p>
    <w:p>
      <w:r>
        <w:rPr>
          <w:rFonts w:ascii="Noto Sans CJK SC" w:hAnsi="Noto Sans CJK SC" w:eastAsia="Noto Sans CJK SC"/>
          <w:b w:val="0"/>
          <w:color w:val="1F2937"/>
          <w:sz w:val="18"/>
        </w:rPr>
        <w:t>由非主要开发者在独立机器或干净虚拟环境中，仅依赖版本文档完成解压/安装、配置、Reference CASE、Output/Audit、离线验证、完整性验证、停止和卸载/清理；不得依赖主要开发者实时口头指导。</w:t>
      </w:r>
    </w:p>
    <w:p>
      <w:pPr>
        <w:pStyle w:val="Heading1"/>
        <w:pBdr>
          <w:bottom w:val="single" w:sz="8" w:space="3" w:color="B9C7D8"/>
        </w:pBdr>
      </w:pPr>
      <w:r>
        <w:t>14. 本版本制品与证据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8"/>
        <w:gridCol w:w="7608"/>
      </w:tblGrid>
      <w:tr>
        <w:trPr>
          <w:cantSplit/>
          <w:tblHeader w:val="true"/>
        </w:trPr>
        <w:tc>
          <w:tcPr>
            <w:tcW w:type="dxa" w:w="1701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14173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必须制品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VG1</w:t>
            </w:r>
          </w:p>
        </w:tc>
        <w:tc>
          <w:tcPr>
            <w:tcW w:type="dxa" w:w="1417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Scope Baseline、24 条版本需求、明确不进入、依赖、Open Decisions</w:t>
            </w:r>
          </w:p>
        </w:tc>
      </w:tr>
      <w:tr>
        <w:trPr>
          <w:cantSplit/>
        </w:trP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</w:t>
            </w:r>
          </w:p>
        </w:tc>
        <w:tc>
          <w:tcPr>
            <w:tcW w:type="dxa" w:w="14173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Detailed Design、Schema/API、Threat Model、Test Requirement、Fixture Spec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VG3</w:t>
            </w:r>
          </w:p>
        </w:tc>
        <w:tc>
          <w:tcPr>
            <w:tcW w:type="dxa" w:w="1417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固定 commit、构建日志、包 digest、依赖清单、ReleaseManifest</w:t>
            </w:r>
          </w:p>
        </w:tc>
      </w:tr>
      <w:tr>
        <w:trPr>
          <w:cantSplit/>
        </w:trP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VG4</w:t>
            </w:r>
          </w:p>
        </w:tc>
        <w:tc>
          <w:tcPr>
            <w:tcW w:type="dxa" w:w="14173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Test Execution、24 条追踪、Fixture 结果、缺陷清单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VG5</w:t>
            </w:r>
          </w:p>
        </w:tc>
        <w:tc>
          <w:tcPr>
            <w:tcW w:type="dxa" w:w="1417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离线、安全、隐私、幂等、错误隔离、确定性和完整性证据</w:t>
            </w:r>
          </w:p>
        </w:tc>
      </w:tr>
      <w:tr>
        <w:trPr>
          <w:cantSplit/>
        </w:trP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VG6</w:t>
            </w:r>
          </w:p>
        </w:tc>
        <w:tc>
          <w:tcPr>
            <w:tcW w:type="dxa" w:w="14173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第二干净环境安装/运行/卸载记录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VG7</w:t>
            </w:r>
          </w:p>
        </w:tc>
        <w:tc>
          <w:tcPr>
            <w:tcW w:type="dxa" w:w="1417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Internal Alpha 决定、Known Limitations、Release Evidence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A61B1B"/>
          <w:sz w:val="18"/>
        </w:rPr>
        <w:t>证据不得只填写 done/passed/已完成/已测试，必须指向固定 commit、报告、日志、Fixture 和包 digest。</w:t>
      </w:r>
    </w:p>
    <w:p>
      <w:pPr>
        <w:pStyle w:val="Heading1"/>
        <w:pBdr>
          <w:bottom w:val="single" w:sz="8" w:space="3" w:color="B9C7D8"/>
        </w:pBdr>
      </w:pPr>
      <w:r>
        <w:t>15. 依赖与固定规则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Engine 在 VG2 固定精确 release/commit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I-O Schema 固定版本和 digest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Reference Pack 由 Manifest 固定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依赖包锁定并生成清单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Release Tag 指向固定 commit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禁止 latest、浮动分支和工作区文件作为发布证据</w:t>
      </w:r>
    </w:p>
    <w:p>
      <w:pPr>
        <w:pStyle w:val="Heading1"/>
        <w:pBdr>
          <w:bottom w:val="single" w:sz="8" w:space="3" w:color="B9C7D8"/>
        </w:pBdr>
      </w:pPr>
      <w:r>
        <w:t>16. 停止规则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2"/>
        <w:gridCol w:w="5072"/>
        <w:gridCol w:w="5072"/>
      </w:tblGrid>
      <w:tr>
        <w:trPr>
          <w:cantSplit/>
          <w:tblHeader w:val="true"/>
        </w:trPr>
        <w:tc>
          <w:tcPr>
            <w:tcW w:type="dxa" w:w="1701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  <w:tc>
          <w:tcPr>
            <w:tcW w:type="dxa" w:w="12472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触发</w:t>
            </w:r>
          </w:p>
        </w:tc>
        <w:tc>
          <w:tcPr>
            <w:tcW w:type="dxa" w:w="2835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FK-SR-01</w:t>
            </w:r>
          </w:p>
        </w:tc>
        <w:tc>
          <w:tcPr>
            <w:tcW w:type="dxa" w:w="1247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需要 Console、Copilot、Tool Gateway、IAM 或 Connector 才能完成最小 CASE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STOP：范围污染</w:t>
            </w:r>
          </w:p>
        </w:tc>
      </w:tr>
      <w:tr>
        <w:trPr>
          <w:cantSplit/>
        </w:trP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FK-SR-02</w:t>
            </w:r>
          </w:p>
        </w:tc>
        <w:tc>
          <w:tcPr>
            <w:tcW w:type="dxa" w:w="1247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Engine 直接访问 DB、模型、文件系统业务数据或企业凭证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STOP：第一代边界破坏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FK-SR-03</w:t>
            </w:r>
          </w:p>
        </w:tc>
        <w:tc>
          <w:tcPr>
            <w:tcW w:type="dxa" w:w="1247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Adapter 计算最终 Risk/Gate 或静默补齐 UNKNOWN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STOP：职责越界</w:t>
            </w:r>
          </w:p>
        </w:tc>
      </w:tr>
      <w:tr>
        <w:trPr>
          <w:cantSplit/>
        </w:trP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FK-SR-04</w:t>
            </w:r>
          </w:p>
        </w:tc>
        <w:tc>
          <w:tcPr>
            <w:tcW w:type="dxa" w:w="1247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Schema 与 Governance Validation 合并为一个模糊 PASS/FAIL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NO-GO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FK-SR-05</w:t>
            </w:r>
          </w:p>
        </w:tc>
        <w:tc>
          <w:tcPr>
            <w:tcW w:type="dxa" w:w="1247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使用 latest/current 浮动依赖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NO-GO</w:t>
            </w:r>
          </w:p>
        </w:tc>
      </w:tr>
      <w:tr>
        <w:trPr>
          <w:cantSplit/>
        </w:trP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FK-SR-06</w:t>
            </w:r>
          </w:p>
        </w:tc>
        <w:tc>
          <w:tcPr>
            <w:tcW w:type="dxa" w:w="1247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Raw Input 默认长期持久化，或日志包含秘密/完整敏感输入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NO-GO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FK-SR-07</w:t>
            </w:r>
          </w:p>
        </w:tc>
        <w:tc>
          <w:tcPr>
            <w:tcW w:type="dxa" w:w="1247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Audit 可更新、删除或无法检测篡改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NO-GO</w:t>
            </w:r>
          </w:p>
        </w:tc>
      </w:tr>
      <w:tr>
        <w:trPr>
          <w:cantSplit/>
        </w:trP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FK-SR-08</w:t>
            </w:r>
          </w:p>
        </w:tc>
        <w:tc>
          <w:tcPr>
            <w:tcW w:type="dxa" w:w="1247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高分覆盖 PROHIBITED、UNKNOWN、Human Anchor 或硬 Gate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NO-GO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FK-SR-09</w:t>
            </w:r>
          </w:p>
        </w:tc>
        <w:tc>
          <w:tcPr>
            <w:tcW w:type="dxa" w:w="1247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输出宣称 Certified/Authorized/ACTIVE_EXTERNAL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NO-GO</w:t>
            </w:r>
          </w:p>
        </w:tc>
      </w:tr>
      <w:tr>
        <w:trPr>
          <w:cantSplit/>
        </w:trP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FK-SR-10</w:t>
            </w:r>
          </w:p>
        </w:tc>
        <w:tc>
          <w:tcPr>
            <w:tcW w:type="dxa" w:w="1247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将 141 tests 或 synthetic CASE 宣传为外部/企业证据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STOP PUBLICATION</w:t>
            </w:r>
          </w:p>
        </w:tc>
      </w:tr>
    </w:tbl>
    <w:p/>
    <w:p>
      <w:pPr>
        <w:pStyle w:val="Heading1"/>
        <w:pBdr>
          <w:bottom w:val="single" w:sz="8" w:space="3" w:color="B9C7D8"/>
        </w:pBdr>
      </w:pPr>
      <w:r>
        <w:t>17. VG2 开放设计决策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04"/>
        <w:gridCol w:w="3804"/>
        <w:gridCol w:w="3804"/>
        <w:gridCol w:w="3804"/>
      </w:tblGrid>
      <w:tr>
        <w:trPr>
          <w:cantSplit/>
          <w:tblHeader w:val="true"/>
        </w:trPr>
        <w:tc>
          <w:tcPr>
            <w:tcW w:type="dxa" w:w="1871"/>
            <w:shd w:fill="B45309"/>
            <w:tcBorders>
              <w:top w:val="single" w:sz="5" w:color="B45309"/>
              <w:left w:val="single" w:sz="5" w:color="B45309"/>
              <w:bottom w:val="single" w:sz="5" w:color="B45309"/>
              <w:right w:val="single" w:sz="5" w:color="B4530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决策</w:t>
            </w:r>
          </w:p>
        </w:tc>
        <w:tc>
          <w:tcPr>
            <w:tcW w:type="dxa" w:w="7087"/>
            <w:shd w:fill="B45309"/>
            <w:tcBorders>
              <w:top w:val="single" w:sz="5" w:color="B45309"/>
              <w:left w:val="single" w:sz="5" w:color="B45309"/>
              <w:bottom w:val="single" w:sz="5" w:color="B45309"/>
              <w:right w:val="single" w:sz="5" w:color="B4530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1701"/>
            <w:shd w:fill="B45309"/>
            <w:tcBorders>
              <w:top w:val="single" w:sz="5" w:color="B45309"/>
              <w:left w:val="single" w:sz="5" w:color="B45309"/>
              <w:bottom w:val="single" w:sz="5" w:color="B45309"/>
              <w:right w:val="single" w:sz="5" w:color="B4530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关闭 Gate</w:t>
            </w:r>
          </w:p>
        </w:tc>
        <w:tc>
          <w:tcPr>
            <w:tcW w:type="dxa" w:w="6350"/>
            <w:shd w:fill="B45309"/>
            <w:tcBorders>
              <w:top w:val="single" w:sz="5" w:color="B45309"/>
              <w:left w:val="single" w:sz="5" w:color="B45309"/>
              <w:bottom w:val="single" w:sz="5" w:color="B45309"/>
              <w:right w:val="single" w:sz="5" w:color="B4530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不可违反的边界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OD-FK-001</w:t>
            </w:r>
          </w:p>
        </w:tc>
        <w:tc>
          <w:tcPr>
            <w:tcW w:type="dxa" w:w="70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主要开发者入口选择：CLI、Local HTTP API 或两者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VG2</w:t>
            </w:r>
          </w:p>
        </w:tc>
        <w:tc>
          <w:tcPr>
            <w:tcW w:type="dxa" w:w="63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必须有一个主要路径；不得形成两套业务逻辑</w:t>
            </w:r>
          </w:p>
        </w:tc>
      </w:tr>
      <w:tr>
        <w:trPr>
          <w:cantSplit/>
        </w:trPr>
        <w:tc>
          <w:tcPr>
            <w:tcW w:type="dxa" w:w="18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OD-FK-002</w:t>
            </w:r>
          </w:p>
        </w:tc>
        <w:tc>
          <w:tcPr>
            <w:tcW w:type="dxa" w:w="70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Observer Host 语言与运行时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VG2</w:t>
            </w:r>
          </w:p>
        </w:tc>
        <w:tc>
          <w:tcPr>
            <w:tcW w:type="dxa" w:w="63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不得改变 Engine 独立合同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OD-FK-003</w:t>
            </w:r>
          </w:p>
        </w:tc>
        <w:tc>
          <w:tcPr>
            <w:tcW w:type="dxa" w:w="70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Engine Facade 采用进程内、子进程或本地 RPC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VG2</w:t>
            </w:r>
          </w:p>
        </w:tc>
        <w:tc>
          <w:tcPr>
            <w:tcW w:type="dxa" w:w="63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Engine 仍无 DB/模型/企业副作用</w:t>
            </w:r>
          </w:p>
        </w:tc>
      </w:tr>
      <w:tr>
        <w:trPr>
          <w:cantSplit/>
        </w:trPr>
        <w:tc>
          <w:tcPr>
            <w:tcW w:type="dxa" w:w="18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OD-FK-004</w:t>
            </w:r>
          </w:p>
        </w:tc>
        <w:tc>
          <w:tcPr>
            <w:tcW w:type="dxa" w:w="70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本地 Metadata/Observation/Audit 存储实现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VG2</w:t>
            </w:r>
          </w:p>
        </w:tc>
        <w:tc>
          <w:tcPr>
            <w:tcW w:type="dxa" w:w="63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逻辑所有权分离；Audit 追加式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OD-FK-005</w:t>
            </w:r>
          </w:p>
        </w:tc>
        <w:tc>
          <w:tcPr>
            <w:tcW w:type="dxa" w:w="70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Canonical Serialization 算法与版本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VG2</w:t>
            </w:r>
          </w:p>
        </w:tc>
        <w:tc>
          <w:tcPr>
            <w:tcW w:type="dxa" w:w="63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必须跨运行稳定并进入 AuditEvent</w:t>
            </w:r>
          </w:p>
        </w:tc>
      </w:tr>
      <w:tr>
        <w:trPr>
          <w:cantSplit/>
        </w:trPr>
        <w:tc>
          <w:tcPr>
            <w:tcW w:type="dxa" w:w="18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OD-FK-006</w:t>
            </w:r>
          </w:p>
        </w:tc>
        <w:tc>
          <w:tcPr>
            <w:tcW w:type="dxa" w:w="70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Audit hash chain 分区与单写者策略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VG2</w:t>
            </w:r>
          </w:p>
        </w:tc>
        <w:tc>
          <w:tcPr>
            <w:tcW w:type="dxa" w:w="63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并发不得破坏 previous_hash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OD-FK-007</w:t>
            </w:r>
          </w:p>
        </w:tc>
        <w:tc>
          <w:tcPr>
            <w:tcW w:type="dxa" w:w="70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是否保存脱敏 CanonicalContext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VG2</w:t>
            </w:r>
          </w:p>
        </w:tc>
        <w:tc>
          <w:tcPr>
            <w:tcW w:type="dxa" w:w="63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Raw 默认不持久化；不虚假声明 Exact Replay</w:t>
            </w:r>
          </w:p>
        </w:tc>
      </w:tr>
      <w:tr>
        <w:trPr>
          <w:cantSplit/>
        </w:trPr>
        <w:tc>
          <w:tcPr>
            <w:tcW w:type="dxa" w:w="18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OD-FK-008</w:t>
            </w:r>
          </w:p>
        </w:tc>
        <w:tc>
          <w:tcPr>
            <w:tcW w:type="dxa" w:w="70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Reference Adapter 与 CASE 的精确选择和版本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VG2</w:t>
            </w:r>
          </w:p>
        </w:tc>
        <w:tc>
          <w:tcPr>
            <w:tcW w:type="dxa" w:w="63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使用 synthetic；优先客服越权承诺/知识冲突最小子集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OD-FK-009</w:t>
            </w:r>
          </w:p>
        </w:tc>
        <w:tc>
          <w:tcPr>
            <w:tcW w:type="dxa" w:w="70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Windows 最低版本、portable zip 或安装器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VG2/VG3</w:t>
            </w:r>
          </w:p>
        </w:tc>
        <w:tc>
          <w:tcPr>
            <w:tcW w:type="dxa" w:w="63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第二干净环境可复现</w:t>
            </w:r>
          </w:p>
        </w:tc>
      </w:tr>
      <w:tr>
        <w:trPr>
          <w:cantSplit/>
        </w:trPr>
        <w:tc>
          <w:tcPr>
            <w:tcW w:type="dxa" w:w="18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OD-FK-010</w:t>
            </w:r>
          </w:p>
        </w:tc>
        <w:tc>
          <w:tcPr>
            <w:tcW w:type="dxa" w:w="70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任务取消语义：支持取消或明确不可取消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VG2</w:t>
            </w:r>
          </w:p>
        </w:tc>
        <w:tc>
          <w:tcPr>
            <w:tcW w:type="dxa" w:w="63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不得无反馈挂起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OD-FK-011</w:t>
            </w:r>
          </w:p>
        </w:tc>
        <w:tc>
          <w:tcPr>
            <w:tcW w:type="dxa" w:w="70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reason_code 命名空间和稳定性策略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VG2</w:t>
            </w:r>
          </w:p>
        </w:tc>
        <w:tc>
          <w:tcPr>
            <w:tcW w:type="dxa" w:w="63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Schema/Governance/Adapter/Engine/System 分域</w:t>
            </w:r>
          </w:p>
        </w:tc>
      </w:tr>
      <w:tr>
        <w:trPr>
          <w:cantSplit/>
        </w:trPr>
        <w:tc>
          <w:tcPr>
            <w:tcW w:type="dxa" w:w="18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OD-FK-012</w:t>
            </w:r>
          </w:p>
        </w:tc>
        <w:tc>
          <w:tcPr>
            <w:tcW w:type="dxa" w:w="70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依赖锁定、SBOM 与 ReleaseManifest 生成方式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VG2/VG3</w:t>
            </w:r>
          </w:p>
        </w:tc>
        <w:tc>
          <w:tcPr>
            <w:tcW w:type="dxa" w:w="63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Release Tag 指向固定 commit 和 digest</w:t>
            </w:r>
          </w:p>
        </w:tc>
      </w:tr>
    </w:tbl>
    <w:p/>
    <w:p>
      <w:pPr>
        <w:sectPr>
          <w:headerReference w:type="default" r:id="rId19"/>
          <w:footerReference w:type="default" r:id="rId20"/>
          <w:pgSz w:w="15840" w:h="12240" w:orient="landscape"/>
          <w:pgMar w:top="510" w:right="312" w:bottom="510" w:left="312" w:header="720" w:footer="720" w:gutter="0"/>
          <w:cols w:space="720"/>
          <w:docGrid w:linePitch="360"/>
        </w:sectPr>
      </w:pPr>
    </w:p>
    <w:p>
      <w:pPr>
        <w:pStyle w:val="Heading2"/>
      </w:pPr>
      <w:r>
        <w:t>17.1 决策依赖顺序</w:t>
      </w:r>
    </w:p>
    <w:p>
      <w:r>
        <w:t>正式关闭顺序为：CASE 与语义 → Host / Engine / 入口 → 数据表示与存储 → 并发与完整性 → 部署与发布证据。后置决策不得在前置决策未形成基线时擅自冻结。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16"/>
        <w:gridCol w:w="2816"/>
        <w:gridCol w:w="2816"/>
        <w:gridCol w:w="2816"/>
        <w:gridCol w:w="2816"/>
      </w:tblGrid>
      <w:tr>
        <w:tc>
          <w:tcPr>
            <w:tcW w:type="dxa" w:w="2816"/>
            <w:shd w:fill="B45309"/>
            <w:tcBorders>
              <w:top w:val="single" w:sz="5" w:color="B45309"/>
              <w:left w:val="single" w:sz="5" w:color="B45309"/>
              <w:bottom w:val="single" w:sz="5" w:color="B45309"/>
              <w:right w:val="single" w:sz="5" w:color="B45309"/>
              <w:insideH w:val="single" w:sz="5" w:color="B45309"/>
              <w:insideV w:val="single" w:sz="5" w:color="B45309"/>
            </w:tcBorders>
          </w:tcPr>
          <w:p>
            <w:r>
              <w:rPr>
                <w:b/>
              </w:rPr>
              <w:t>顺序</w:t>
            </w:r>
          </w:p>
        </w:tc>
        <w:tc>
          <w:tcPr>
            <w:tcW w:type="dxa" w:w="2816"/>
            <w:shd w:fill="B45309"/>
            <w:tcBorders>
              <w:top w:val="single" w:sz="5" w:color="B45309"/>
              <w:left w:val="single" w:sz="5" w:color="B45309"/>
              <w:bottom w:val="single" w:sz="5" w:color="B45309"/>
              <w:right w:val="single" w:sz="5" w:color="B45309"/>
              <w:insideH w:val="single" w:sz="5" w:color="B45309"/>
              <w:insideV w:val="single" w:sz="5" w:color="B45309"/>
            </w:tcBorders>
          </w:tcPr>
          <w:p>
            <w:r>
              <w:rPr>
                <w:b/>
              </w:rPr>
              <w:t>组</w:t>
            </w:r>
          </w:p>
        </w:tc>
        <w:tc>
          <w:tcPr>
            <w:tcW w:type="dxa" w:w="2816"/>
            <w:shd w:fill="B45309"/>
            <w:tcBorders>
              <w:top w:val="single" w:sz="5" w:color="B45309"/>
              <w:left w:val="single" w:sz="5" w:color="B45309"/>
              <w:bottom w:val="single" w:sz="5" w:color="B45309"/>
              <w:right w:val="single" w:sz="5" w:color="B45309"/>
              <w:insideH w:val="single" w:sz="5" w:color="B45309"/>
              <w:insideV w:val="single" w:sz="5" w:color="B45309"/>
            </w:tcBorders>
          </w:tcPr>
          <w:p>
            <w:r>
              <w:rPr>
                <w:b/>
              </w:rPr>
              <w:t>决策</w:t>
            </w:r>
          </w:p>
        </w:tc>
        <w:tc>
          <w:tcPr>
            <w:tcW w:type="dxa" w:w="2816"/>
            <w:shd w:fill="B45309"/>
            <w:tcBorders>
              <w:top w:val="single" w:sz="5" w:color="B45309"/>
              <w:left w:val="single" w:sz="5" w:color="B45309"/>
              <w:bottom w:val="single" w:sz="5" w:color="B45309"/>
              <w:right w:val="single" w:sz="5" w:color="B45309"/>
              <w:insideH w:val="single" w:sz="5" w:color="B45309"/>
              <w:insideV w:val="single" w:sz="5" w:color="B45309"/>
            </w:tcBorders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816"/>
            <w:shd w:fill="B45309"/>
            <w:tcBorders>
              <w:top w:val="single" w:sz="5" w:color="B45309"/>
              <w:left w:val="single" w:sz="5" w:color="B45309"/>
              <w:bottom w:val="single" w:sz="5" w:color="B45309"/>
              <w:right w:val="single" w:sz="5" w:color="B45309"/>
              <w:insideH w:val="single" w:sz="5" w:color="B45309"/>
              <w:insideV w:val="single" w:sz="5" w:color="B45309"/>
            </w:tcBorders>
          </w:tcPr>
          <w:p>
            <w:r>
              <w:rPr>
                <w:b/>
              </w:rPr>
              <w:t>依赖</w:t>
            </w:r>
          </w:p>
        </w:tc>
      </w:tr>
      <w:tr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1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G1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OD-FK-008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CASE / Adapter 精确选择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-</w:t>
            </w:r>
          </w:p>
        </w:tc>
      </w:tr>
      <w:tr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2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G1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OD-FK-011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reason_code 命名空间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008</w:t>
            </w:r>
          </w:p>
        </w:tc>
      </w:tr>
      <w:tr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3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G2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OD-FK-002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Host 语言与运行时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008, 011</w:t>
            </w:r>
          </w:p>
        </w:tc>
      </w:tr>
      <w:tr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4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G2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OD-FK-003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Engine Facade 进程模型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002</w:t>
            </w:r>
          </w:p>
        </w:tc>
      </w:tr>
      <w:tr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5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G2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OD-FK-001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CLI / Local API 入口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002, 003</w:t>
            </w:r>
          </w:p>
        </w:tc>
      </w:tr>
      <w:tr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6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G3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OD-FK-005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Canonical Serialization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011</w:t>
            </w:r>
          </w:p>
        </w:tc>
      </w:tr>
      <w:tr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7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G3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OD-FK-007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Context 保存策略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005</w:t>
            </w:r>
          </w:p>
        </w:tc>
      </w:tr>
      <w:tr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8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G3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OD-FK-004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本地存储实现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003, 005, 007</w:t>
            </w:r>
          </w:p>
        </w:tc>
      </w:tr>
      <w:tr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9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G4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OD-FK-006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Hash Chain 并发策略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004, 005</w:t>
            </w:r>
          </w:p>
        </w:tc>
      </w:tr>
      <w:tr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10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G4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OD-FK-010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取消语义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001, 003, 004</w:t>
            </w:r>
          </w:p>
        </w:tc>
      </w:tr>
      <w:tr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11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G5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OD-FK-009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Windows / 安装封装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002, 003, 004</w:t>
            </w:r>
          </w:p>
        </w:tc>
      </w:tr>
      <w:tr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12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G5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OD-FK-012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锁定 / SBOM / Manifest</w:t>
            </w:r>
          </w:p>
        </w:tc>
        <w:tc>
          <w:tcPr>
            <w:tcW w:type="dxa" w:w="2816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005, 009</w:t>
            </w:r>
          </w:p>
        </w:tc>
      </w:tr>
    </w:tbl>
    <w:p>
      <w:pPr>
        <w:pStyle w:val="Heading1"/>
        <w:pBdr>
          <w:bottom w:val="single" w:sz="8" w:space="3" w:color="B9C7D8"/>
        </w:pBdr>
      </w:pPr>
      <w:r>
        <w:t>18. VG1 冻结准入检查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rPr>
          <w:cantSplit/>
          <w:tblHeader w:val="true"/>
        </w:trPr>
        <w:tc>
          <w:tcPr>
            <w:tcW w:type="dxa" w:w="1814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  <w:insideH w:val="single" w:sz="5" w:color="102A43"/>
              <w:insideV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检查</w:t>
            </w:r>
          </w:p>
        </w:tc>
        <w:tc>
          <w:tcPr>
            <w:tcW w:type="dxa" w:w="6803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  <w:insideH w:val="single" w:sz="5" w:color="102A43"/>
              <w:insideV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内容</w:t>
            </w:r>
          </w:p>
        </w:tc>
        <w:tc>
          <w:tcPr>
            <w:tcW w:type="dxa" w:w="1701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  <w:insideH w:val="single" w:sz="5" w:color="102A43"/>
              <w:insideV w:val="single" w:sz="5" w:color="102A43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VG1-01</w:t>
            </w:r>
          </w:p>
        </w:tc>
        <w:tc>
          <w:tcPr>
            <w:tcW w:type="dxa" w:w="680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上位三项基线固定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VG1-02</w:t>
            </w:r>
          </w:p>
        </w:tc>
        <w:tc>
          <w:tcPr>
            <w:tcW w:type="dxa" w:w="6803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版本主目标单一且可演示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VG1-03</w:t>
            </w:r>
          </w:p>
        </w:tc>
        <w:tc>
          <w:tcPr>
            <w:tcW w:type="dxa" w:w="680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24 条范围记录完整并批准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VG1-04</w:t>
            </w:r>
          </w:p>
        </w:tc>
        <w:tc>
          <w:tcPr>
            <w:tcW w:type="dxa" w:w="6803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12 FR、10 NFR、1 ER、1 AT 已分配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VG1-05</w:t>
            </w:r>
          </w:p>
        </w:tc>
        <w:tc>
          <w:tcPr>
            <w:tcW w:type="dxa" w:w="680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VAC-FK-001 已批准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VG1-06</w:t>
            </w:r>
          </w:p>
        </w:tc>
        <w:tc>
          <w:tcPr>
            <w:tcW w:type="dxa" w:w="6803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产品延期与技术复杂度上限完整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VG1-07</w:t>
            </w:r>
          </w:p>
        </w:tc>
        <w:tc>
          <w:tcPr>
            <w:tcW w:type="dxa" w:w="680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组件、合同和数据所有权已定义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VG1-08</w:t>
            </w:r>
          </w:p>
        </w:tc>
        <w:tc>
          <w:tcPr>
            <w:tcW w:type="dxa" w:w="6803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12 个 Fixture 已定义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VG1-09</w:t>
            </w:r>
          </w:p>
        </w:tc>
        <w:tc>
          <w:tcPr>
            <w:tcW w:type="dxa" w:w="680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Alpha 安全边界已继承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VG1-10</w:t>
            </w:r>
          </w:p>
        </w:tc>
        <w:tc>
          <w:tcPr>
            <w:tcW w:type="dxa" w:w="6803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第二干净环境资格已固定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VG1-11</w:t>
            </w:r>
          </w:p>
        </w:tc>
        <w:tc>
          <w:tcPr>
            <w:tcW w:type="dxa" w:w="680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12 项决策依赖顺序已固定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VG1-12</w:t>
            </w:r>
          </w:p>
        </w:tc>
        <w:tc>
          <w:tcPr>
            <w:tcW w:type="dxa" w:w="6803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未锁定日期和技术栈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PASS</w:t>
            </w:r>
          </w:p>
        </w:tc>
      </w:tr>
      <w:tr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VG1-13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作者/指定评审者批准范围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FFFFF"/>
          </w:tcPr>
          <w:p>
            <w:r>
              <w:t>PASS</w:t>
            </w:r>
          </w:p>
        </w:tc>
      </w:tr>
      <w:tr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VG1-14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Scope Baseline hash 已登记</w:t>
            </w:r>
          </w:p>
        </w:tc>
        <w:tc>
          <w:tcPr>
            <w:tcW w:type="dxa" w:w="4694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  <w:insideH w:val="single" w:sz="5" w:color="CBD5E1"/>
              <w:insideV w:val="single" w:sz="5" w:color="CBD5E1"/>
            </w:tcBorders>
            <w:shd w:fill="F3F5F7"/>
          </w:tcPr>
          <w:p>
            <w:r>
              <w:t>PASS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082"/>
      </w:tblGrid>
      <w:tr>
        <w:trPr>
          <w:cantSplit/>
          <w:tblHeader w:val="true"/>
        </w:trPr>
        <w:tc>
          <w:tcPr>
            <w:tcW w:type="dxa" w:w="14082"/>
            <w:shd w:fill="FFF4E5"/>
            <w:tcBorders>
              <w:top w:val="single" w:sz="10" w:color="B45309"/>
              <w:left w:val="single" w:sz="10" w:color="B45309"/>
              <w:bottom w:val="single" w:sz="10" w:color="B45309"/>
              <w:right w:val="single" w:sz="10" w:color="B4530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45309"/>
                <w:sz w:val="20"/>
              </w:rPr>
              <w:t>当前结论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Decision: GO</w:t>
              <w:br/>
              <w:t>Author Approval: PASS</w:t>
              <w:br/>
              <w:t>Fixed Baseline Hash: RECORDED</w:t>
              <w:br/>
              <w:t>Status: FROZEN VERSION SCOPE BASELINE | FS-OBS-V010-SCOPE-BL-1.0</w:t>
              <w:br/>
              <w:t>Implementation Authorization: NO</w:t>
            </w:r>
          </w:p>
        </w:tc>
      </w:tr>
    </w:tbl>
    <w:p/>
    <w:p>
      <w:pPr>
        <w:pStyle w:val="Heading1"/>
        <w:pBdr>
          <w:bottom w:val="single" w:sz="8" w:space="3" w:color="B9C7D8"/>
        </w:pBdr>
      </w:pPr>
      <w:r>
        <w:t>19. 冻结范围、变更控制与下一步</w:t>
      </w:r>
    </w:p>
    <w:p>
      <w:pPr>
        <w:pStyle w:val="Heading2"/>
      </w:pPr>
      <w:r>
        <w:t>19.1 冻结内容</w:t>
      </w:r>
    </w:p>
    <w:p>
      <w:r>
        <w:t>本基线冻结 24 条版本范围记录、VAC-FK-001、16 个逻辑参与组件、14 类延期产品能力、Foundation Kernel 技术复杂度上限、12 个合同候选、数据所有权与持久化规则、12 个 Fixture、12 项 VG2 决策及依赖顺序，以及 FK-SR-01 至 FK-SR-10。</w:t>
      </w:r>
    </w:p>
    <w:p>
      <w:pPr>
        <w:pStyle w:val="Heading2"/>
      </w:pPr>
      <w:r>
        <w:t>19.2 变更控制</w:t>
      </w:r>
    </w:p>
    <w:p>
      <w:r>
        <w:t>冻结后不得直接拒绝或删除上位基线分配的 MUST。认为范围需要调整时必须标记 NEEDS_CHANGE_REQUEST；只有正式 Change Request 修改上位基线后，才允许 REMOVED_BY_APPROVED_CHANGE。</w:t>
      </w:r>
    </w:p>
    <w:p>
      <w:pPr>
        <w:pStyle w:val="Heading2"/>
      </w:pPr>
      <w:r>
        <w:t>19.3 下一步</w:t>
      </w:r>
    </w:p>
    <w:p>
      <w:r>
        <w:t>仅允许进入 VG2：依次关闭 OD-FK-001 至 OD-FK-012，完成详细技术设计、Schema / API / Error Contract、Threat Model、Test Requirement、Fixture Specification、Traceability 与 Evidence 模板。未通过 VG2，不得进入正式实现。</w:t>
      </w:r>
    </w:p>
    <w:sectPr w:rsidR="00FC693F" w:rsidRPr="0006063C" w:rsidSect="00034616">
      <w:headerReference w:type="default" r:id="rId21"/>
      <w:footerReference w:type="default" r:id="rId22"/>
      <w:pgSz w:w="15840" w:h="122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2616B"/>
        <w:sz w:val="14"/>
      </w:rPr>
      <w:t xml:space="preserve">全频谱观察者系统 v1.0.0-alpha Foundation Kernel 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2616B"/>
        <w:sz w:val="14"/>
      </w:rPr>
      <w:t xml:space="preserve">全频谱观察者系统 v1.0.0-alpha Foundation Kernel  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2616B"/>
        <w:sz w:val="14"/>
      </w:rPr>
      <w:t xml:space="preserve">全频谱观察者系统 v1.0.0-alpha Foundation Kernel  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2616B"/>
        <w:sz w:val="14"/>
      </w:rPr>
      <w:t xml:space="preserve">全频谱观察者系统 v1.0.0-alpha Foundation Kernel  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2616B"/>
        <w:sz w:val="14"/>
      </w:rPr>
      <w:t xml:space="preserve">全频谱观察者系统 v1.0.0-alpha Foundation Kernel  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2616B"/>
        <w:sz w:val="14"/>
      </w:rPr>
      <w:t xml:space="preserve">全频谱观察者系统 v1.0.0-alpha Foundation Kernel  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2616B"/>
        <w:sz w:val="14"/>
      </w:rPr>
      <w:t xml:space="preserve">全频谱观察者系统 v1.0.0-alpha Foundation Kernel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2616B"/>
        <w:sz w:val="14"/>
      </w:rPr>
      <w:t>FS-OBS-V010-SCOPE-001 | v1.0 | VG1 Scope Frozen Baseline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2616B"/>
        <w:sz w:val="14"/>
      </w:rPr>
      <w:t>FS-OBS-V010-SCOPE-001 | v1.0 | Version Requirements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2616B"/>
        <w:sz w:val="14"/>
      </w:rPr>
      <w:t>FS-OBS-V010-SCOPE-001 | v1.0 | Contracts and Evidence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2616B"/>
        <w:sz w:val="14"/>
      </w:rPr>
      <w:t>FS-OBS-V010-SCOPE-001 | v1.0 | Contracts and Data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2616B"/>
        <w:sz w:val="14"/>
      </w:rPr>
      <w:t>FS-OBS-V010-SCOPE-001 | v1.0 | Audit, Security and Acceptance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2616B"/>
        <w:sz w:val="14"/>
      </w:rPr>
      <w:t>FS-OBS-V010-SCOPE-001 | v1.0 | Fixtures and Gates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2616B"/>
        <w:sz w:val="14"/>
      </w:rPr>
      <w:t>FS-OBS-V010-SCOPE-001 | v1.0 | VG1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2A43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7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