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102A43"/>
          <w:sz w:val="46"/>
        </w:rPr>
        <w:t>全频谱观察者系统 v0.1.0-alpha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7A6"/>
          <w:sz w:val="24"/>
        </w:rPr>
        <w:t>Foundation Kernel 威胁模型与安全设计基线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文档编号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FS-OBS-V010-THR-001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APPROVED SECURITY DESIGN BASELINE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2026-07-12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需求基线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FS-OBS-REQ-BL-1.0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架构基线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FS-OBS-ARCH-BL-1.0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版本规划基线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FS-OBS-VRP-BL-1.0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版本范围基线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FS-OBS-V010-SCOPE-BL-1.0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详细设计基线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FS-OBS-V010-DES-BL-1.0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Engine 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full-spectrum-engine v1.0.0 / 09062bae2c7608bda79ee4bfde5779109e8e6197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实现授权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YES — 仅按冻结设计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E5"/>
            <w:tcBorders>
              <w:top w:val="single" w:sz="10" w:color="B45309"/>
              <w:left w:val="single" w:sz="10" w:color="B45309"/>
              <w:bottom w:val="single" w:sz="10" w:color="B45309"/>
              <w:right w:val="single" w:sz="10" w:color="B45309"/>
            </w:tcBorders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5309"/>
                <w:sz w:val="20"/>
              </w:rPr>
              <w:t>状态说明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20 项威胁的设计控制已经批准，但当前仍为设计层控制，0 项已通过安全测试。</w:t>
            </w:r>
          </w:p>
        </w:tc>
      </w:tr>
    </w:tbl>
    <w:p/>
    <w:p>
      <w:pPr>
        <w:pStyle w:val="Heading1"/>
        <w:keepNext/>
      </w:pPr>
      <w:r>
        <w:t>1. 方法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18"/>
        </w:rPr>
        <w:t>采用 STRIDE-based hybrid threat model，并扩展 Injection、Replay、Supply Chain、Misrepresentation 与 Evidence Confusion。</w:t>
      </w:r>
    </w:p>
    <w:p>
      <w:pPr>
        <w:pStyle w:val="Heading1"/>
        <w:keepNext/>
      </w:pPr>
      <w:r>
        <w:t>2. 威胁登记</w:t>
      </w:r>
    </w:p>
    <w:p>
      <w:pPr>
        <w:sectPr>
          <w:headerReference w:type="default" r:id="rId9"/>
          <w:footerReference w:type="default" r:id="rId10"/>
          <w:pgSz w:w="12240" w:h="15840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rPr>
          <w:tblHeader w:val="true"/>
        </w:trPr>
        <w:tc>
          <w:tcPr>
            <w:tcW w:type="dxa" w:w="1361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71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4422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威胁</w:t>
            </w:r>
          </w:p>
        </w:tc>
        <w:tc>
          <w:tcPr>
            <w:tcW w:type="dxa" w:w="1304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初始级别</w:t>
            </w:r>
          </w:p>
        </w:tc>
        <w:tc>
          <w:tcPr>
            <w:tcW w:type="dxa" w:w="5669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设计控制</w:t>
            </w:r>
          </w:p>
        </w:tc>
        <w:tc>
          <w:tcPr>
            <w:tcW w:type="dxa" w:w="2268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测试</w:t>
            </w:r>
          </w:p>
        </w:tc>
        <w:tc>
          <w:tcPr>
            <w:tcW w:type="dxa" w:w="2494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T-FK-001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Tampering/DoS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恶意或超大 JSON、深层嵌套导致内存/CPU耗尽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文件≤1MiB；解析深度≤64；stdout≤10MiB；超时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FK-SEC-001/002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T-FK-002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输入路径穿越、UNC、符号链接逃逸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Path.GetFullPath；仅允许明确根目录；拒绝 UNC/reparse point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FK-SEC-003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T-FK-003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Spoofing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PATH 劫持或替换 python.exe/worker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CRITICAL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仅包内绝对路径；启动前核对 ReleaseManifest SHA-256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FK-SEC-004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T-FK-004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Engine/NumPy/Case Pack/Schema 被替换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CRITICAL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启动 health 与每次分析前验证关键 digest；失败阻断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FK-SEC-005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T-FK-005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Injection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通过 shell 参数或文件名命令注入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CRITICAL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UseShellExecute=false；ArgumentList；不拼接 shell 命令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FK-SEC-006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T-FK-006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Spoofing/Tampering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Worker stdout 混入日志或多对象欺骗协议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stdout 只允许一行 JSON；protocol/request_id/version/size/digest 全校验；日志仅 stderr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FK-FAC-001/002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T-FK-007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Information Disclosure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Raw Input、秘密、敏感错误进入日志/输出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默认不持久化 Raw；结构化日志白名单；details_redacted=true；敏感字段测试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FK-PRV-001/002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T-FK-008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Information Disclosure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临时文件残留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MEDIUM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优先 stdin；需要临时文件时唯一目录、finally 删除、启动清理 Observer-owned temp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FK-PRV-003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T-FK-009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SQLite/Audit 行被修改或删除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文件 ACL；Audit 触发器；单链 hash；verify-audit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FK-AUD-003/004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T-FK-010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并发写导致 previous_hash 竞争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单 Host 锁 + SemaphoreSlim + BEGIN IMMEDIATE + sequence UNIQUE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FK-AUD-005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T-FK-011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DoS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Engine 无限运行或子进程无法退出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30s timeout；2s grace；kill process tree；状态/Audit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FK-JOB-002/003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T-FK-012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Repudiation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用户否认运行或无法关联一次请求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MEDIUM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request/operation/observation/trace ID；Audit actor=SYSTEM/OPERATOR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FK-EVD-001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T-FK-013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Replay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相同幂等键不同内容覆盖历史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request_fingerprint；冲突拒绝；成功 Observation 不覆盖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FK-IDEM-001/002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T-FK-014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DoS/Integrity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SQLite lock、磁盘满或损坏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单实例；busy_timeout；事务；启动 integrity_check；失败不伪造成功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FK-STORE-001/002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T-FK-015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Information Disclosure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意外联网/代理环境导致外发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无网络客户端；清除 HTTP(S)_PROXY；离线测试监测连接；远程功能不存在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FK-OFF-001/SEC-007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T-FK-016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Elevation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输入内容改变系统规则/命令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无模型；输入仅数据；JSON Schema additionalProperties=false；不解释为指令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FK-SEC-008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T-FK-017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Engine 结果被 Host 改写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保存 raw Engine bytes/digest；Envelope 只追加边界和引用；golden diff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FK-OUT-001/002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T-FK-018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Misrepresentation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输出被解释为 Certified/Authorized/ACTIVE_EXTERNAL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Envelope 常量 false；报告边界；Schema const；负向测试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FK-BND-001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T-FK-019</w:t>
            </w:r>
          </w:p>
        </w:tc>
        <w:tc>
          <w:tcPr>
            <w:tcW w:type="dxa" w:w="187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Supply Chain</w:t>
            </w:r>
          </w:p>
        </w:tc>
        <w:tc>
          <w:tcPr>
            <w:tcW w:type="dxa" w:w="442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依赖漂移或恶意包</w:t>
            </w:r>
          </w:p>
        </w:tc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锁文件+hash wheelhouse+SBOM+licenses+固定 commit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FK-PKG-001/002</w:t>
            </w:r>
          </w:p>
        </w:tc>
        <w:tc>
          <w:tcPr>
            <w:tcW w:type="dxa" w:w="249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T-FK-020</w:t>
            </w:r>
          </w:p>
        </w:tc>
        <w:tc>
          <w:tcPr>
            <w:tcW w:type="dxa" w:w="187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Evidence Confusion</w:t>
            </w:r>
          </w:p>
        </w:tc>
        <w:tc>
          <w:tcPr>
            <w:tcW w:type="dxa" w:w="442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141 tests/synthetic 被宣传为外部或企业证据</w:t>
            </w:r>
          </w:p>
        </w:tc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ReleaseManifest/evidence_classification；文档负面声明；测试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FK-EVD-002</w:t>
            </w:r>
          </w:p>
        </w:tc>
        <w:tc>
          <w:tcPr>
            <w:tcW w:type="dxa" w:w="249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3. 关键控制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私有 Python/Worker/Engine/Schema/Pack 启动前校验 ReleaseManifest SHA-256。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UseShellExecute=false 与 ArgumentList，禁止 shell 拼接。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stdout 仅允许单行 JSON 协议；stderr 诊断；大小、版本、request_id 和 digest 全校验。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Raw Input 默认不持久化；日志白名单和 canary 扫描。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单实例、单写者、BEGIN IMMEDIATE 和 Audit hash chain。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无网络客户端、清空代理并执行零外联测试。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Observer 输出固定不产生 Certified/Authorized/ACTIVE_EXTERNAL。</w:t>
      </w:r>
    </w:p>
    <w:p>
      <w:pPr>
        <w:pStyle w:val="Heading1"/>
        <w:keepNext/>
      </w:pPr>
      <w:r>
        <w:t>4. 风险关闭规则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18"/>
        </w:rPr>
        <w:t>APPROVED_DESIGN_CONTROL 不等于风险关闭。只有控制已实现、对应测试通过并形成 evidence_path 后，状态才能转为 VERIFIED_CONTROL。Critical/High 失败不得作为普通缺陷接受。</w:t>
      </w:r>
    </w:p>
    <w:sectPr w:rsidR="00FC693F" w:rsidRPr="0006063C" w:rsidSect="00034616">
      <w:pgSz w:w="11906" w:h="16838"/>
      <w:pgMar w:top="850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>Full Spectrum Observer System | Foundation Kernel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FS-OBS-V010-THR-001 | v1.0 | Frozen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