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Noto Sans CJK SC" w:hAnsi="Noto Sans CJK SC" w:eastAsia="Noto Sans CJK SC"/>
          <w:b/>
          <w:color w:val="102A43"/>
          <w:sz w:val="46"/>
        </w:rPr>
        <w:t>全频谱观察者系统 v0.1.0-alpha</w:t>
      </w:r>
    </w:p>
    <w:p>
      <w:pPr>
        <w:jc w:val="center"/>
      </w:pPr>
      <w:r>
        <w:rPr>
          <w:rFonts w:ascii="Noto Sans CJK SC" w:hAnsi="Noto Sans CJK SC" w:eastAsia="Noto Sans CJK SC"/>
          <w:b/>
          <w:color w:val="2457A6"/>
          <w:sz w:val="24"/>
        </w:rPr>
        <w:t>Foundation Kernel 详细技术设计基线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文档编号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FS-OBS-V010-DES-001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v1.0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状态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GO / FROZEN DETAILED DESIGN BASELINE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日期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2026-07-12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需求基线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FS-OBS-REQ-BL-1.0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架构基线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FS-OBS-ARCH-BL-1.0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版本规划基线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FS-OBS-VRP-BL-1.0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版本范围基线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FS-OBS-V010-SCOPE-BL-1.0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详细设计基线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FS-OBS-V010-DES-BL-1.0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Engine 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full-spectrum-engine v1.0.0 / 09062bae2c7608bda79ee4bfde5779109e8e6197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实现授权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YES — 仅按冻结设计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F8EE"/>
            <w:tcBorders>
              <w:top w:val="single" w:sz="10" w:color="2F7D32"/>
              <w:left w:val="single" w:sz="10" w:color="2F7D32"/>
              <w:bottom w:val="single" w:sz="10" w:color="2F7D32"/>
              <w:right w:val="single" w:sz="10" w:color="2F7D32"/>
            </w:tcBorders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7D32"/>
                <w:sz w:val="20"/>
              </w:rPr>
              <w:t>正式决定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Decision: GO</w:t>
              <w:br/>
              <w:t>Status: FROZEN DETAILED DESIGN BASELINE</w:t>
              <w:br/>
              <w:t>Baseline ID: FS-OBS-V010-DES-BL-1.0</w:t>
              <w:br/>
              <w:t>Implementation Authorization: YES — 仅按本基线实现</w:t>
            </w:r>
          </w:p>
        </w:tc>
      </w:tr>
    </w:tbl>
    <w:p/>
    <w:p>
      <w:pPr>
        <w:pStyle w:val="Heading1"/>
        <w:keepNext/>
      </w:pPr>
      <w:r>
        <w:t>1. 目标、边界与不代表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18"/>
        </w:rPr>
        <w:t>本基线把已经冻结的 VG1 范围转换为可实现、可测试和可审计的详细技术设计。v0.1.0-alpha 只证明固定 synthetic CASE 的本地离线确定性闭环。</w:t>
      </w:r>
    </w:p>
    <w:p>
      <w:pPr>
        <w:spacing w:after="60"/>
        <w:ind w:left="255" w:right="142"/>
        <w:shd w:fill="F3F5F7"/>
      </w:pPr>
      <w:r>
        <w:rPr>
          <w:rFonts w:ascii="DejaVu Sans Mono" w:hAnsi="DejaVu Sans Mono" w:eastAsia="DejaVu Sans Mono"/>
          <w:b w:val="0"/>
          <w:color w:val="1F2937"/>
          <w:sz w:val="16"/>
        </w:rPr>
        <w:t>CLI → Intake → FoundationScenarioAdapter → Schema Validation → Governance Validation → Runtime Snapshot → Engine Facade → Engine → Output → Observation / Append-only Audit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不建设 Console、Copilot、IAM、审批、完整 Registry、模型 Provider 或 Enterprise Connector。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不复制或重写 Engine 的正式治理算法。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不启动 Engine FastAPI，不复用 Engine SQLite。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不宣称 Exact Replay、外部验证、企业验证、认证、授权或 ACTIVE_EXTERNAL。</w:t>
      </w:r>
    </w:p>
    <w:p>
      <w:pPr>
        <w:pStyle w:val="Heading1"/>
        <w:keepNext/>
      </w:pPr>
      <w:r>
        <w:t>2. 固定工程基线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268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4535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冻结值</w:t>
            </w:r>
          </w:p>
        </w:tc>
        <w:tc>
          <w:tcPr>
            <w:tcW w:type="dxa" w:w="3969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边界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Host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.NET 10 LTS / net10.0 / win-x64 / self-contained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最终 SDK patch 在 VG3 ReleaseManifest 固定；不得随开发机漂移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Engine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full-spectrum-engine v1.0.0 / 09062bae2c7608bda79ee4bfde5779109e8e6197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只通过 Facade；System 不复制算法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Reference CASE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CASE005_KNOWLEDGE_CONFLICT / seed 42 / fixed_time 2026-07-04T00:00:00Z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SYNTHETIC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入口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observer.exe CLI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v0.1 不发布 HTTP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Facade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每次分析一个 Python 3.11 私有 Worker 子进程；JSONL stdin/stdout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无 FastAPI、无进程池、无 Engine DB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存储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Observer SQLite + content-addressed Artifact Store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单机、非网络共享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Audit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GLOBAL 单链 + 单 Host + 单写者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previous_hash 连续，UPDATE/DELETE 禁止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5"/>
              </w:rPr>
              <w:t>Schema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12 个 Draft 2020-12 自包含 Schema / FS-OBS-V010-SCHEMA-BL-1.0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APPROVED_DESIGN_BASELINE，不是公开 STABLE 协议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1988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g2_compon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988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2616B"/>
          <w:sz w:val="16"/>
        </w:rPr>
        <w:t>图 1：Foundation Kernel 物理模块与依赖方向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10364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g2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0364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2616B"/>
          <w:sz w:val="16"/>
        </w:rPr>
        <w:t>图 2：一次分析的端到端序列</w:t>
      </w:r>
    </w:p>
    <w:p>
      <w:pPr>
        <w:pStyle w:val="Heading1"/>
        <w:keepNext/>
      </w:pPr>
      <w:r>
        <w:t>3. 设计决策 ADR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18"/>
        </w:rPr>
        <w:t>12 项开放决策均已通过 VG2 评审，状态为 APPROVED_FOR_VG2。任何语义变化必须走 Change Request。</w:t>
      </w:r>
    </w:p>
    <w:p>
      <w:pPr>
        <w:sectPr>
          <w:headerReference w:type="default" r:id="rId9"/>
          <w:footerReference w:type="default" r:id="rId10"/>
          <w:pgSz w:w="12240" w:h="15840"/>
          <w:pgMar w:top="850" w:right="879" w:bottom="765" w:left="879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rPr>
          <w:tblHeader w:val="true"/>
        </w:trPr>
        <w:tc>
          <w:tcPr>
            <w:tcW w:type="dxa" w:w="680"/>
            <w:shd w:fill="B45309"/>
            <w:tcBorders>
              <w:top w:val="single" w:sz="5" w:color="B45309"/>
              <w:left w:val="single" w:sz="5" w:color="B45309"/>
              <w:bottom w:val="single" w:sz="5" w:color="B45309"/>
              <w:right w:val="single" w:sz="5" w:color="B4530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序号</w:t>
            </w:r>
          </w:p>
        </w:tc>
        <w:tc>
          <w:tcPr>
            <w:tcW w:type="dxa" w:w="1247"/>
            <w:shd w:fill="B45309"/>
            <w:tcBorders>
              <w:top w:val="single" w:sz="5" w:color="B45309"/>
              <w:left w:val="single" w:sz="5" w:color="B45309"/>
              <w:bottom w:val="single" w:sz="5" w:color="B45309"/>
              <w:right w:val="single" w:sz="5" w:color="B4530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ADR</w:t>
            </w:r>
          </w:p>
        </w:tc>
        <w:tc>
          <w:tcPr>
            <w:tcW w:type="dxa" w:w="2154"/>
            <w:shd w:fill="B45309"/>
            <w:tcBorders>
              <w:top w:val="single" w:sz="5" w:color="B45309"/>
              <w:left w:val="single" w:sz="5" w:color="B45309"/>
              <w:bottom w:val="single" w:sz="5" w:color="B45309"/>
              <w:right w:val="single" w:sz="5" w:color="B4530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主题</w:t>
            </w:r>
          </w:p>
        </w:tc>
        <w:tc>
          <w:tcPr>
            <w:tcW w:type="dxa" w:w="5669"/>
            <w:shd w:fill="B45309"/>
            <w:tcBorders>
              <w:top w:val="single" w:sz="5" w:color="B45309"/>
              <w:left w:val="single" w:sz="5" w:color="B45309"/>
              <w:bottom w:val="single" w:sz="5" w:color="B45309"/>
              <w:right w:val="single" w:sz="5" w:color="B4530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批准决定</w:t>
            </w:r>
          </w:p>
        </w:tc>
        <w:tc>
          <w:tcPr>
            <w:tcW w:type="dxa" w:w="4535"/>
            <w:shd w:fill="B45309"/>
            <w:tcBorders>
              <w:top w:val="single" w:sz="5" w:color="B45309"/>
              <w:left w:val="single" w:sz="5" w:color="B45309"/>
              <w:bottom w:val="single" w:sz="5" w:color="B45309"/>
              <w:right w:val="single" w:sz="5" w:color="B45309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不可违反边界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1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ADR-FK-001</w:t>
            </w:r>
          </w:p>
        </w:tc>
        <w:tc>
          <w:tcPr>
            <w:tcW w:type="dxa" w:w="215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Reference CASE 与 Adapter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固定使用 CASE005_KNOWLEDGE_CONFLICT；Engine v1.0.0 commit 09062b…；seed=42；fixed_time=2026-07-04T00:00:00Z；Observer 使用 FoundationScenarioAdapter 包装 direct scenario。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Reference Pack 固定 synthetic；Adapter 只转换，不计算治理结论。</w:t>
            </w:r>
          </w:p>
        </w:tc>
      </w:tr>
      <w:tr>
        <w:tc>
          <w:tcPr>
            <w:tcW w:type="dxa" w:w="68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2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ADR-FK-002</w:t>
            </w:r>
          </w:p>
        </w:tc>
        <w:tc>
          <w:tcPr>
            <w:tcW w:type="dxa" w:w="215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reason_code 命名空间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采用 13 个域前缀：REQ/INTAKE/ADAPTER/SCHEMA/GOV/SNAPSHOT/FACADE/ENGINE/OUTPUT/STORE/AUDIT/SEC/SYSTEM；代码稳定、消息可本地化、详情默认脱敏。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reason_code 不随文案变化；新增仅向后兼容；删除需迁移。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3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ADR-FK-003</w:t>
            </w:r>
          </w:p>
        </w:tc>
        <w:tc>
          <w:tcPr>
            <w:tcW w:type="dxa" w:w="215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Observer Host 语言与运行时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C# / .NET 10 LTS，目标 net10.0，Windows x64 self-contained；模块化单体。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不把 Engine 算法移植到 C#；System 与 Engine 通过合同隔离。</w:t>
            </w:r>
          </w:p>
        </w:tc>
      </w:tr>
      <w:tr>
        <w:tc>
          <w:tcPr>
            <w:tcW w:type="dxa" w:w="68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4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ADR-FK-004</w:t>
            </w:r>
          </w:p>
        </w:tc>
        <w:tc>
          <w:tcPr>
            <w:tcW w:type="dxa" w:w="215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Engine Facade 进程模型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每次分析启动一个受控 Python Worker 子进程；stdin/stdout 单行 JSON 协议；stderr 仅诊断；Worker 直接 import run_simulation；不启动 FastAPI，不使用 Engine SQLite。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进程启动开销可接受；v0.1 不承诺高吞吐。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5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ADR-FK-005</w:t>
            </w:r>
          </w:p>
        </w:tc>
        <w:tc>
          <w:tcPr>
            <w:tcW w:type="dxa" w:w="215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主要开发者入口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以 observer.exe CLI 为唯一外部入口；Application Use Case 为内部稳定接口；v0.1 不暴露 HTTP。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后续 HTTP 必须复用相同 Use Case，不得复制业务逻辑。</w:t>
            </w:r>
          </w:p>
        </w:tc>
      </w:tr>
      <w:tr>
        <w:tc>
          <w:tcPr>
            <w:tcW w:type="dxa" w:w="68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6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ADR-FK-006</w:t>
            </w:r>
          </w:p>
        </w:tc>
        <w:tc>
          <w:tcPr>
            <w:tcW w:type="dxa" w:w="215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Canonical Serialization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Observer-owned Snapshot/Audit 使用 FS-OBS-CANON-1：UTF-8、键按 Unicode 排序、无空白、UTC 毫秒时间、禁止 NaN/Infinity、Audit payload 只存 digest/ref；Engine 输出使用 FSE-PYJSON-1，由固定 Python Worker sort_keys + compact JSON 生成并按原始字节 SHA-256。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serialization_id 必须进入 Snapshot/Audit/Manifest；算法变更需新版本。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7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ADR-FK-007</w:t>
            </w:r>
          </w:p>
        </w:tc>
        <w:tc>
          <w:tcPr>
            <w:tcW w:type="dxa" w:w="215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CanonicalContext 保存策略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Raw Input 与完整 CanonicalContext 默认不持久化；保存 input/context digest、ValidationResult、Snapshot、Output；内置 synthetic CASE 可因其随包公开而完整保留。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v0.1 只声明 synthetic rerun / semantic reference，不声明 Exact Replay。</w:t>
            </w:r>
          </w:p>
        </w:tc>
      </w:tr>
      <w:tr>
        <w:tc>
          <w:tcPr>
            <w:tcW w:type="dxa" w:w="68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8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ADR-FK-008</w:t>
            </w:r>
          </w:p>
        </w:tc>
        <w:tc>
          <w:tcPr>
            <w:tcW w:type="dxa" w:w="215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本地存储实现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Observer 自有 SQLite 单文件 observer.db + 文件 Artifact Store；表级逻辑所有权分离；WAL 禁用，journal_mode=DELETE，foreign_keys=ON，busy_timeout；不放网络共享。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Audit 表由触发器禁止 UPDATE/DELETE；Artifact 用 content-addressed path。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9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ADR-FK-009</w:t>
            </w:r>
          </w:p>
        </w:tc>
        <w:tc>
          <w:tcPr>
            <w:tcW w:type="dxa" w:w="215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Audit Hash Chain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v0.1 使用单一 GLOBAL stream、单 Host 实例、进程内 SemaphoreSlim 单写者 + SQLite BEGIN IMMEDIATE；sequence_no 单调递增；genesis previous_hash=64 个 0。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第二 Host 实例启动时检测锁并拒绝写入；v0.1 不支持集群。</w:t>
            </w:r>
          </w:p>
        </w:tc>
      </w:tr>
      <w:tr>
        <w:tc>
          <w:tcPr>
            <w:tcW w:type="dxa" w:w="68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10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ADR-FK-010</w:t>
            </w:r>
          </w:p>
        </w:tc>
        <w:tc>
          <w:tcPr>
            <w:tcW w:type="dxa" w:w="215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任务超时与取消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默认 30 秒，可配置 1-300 秒；Ctrl+C/取消令牌将状态置 CANCELLING，等待 2 秒后杀死 Worker 进程树；最终 CANCELLED 或 TIMED_OUT；不自动重跑 Engine。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Audit 记录取消来源、时间和是否强制终止。</w:t>
            </w:r>
          </w:p>
        </w:tc>
      </w:tr>
      <w:tr>
        <w:tc>
          <w:tcPr>
            <w:tcW w:type="dxa" w:w="68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11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ADR-FK-011</w:t>
            </w:r>
          </w:p>
        </w:tc>
        <w:tc>
          <w:tcPr>
            <w:tcW w:type="dxa" w:w="215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Windows 与安装封装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首个包为 portable ZIP：.NET 10 win-x64 self-contained + Python 3.11 x64 private runtime + locked NumPy/Engine + Pack/Schemas/Docs/Licenses；测试支持 Windows 11 x64 与 Windows Server 2022 x64；Windows 10 非 LTSC 不作支持声明。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不得搜索 PATH 中任意 python.exe；必须使用包内绝对路径。</w:t>
            </w:r>
          </w:p>
        </w:tc>
      </w:tr>
      <w:tr>
        <w:tc>
          <w:tcPr>
            <w:tcW w:type="dxa" w:w="68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12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ADR-FK-012</w:t>
            </w:r>
          </w:p>
        </w:tc>
        <w:tc>
          <w:tcPr>
            <w:tcW w:type="dxa" w:w="215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依赖锁定、SBOM 与 ReleaseManifest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global.json 固定 .NET 10 feature band；NuGet packages.lock.json + locked restore；Python wheelhouse + requirements.lock（hash）；Engine commit/tag 固定；生成 CycloneDX SBOM 和 ReleaseManifest，所有发布文件 SHA-256；Release Tag 指向固定 commit。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VG3 才填入最终 patch/package/file digest；VG2 固定生成规则。</w:t>
            </w:r>
          </w:p>
        </w:tc>
      </w:tr>
    </w:tbl>
    <w:p/>
    <w:p>
      <w:pPr>
        <w:sectPr>
          <w:pgSz w:w="16838" w:h="11906" w:orient="landscape"/>
          <w:pgMar w:top="624" w:right="567" w:bottom="567" w:left="567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4. 物理模块与依赖方向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18"/>
        </w:rPr>
        <w:t>VG1 的逻辑组件不等于 16 个服务。本版本冻结为 6 个 .NET 模块、1 个 Python Worker、1 个静态 Case Pack 和 4 个测试项目。</w:t>
      </w:r>
    </w:p>
    <w:p>
      <w:pPr>
        <w:sectPr>
          <w:pgSz w:w="11906" w:h="16838"/>
          <w:pgMar w:top="850" w:right="879" w:bottom="765" w:left="879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rPr>
          <w:tblHeader w:val="true"/>
        </w:trPr>
        <w:tc>
          <w:tcPr>
            <w:tcW w:type="dxa" w:w="2665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1814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762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职责</w:t>
            </w:r>
          </w:p>
        </w:tc>
        <w:tc>
          <w:tcPr>
            <w:tcW w:type="dxa" w:w="3118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依赖</w:t>
            </w:r>
          </w:p>
        </w:tc>
      </w:tr>
      <w:tr>
        <w:tc>
          <w:tcPr>
            <w:tcW w:type="dxa" w:w="266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Observer.Contracts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Class Library</w:t>
            </w:r>
          </w:p>
        </w:tc>
        <w:tc>
          <w:tcPr>
            <w:tcW w:type="dxa" w:w="476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合同 DTO、值对象、枚举、接口；无存储/Engine依赖</w:t>
            </w:r>
          </w:p>
        </w:tc>
        <w:tc>
          <w:tcPr>
            <w:tcW w:type="dxa" w:w="311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System.Text.Json</w:t>
            </w:r>
          </w:p>
        </w:tc>
      </w:tr>
      <w:tr>
        <w:tc>
          <w:tcPr>
            <w:tcW w:type="dxa" w:w="266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Observer.Application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Class Library</w:t>
            </w:r>
          </w:p>
        </w:tc>
        <w:tc>
          <w:tcPr>
            <w:tcW w:type="dxa" w:w="476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Analyze/Show/Health/VerifyAudit Use Case、状态编排抽象</w:t>
            </w:r>
          </w:p>
        </w:tc>
        <w:tc>
          <w:tcPr>
            <w:tcW w:type="dxa" w:w="311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M-FK-01</w:t>
            </w:r>
          </w:p>
        </w:tc>
      </w:tr>
      <w:tr>
        <w:tc>
          <w:tcPr>
            <w:tcW w:type="dxa" w:w="266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Observer.Execution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Class Library</w:t>
            </w:r>
          </w:p>
        </w:tc>
        <w:tc>
          <w:tcPr>
            <w:tcW w:type="dxa" w:w="476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Intake、FoundationScenarioAdapter、双校验、Snapshot、Output Assembler</w:t>
            </w:r>
          </w:p>
        </w:tc>
        <w:tc>
          <w:tcPr>
            <w:tcW w:type="dxa" w:w="311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M-FK-01; M-FK-02</w:t>
            </w:r>
          </w:p>
        </w:tc>
      </w:tr>
      <w:tr>
        <w:tc>
          <w:tcPr>
            <w:tcW w:type="dxa" w:w="266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Observer.EngineFacade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Class Library</w:t>
            </w:r>
          </w:p>
        </w:tc>
        <w:tc>
          <w:tcPr>
            <w:tcW w:type="dxa" w:w="476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Worker 子进程协议、版本/大小/digest校验、超时/取消</w:t>
            </w:r>
          </w:p>
        </w:tc>
        <w:tc>
          <w:tcPr>
            <w:tcW w:type="dxa" w:w="311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M-FK-01</w:t>
            </w:r>
          </w:p>
        </w:tc>
      </w:tr>
      <w:tr>
        <w:tc>
          <w:tcPr>
            <w:tcW w:type="dxa" w:w="266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Observer.Evidence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Class Library</w:t>
            </w:r>
          </w:p>
        </w:tc>
        <w:tc>
          <w:tcPr>
            <w:tcW w:type="dxa" w:w="476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SQLite、Artifact Store、Idempotency、Audit single writer</w:t>
            </w:r>
          </w:p>
        </w:tc>
        <w:tc>
          <w:tcPr>
            <w:tcW w:type="dxa" w:w="311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M-FK-01</w:t>
            </w:r>
          </w:p>
        </w:tc>
      </w:tr>
      <w:tr>
        <w:tc>
          <w:tcPr>
            <w:tcW w:type="dxa" w:w="266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Observer.Host.Cli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Console EXE</w:t>
            </w:r>
          </w:p>
        </w:tc>
        <w:tc>
          <w:tcPr>
            <w:tcW w:type="dxa" w:w="476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Composition Root、命令解析、JSON/文本输出、退出码</w:t>
            </w:r>
          </w:p>
        </w:tc>
        <w:tc>
          <w:tcPr>
            <w:tcW w:type="dxa" w:w="311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M-FK-02..05</w:t>
            </w:r>
          </w:p>
        </w:tc>
      </w:tr>
      <w:tr>
        <w:tc>
          <w:tcPr>
            <w:tcW w:type="dxa" w:w="266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engine-worker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Python Script/Package</w:t>
            </w:r>
          </w:p>
        </w:tc>
        <w:tc>
          <w:tcPr>
            <w:tcW w:type="dxa" w:w="476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读取一行请求，调用 pinned run_simulation，输出一行响应</w:t>
            </w:r>
          </w:p>
        </w:tc>
        <w:tc>
          <w:tcPr>
            <w:tcW w:type="dxa" w:w="311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full-spectrum-engine v1.0.0</w:t>
            </w:r>
          </w:p>
        </w:tc>
      </w:tr>
      <w:tr>
        <w:tc>
          <w:tcPr>
            <w:tcW w:type="dxa" w:w="266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foundation-case005-pack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Static Pack</w:t>
            </w:r>
          </w:p>
        </w:tc>
        <w:tc>
          <w:tcPr>
            <w:tcW w:type="dxa" w:w="476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CASE005 input/golden/schema/manifest</w:t>
            </w:r>
          </w:p>
        </w:tc>
        <w:tc>
          <w:tcPr>
            <w:tcW w:type="dxa" w:w="311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Engine commit 09062b…</w:t>
            </w:r>
          </w:p>
        </w:tc>
      </w:tr>
      <w:tr>
        <w:tc>
          <w:tcPr>
            <w:tcW w:type="dxa" w:w="266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Observer.Tests.Unit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Test Project</w:t>
            </w:r>
          </w:p>
        </w:tc>
        <w:tc>
          <w:tcPr>
            <w:tcW w:type="dxa" w:w="476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纯函数、状态机、规范化、reason codes</w:t>
            </w:r>
          </w:p>
        </w:tc>
        <w:tc>
          <w:tcPr>
            <w:tcW w:type="dxa" w:w="311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M-FK-01..05</w:t>
            </w:r>
          </w:p>
        </w:tc>
      </w:tr>
      <w:tr>
        <w:tc>
          <w:tcPr>
            <w:tcW w:type="dxa" w:w="266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Observer.Tests.Contract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Test Project</w:t>
            </w:r>
          </w:p>
        </w:tc>
        <w:tc>
          <w:tcPr>
            <w:tcW w:type="dxa" w:w="476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12 Schema、Worker protocol、ReleaseManifest</w:t>
            </w:r>
          </w:p>
        </w:tc>
        <w:tc>
          <w:tcPr>
            <w:tcW w:type="dxa" w:w="311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Schemas/Pack</w:t>
            </w:r>
          </w:p>
        </w:tc>
      </w:tr>
      <w:tr>
        <w:tc>
          <w:tcPr>
            <w:tcW w:type="dxa" w:w="266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Observer.Tests.Integration</w:t>
            </w:r>
          </w:p>
        </w:tc>
        <w:tc>
          <w:tcPr>
            <w:tcW w:type="dxa" w:w="181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Test Project</w:t>
            </w:r>
          </w:p>
        </w:tc>
        <w:tc>
          <w:tcPr>
            <w:tcW w:type="dxa" w:w="476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SQLite + Worker + 12 Fixture 端到端</w:t>
            </w:r>
          </w:p>
        </w:tc>
        <w:tc>
          <w:tcPr>
            <w:tcW w:type="dxa" w:w="311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Published package</w:t>
            </w:r>
          </w:p>
        </w:tc>
      </w:tr>
      <w:tr>
        <w:tc>
          <w:tcPr>
            <w:tcW w:type="dxa" w:w="266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Observer.Tests.Architecture</w:t>
            </w:r>
          </w:p>
        </w:tc>
        <w:tc>
          <w:tcPr>
            <w:tcW w:type="dxa" w:w="181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Test Project</w:t>
            </w:r>
          </w:p>
        </w:tc>
        <w:tc>
          <w:tcPr>
            <w:tcW w:type="dxa" w:w="476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依赖方向、禁止 Engine 内部直接引用、禁止后续模块</w:t>
            </w:r>
          </w:p>
        </w:tc>
        <w:tc>
          <w:tcPr>
            <w:tcW w:type="dxa" w:w="311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Solution/assemblies</w:t>
            </w:r>
          </w:p>
        </w:tc>
      </w:tr>
    </w:tbl>
    <w:p/>
    <w:p>
      <w:pPr>
        <w:sectPr>
          <w:pgSz w:w="16838" w:h="11906" w:orient="landscape"/>
          <w:pgMar w:top="624" w:right="567" w:bottom="567" w:left="567" w:header="720" w:footer="720" w:gutter="0"/>
          <w:cols w:space="720"/>
          <w:docGrid w:linePitch="360"/>
        </w:sectPr>
      </w:pP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Observer.Host.Cli 只能调用 Observer.Application Use Case。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除 Observer.EngineFacade 外，任何 System 模块不得直接启动 Python 或引用 Engine 内部实现。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Observer.Evidence 拥有 SQLite、Artifact、Idempotency 和 Audit 单写者；Engine 不拥有这些数据。</w:t>
      </w:r>
    </w:p>
    <w:p>
      <w:pPr>
        <w:pStyle w:val="Heading1"/>
        <w:keepNext/>
      </w:pPr>
      <w:r>
        <w:t>5. CLI、退出码与状态机</w:t>
      </w:r>
    </w:p>
    <w:p>
      <w:pPr>
        <w:sectPr>
          <w:pgSz w:w="11906" w:h="16838"/>
          <w:pgMar w:top="850" w:right="879" w:bottom="765" w:left="879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rPr>
          <w:tblHeader w:val="true"/>
        </w:trPr>
        <w:tc>
          <w:tcPr>
            <w:tcW w:type="dxa" w:w="1701"/>
            <w:shd w:fill="2457A6"/>
            <w:tcBorders>
              <w:top w:val="single" w:sz="5" w:color="2457A6"/>
              <w:left w:val="single" w:sz="5" w:color="2457A6"/>
              <w:bottom w:val="single" w:sz="5" w:color="2457A6"/>
              <w:right w:val="single" w:sz="5" w:color="2457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命令</w:t>
            </w:r>
          </w:p>
        </w:tc>
        <w:tc>
          <w:tcPr>
            <w:tcW w:type="dxa" w:w="6236"/>
            <w:shd w:fill="2457A6"/>
            <w:tcBorders>
              <w:top w:val="single" w:sz="5" w:color="2457A6"/>
              <w:left w:val="single" w:sz="5" w:color="2457A6"/>
              <w:bottom w:val="single" w:sz="5" w:color="2457A6"/>
              <w:right w:val="single" w:sz="5" w:color="2457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语法</w:t>
            </w:r>
          </w:p>
        </w:tc>
        <w:tc>
          <w:tcPr>
            <w:tcW w:type="dxa" w:w="4535"/>
            <w:shd w:fill="2457A6"/>
            <w:tcBorders>
              <w:top w:val="single" w:sz="5" w:color="2457A6"/>
              <w:left w:val="single" w:sz="5" w:color="2457A6"/>
              <w:bottom w:val="single" w:sz="5" w:color="2457A6"/>
              <w:right w:val="single" w:sz="5" w:color="2457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2268"/>
            <w:shd w:fill="2457A6"/>
            <w:tcBorders>
              <w:top w:val="single" w:sz="5" w:color="2457A6"/>
              <w:left w:val="single" w:sz="5" w:color="2457A6"/>
              <w:bottom w:val="single" w:sz="5" w:color="2457A6"/>
              <w:right w:val="single" w:sz="5" w:color="2457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退出码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version</w:t>
            </w:r>
          </w:p>
        </w:tc>
        <w:tc>
          <w:tcPr>
            <w:tcW w:type="dxa" w:w="6236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observer version --json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显示 System/Engine/Schema/Pack/Python/.NET 固定版本和 digest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0 / 70</w:t>
            </w:r>
          </w:p>
        </w:tc>
      </w:tr>
      <w:tr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health</w:t>
            </w:r>
          </w:p>
        </w:tc>
        <w:tc>
          <w:tcPr>
            <w:tcW w:type="dxa" w:w="6236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observer health --json [--data-dir PATH]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检查包完整性、私有 Python、DB 可写、Engine worker smoke；不联网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0 / 40 / 70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analyze</w:t>
            </w:r>
          </w:p>
        </w:tc>
        <w:tc>
          <w:tcPr>
            <w:tcW w:type="dxa" w:w="6236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observer analyze (--case CASE005_KNOWLEDGE_CONFLICT | --input FILE) [--seed 42] [--timeout 30] [--idempotency-key KEY] [--data-dir PATH] --json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执行最小闭环；case 与 input 互斥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0 / 2 / 10 / 20 / 30 / 40 / 50 / 60 / 70</w:t>
            </w:r>
          </w:p>
        </w:tc>
      </w:tr>
      <w:tr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show</w:t>
            </w:r>
          </w:p>
        </w:tc>
        <w:tc>
          <w:tcPr>
            <w:tcW w:type="dxa" w:w="6236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observer show OBSERVATION_ID --json [--data-dir PATH]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读取 Observation、Output 引用、Snapshot 和 Audit head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0 / 10 / 40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verify-audit</w:t>
            </w:r>
          </w:p>
        </w:tc>
        <w:tc>
          <w:tcPr>
            <w:tcW w:type="dxa" w:w="6236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observer verify-audit [--from 1] --json [--data-dir PATH]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重算单链并报告首个断点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0 / 50 / 40</w:t>
            </w:r>
          </w:p>
        </w:tc>
      </w:tr>
    </w:tbl>
    <w:p/>
    <w:p>
      <w:pPr>
        <w:sectPr>
          <w:pgSz w:w="16838" w:h="11906" w:orient="landscape"/>
          <w:pgMar w:top="624" w:right="567" w:bottom="567" w:left="567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134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退出码</w:t>
            </w:r>
          </w:p>
        </w:tc>
        <w:tc>
          <w:tcPr>
            <w:tcW w:type="dxa" w:w="2835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5669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</w:tr>
      <w:tr>
        <w:tc>
          <w:tcPr>
            <w:tcW w:type="dxa" w:w="113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0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SUCCESS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命令成功或分析按合同完成</w:t>
            </w:r>
          </w:p>
        </w:tc>
      </w:tr>
      <w:tr>
        <w:tc>
          <w:tcPr>
            <w:tcW w:type="dxa" w:w="113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2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USAGE_ERROR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参数/命令错误</w:t>
            </w:r>
          </w:p>
        </w:tc>
      </w:tr>
      <w:tr>
        <w:tc>
          <w:tcPr>
            <w:tcW w:type="dxa" w:w="113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10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VALIDATION_OR_REQUEST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Request/Intake/Schema/Governance 未通过</w:t>
            </w:r>
          </w:p>
        </w:tc>
      </w:tr>
      <w:tr>
        <w:tc>
          <w:tcPr>
            <w:tcW w:type="dxa" w:w="113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20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ADAPTER_ERROR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Reference Adapter 失败</w:t>
            </w:r>
          </w:p>
        </w:tc>
      </w:tr>
      <w:tr>
        <w:tc>
          <w:tcPr>
            <w:tcW w:type="dxa" w:w="113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30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ENGINE_OR_FACADE_ERROR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Worker/Engine/协议/输出失败</w:t>
            </w:r>
          </w:p>
        </w:tc>
      </w:tr>
      <w:tr>
        <w:tc>
          <w:tcPr>
            <w:tcW w:type="dxa" w:w="113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40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STORAGE_ERROR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SQLite/Artifact 持久化失败</w:t>
            </w:r>
          </w:p>
        </w:tc>
      </w:tr>
      <w:tr>
        <w:tc>
          <w:tcPr>
            <w:tcW w:type="dxa" w:w="113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50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AUDIT_INTEGRITY_ERROR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Audit 链验证失败</w:t>
            </w:r>
          </w:p>
        </w:tc>
      </w:tr>
      <w:tr>
        <w:tc>
          <w:tcPr>
            <w:tcW w:type="dxa" w:w="113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60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CANCELLED_OR_TIMEOUT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用户取消或超时</w:t>
            </w:r>
          </w:p>
        </w:tc>
      </w:tr>
      <w:tr>
        <w:tc>
          <w:tcPr>
            <w:tcW w:type="dxa" w:w="113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70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INTERNAL_ERROR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未分类系统错误，详情脱敏</w:t>
            </w:r>
          </w:p>
        </w:tc>
      </w:tr>
    </w:tbl>
    <w:p/>
    <w:p>
      <w:pPr>
        <w:sectPr>
          <w:pgSz w:w="11906" w:h="16838"/>
          <w:pgMar w:top="850" w:right="879" w:bottom="765" w:left="879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rPr>
          <w:tblHeader w:val="true"/>
        </w:trPr>
        <w:tc>
          <w:tcPr>
            <w:tcW w:type="dxa" w:w="737"/>
            <w:shd w:fill="0F766E"/>
            <w:tcBorders>
              <w:top w:val="single" w:sz="5" w:color="0F766E"/>
              <w:left w:val="single" w:sz="5" w:color="0F766E"/>
              <w:bottom w:val="single" w:sz="5" w:color="0F766E"/>
              <w:right w:val="single" w:sz="5" w:color="0F766E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顺序</w:t>
            </w:r>
          </w:p>
        </w:tc>
        <w:tc>
          <w:tcPr>
            <w:tcW w:type="dxa" w:w="3969"/>
            <w:shd w:fill="0F766E"/>
            <w:tcBorders>
              <w:top w:val="single" w:sz="5" w:color="0F766E"/>
              <w:left w:val="single" w:sz="5" w:color="0F766E"/>
              <w:bottom w:val="single" w:sz="5" w:color="0F766E"/>
              <w:right w:val="single" w:sz="5" w:color="0F766E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4819"/>
            <w:shd w:fill="0F766E"/>
            <w:tcBorders>
              <w:top w:val="single" w:sz="5" w:color="0F766E"/>
              <w:left w:val="single" w:sz="5" w:color="0F766E"/>
              <w:bottom w:val="single" w:sz="5" w:color="0F766E"/>
              <w:right w:val="single" w:sz="5" w:color="0F766E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  <w:tc>
          <w:tcPr>
            <w:tcW w:type="dxa" w:w="4819"/>
            <w:shd w:fill="0F766E"/>
            <w:tcBorders>
              <w:top w:val="single" w:sz="5" w:color="0F766E"/>
              <w:left w:val="single" w:sz="5" w:color="0F766E"/>
              <w:bottom w:val="single" w:sz="5" w:color="0F766E"/>
              <w:right w:val="single" w:sz="5" w:color="0F766E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允许后继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1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RECEIVED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请求已接受并创建 Operation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ADAPTING / REJECTED_SCHEMA / INTERNAL_FAILED</w:t>
            </w:r>
          </w:p>
        </w:tc>
      </w:tr>
      <w:tr>
        <w:tc>
          <w:tcPr>
            <w:tcW w:type="dxa" w:w="73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2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ADAPTING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加载 Case/Input 并转换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VALIDATING_SCHEMA / ADAPTER_FAILED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3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VALIDATING_SCHEMA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结构/类型/范围校验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VALIDATING_GOVERNANCE / REJECTED_SCHEMA</w:t>
            </w:r>
          </w:p>
        </w:tc>
      </w:tr>
      <w:tr>
        <w:tc>
          <w:tcPr>
            <w:tcW w:type="dxa" w:w="73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4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VALIDATING_GOVERNANCE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上下文充分性与未知校验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SNAPSHOT_FIXED / NEEDS_EVIDENCE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5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SNAPSHOT_FIXED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固定全部版本/digest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ENGINE_RUNNING / INTERNAL_FAILED</w:t>
            </w:r>
          </w:p>
        </w:tc>
      </w:tr>
      <w:tr>
        <w:tc>
          <w:tcPr>
            <w:tcW w:type="dxa" w:w="73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6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ENGINE_RUNNING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Worker 子进程执行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ASSEMBLING_OUTPUT / ENGINE_FAILED / CANCELLING / TIMED_OUT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7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ASSEMBLING_OUTPUT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验证 Engine 输出并包络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PERSISTING / INTERNAL_FAILED</w:t>
            </w:r>
          </w:p>
        </w:tc>
      </w:tr>
      <w:tr>
        <w:tc>
          <w:tcPr>
            <w:tcW w:type="dxa" w:w="73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8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PERSISTING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保存 Artifact/Observation/Audit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COMPLETED / STORE_FAILED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9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COMPLETED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成功终态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-</w:t>
            </w:r>
          </w:p>
        </w:tc>
      </w:tr>
      <w:tr>
        <w:tc>
          <w:tcPr>
            <w:tcW w:type="dxa" w:w="73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10</w:t>
            </w:r>
          </w:p>
        </w:tc>
        <w:tc>
          <w:tcPr>
            <w:tcW w:type="dxa" w:w="39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CANCELLING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等待 Worker 退出或强制 kill</w:t>
            </w:r>
          </w:p>
        </w:tc>
        <w:tc>
          <w:tcPr>
            <w:tcW w:type="dxa" w:w="481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CANCELLED / INTERNAL_FAILED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3"/>
              </w:rPr>
              <w:t>11</w:t>
            </w:r>
          </w:p>
        </w:tc>
        <w:tc>
          <w:tcPr>
            <w:tcW w:type="dxa" w:w="39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REJECTED_SCHEMA / NEEDS_EVIDENCE / ADAPTER_FAILED / ENGINE_FAILED / STORE_FAILED / CANCELLED / TIMED_OUT / INTERNAL_FAILED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失败或降级终态</w:t>
            </w:r>
          </w:p>
        </w:tc>
        <w:tc>
          <w:tcPr>
            <w:tcW w:type="dxa" w:w="481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3"/>
              </w:rPr>
              <w:t>-</w:t>
            </w:r>
          </w:p>
        </w:tc>
      </w:tr>
    </w:tbl>
    <w:p/>
    <w:p>
      <w:pPr>
        <w:sectPr>
          <w:pgSz w:w="16838" w:h="11906" w:orient="landscape"/>
          <w:pgMar w:top="624" w:right="567" w:bottom="567" w:left="567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6. 输入、Adapter 与双重校验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BUILTIN_CASE 与 JSON_FILE 二选一；输入上限 1 MiB；JSON 深度上限 64。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FoundationScenarioAdapter 只加载、归一化和映射，不计算 FSHI、Risk、Gate 或 UNKNOWN。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Schema Validation 处理结构、类型、枚举、范围和 additionalProperties。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Governance Validation 处理语义上下文充分性、未知声明、人工复核和硬条件前置；不得复制 Engine 正式计算。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Schema 错误进入 REJECTED_SCHEMA；治理上下文不足进入 NEEDS_EVIDENCE。</w:t>
      </w:r>
    </w:p>
    <w:p>
      <w:pPr>
        <w:pStyle w:val="Heading1"/>
        <w:keepNext/>
      </w:pPr>
      <w:r>
        <w:t>7. Runtime Snapshot 与规范化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RuntimeConfigurationSnapshot 固定 Engine、Adapter、Scenario、Profile、Knowledge、ReportTemplate 和 SchemaSet 的 id/version/sha256。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禁止 latest/current、范围依赖或省略版本。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Observer-owned 对象使用 FS-OBS-CANON-1：UTF-8、键排序、无空白、禁止 NaN/Infinity。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Engine raw output 使用 FSE-PYJSON-1，由固定 Worker 生成原始字节并计算 SHA-256。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snapshot_sha256 = SHA-256(FS-OBS-CANON-1(snapshot 删除 snapshot_sha256 后的对象))。</w:t>
      </w:r>
    </w:p>
    <w:p>
      <w:pPr>
        <w:pStyle w:val="Heading1"/>
        <w:keepNext/>
      </w:pPr>
      <w:r>
        <w:t>8. Engine Facade 与 Worker 协议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Host 仅使用发布包内绝对路径启动私有 Python Worker；不得搜索 PATH。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每次分析独立启动 Worker；stdin 一行请求、stdout 一行响应、stderr 仅诊断。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Worker 直接 import run_simulation；不启动 FastAPI，不使用 Engine backend/storage。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Host 校验 protocol、request_id、Engine version/commit、响应大小、serialization_id 和 output_sha256。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默认超时 30 秒，可配置 1-300 秒；取消等待 2 秒后终止进程树；不自动重跑 Engine。</w:t>
      </w:r>
    </w:p>
    <w:p>
      <w:pPr>
        <w:pStyle w:val="Heading1"/>
        <w:keepNext/>
      </w:pPr>
      <w:r>
        <w:t>9. Output、UNKNOWN 与 Observer 边界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保存 Engine 原始 JSON 字节与 digest；Output Assembler 只能附加 System 引用和边界，不得改写 Engine 正式字段。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UNKNOWN、ERROR、NOT_APPLICABLE 分离；未知不得转为 0 或低风险。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observer_only=true；certified=false；authorized=false；active_external=false。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每个正式结论必须能解析到 Evidence/Profile/Policy/Knowledge/Subject/Version 引用或明确缺失状态。</w:t>
      </w:r>
    </w:p>
    <w:p>
      <w:pPr>
        <w:pStyle w:val="Heading1"/>
        <w:keepNext/>
      </w:pPr>
      <w:r>
        <w:t>10. 数据模型、事务原子性与恢复</w:t>
      </w:r>
    </w:p>
    <w:p>
      <w:pPr>
        <w:sectPr>
          <w:pgSz w:w="11906" w:h="16838"/>
          <w:pgMar w:top="850" w:right="879" w:bottom="765" w:left="879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rPr>
          <w:tblHeader w:val="true"/>
        </w:trPr>
        <w:tc>
          <w:tcPr>
            <w:tcW w:type="dxa" w:w="2268"/>
            <w:shd w:fill="2457A6"/>
            <w:tcBorders>
              <w:top w:val="single" w:sz="5" w:color="2457A6"/>
              <w:left w:val="single" w:sz="5" w:color="2457A6"/>
              <w:bottom w:val="single" w:sz="5" w:color="2457A6"/>
              <w:right w:val="single" w:sz="5" w:color="2457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表</w:t>
            </w:r>
          </w:p>
        </w:tc>
        <w:tc>
          <w:tcPr>
            <w:tcW w:type="dxa" w:w="6803"/>
            <w:shd w:fill="2457A6"/>
            <w:tcBorders>
              <w:top w:val="single" w:sz="5" w:color="2457A6"/>
              <w:left w:val="single" w:sz="5" w:color="2457A6"/>
              <w:bottom w:val="single" w:sz="5" w:color="2457A6"/>
              <w:right w:val="single" w:sz="5" w:color="2457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关键字段</w:t>
            </w:r>
          </w:p>
        </w:tc>
        <w:tc>
          <w:tcPr>
            <w:tcW w:type="dxa" w:w="3402"/>
            <w:shd w:fill="2457A6"/>
            <w:tcBorders>
              <w:top w:val="single" w:sz="5" w:color="2457A6"/>
              <w:left w:val="single" w:sz="5" w:color="2457A6"/>
              <w:bottom w:val="single" w:sz="5" w:color="2457A6"/>
              <w:right w:val="single" w:sz="5" w:color="2457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3402"/>
            <w:shd w:fill="2457A6"/>
            <w:tcBorders>
              <w:top w:val="single" w:sz="5" w:color="2457A6"/>
              <w:left w:val="single" w:sz="5" w:color="2457A6"/>
              <w:bottom w:val="single" w:sz="5" w:color="2457A6"/>
              <w:right w:val="single" w:sz="5" w:color="2457A6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完整性规则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schema_versions</w:t>
            </w:r>
          </w:p>
        </w:tc>
        <w:tc>
          <w:tcPr>
            <w:tcW w:type="dxa" w:w="6803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schema_id TEXT PK; applied_at_utc TEXT; checksum TEXT</w:t>
            </w:r>
          </w:p>
        </w:tc>
        <w:tc>
          <w:tcPr>
            <w:tcW w:type="dxa" w:w="34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记录 Observer DB 迁移</w:t>
            </w:r>
          </w:p>
        </w:tc>
        <w:tc>
          <w:tcPr>
            <w:tcW w:type="dxa" w:w="34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只追加新版本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operations</w:t>
            </w:r>
          </w:p>
        </w:tc>
        <w:tc>
          <w:tcPr>
            <w:tcW w:type="dxa" w:w="6803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operation_id TEXT PK; request_id; trace_id; state; reason_json; started/updated/completed; timeout_s</w:t>
            </w:r>
          </w:p>
        </w:tc>
        <w:tc>
          <w:tcPr>
            <w:tcW w:type="dxa" w:w="34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运行状态</w:t>
            </w:r>
          </w:p>
        </w:tc>
        <w:tc>
          <w:tcPr>
            <w:tcW w:type="dxa" w:w="34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state 索引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idempotency_records</w:t>
            </w:r>
          </w:p>
        </w:tc>
        <w:tc>
          <w:tcPr>
            <w:tcW w:type="dxa" w:w="6803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idempotency_key TEXT PK; request_fingerprint; operation_id; observation_id; created_at</w:t>
            </w:r>
          </w:p>
        </w:tc>
        <w:tc>
          <w:tcPr>
            <w:tcW w:type="dxa" w:w="34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重复请求去重</w:t>
            </w:r>
          </w:p>
        </w:tc>
        <w:tc>
          <w:tcPr>
            <w:tcW w:type="dxa" w:w="34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同 key 异 fingerprint 冲突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runtime_snapshots</w:t>
            </w:r>
          </w:p>
        </w:tc>
        <w:tc>
          <w:tcPr>
            <w:tcW w:type="dxa" w:w="6803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snapshot_id TEXT PK; snapshot_json; snapshot_sha256; created_at</w:t>
            </w:r>
          </w:p>
        </w:tc>
        <w:tc>
          <w:tcPr>
            <w:tcW w:type="dxa" w:w="34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不可变运行配置</w:t>
            </w:r>
          </w:p>
        </w:tc>
        <w:tc>
          <w:tcPr>
            <w:tcW w:type="dxa" w:w="34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触发器禁止 UPDATE/DELETE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observations</w:t>
            </w:r>
          </w:p>
        </w:tc>
        <w:tc>
          <w:tcPr>
            <w:tcW w:type="dxa" w:w="6803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observation_id TEXT PK; operation_id UNIQUE; request_id; trace_id; status; input_sha256; context_sha256; snapshot_id; output_artifact_id; audit_head; created/updated</w:t>
            </w:r>
          </w:p>
        </w:tc>
        <w:tc>
          <w:tcPr>
            <w:tcW w:type="dxa" w:w="34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Observation 索引</w:t>
            </w:r>
          </w:p>
        </w:tc>
        <w:tc>
          <w:tcPr>
            <w:tcW w:type="dxa" w:w="34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不存 Raw Input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artifacts</w:t>
            </w:r>
          </w:p>
        </w:tc>
        <w:tc>
          <w:tcPr>
            <w:tcW w:type="dxa" w:w="6803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artifact_id TEXT PK; media_type; sha256 UNIQUE; size_bytes; relative_path; classification; created_at</w:t>
            </w:r>
          </w:p>
        </w:tc>
        <w:tc>
          <w:tcPr>
            <w:tcW w:type="dxa" w:w="34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Content-addressed 元数据</w:t>
            </w:r>
          </w:p>
        </w:tc>
        <w:tc>
          <w:tcPr>
            <w:tcW w:type="dxa" w:w="34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文件路径按 sha256 前缀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audit_events</w:t>
            </w:r>
          </w:p>
        </w:tc>
        <w:tc>
          <w:tcPr>
            <w:tcW w:type="dxa" w:w="6803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sequence_no INTEGER PK; event_id UNIQUE; stream_id='GLOBAL'; event_type; occurred_at; actor_type/id; observation_id; operation_id; trace_id; payload_digest; media_type; serialization_id; previous_hash; event_hash</w:t>
            </w:r>
          </w:p>
        </w:tc>
        <w:tc>
          <w:tcPr>
            <w:tcW w:type="dxa" w:w="34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追加式 Audit 单链</w:t>
            </w:r>
          </w:p>
        </w:tc>
        <w:tc>
          <w:tcPr>
            <w:tcW w:type="dxa" w:w="34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UPDATE/DELETE 触发器 RAISE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instance_lock</w:t>
            </w:r>
          </w:p>
        </w:tc>
        <w:tc>
          <w:tcPr>
            <w:tcW w:type="dxa" w:w="6803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lock_id=1 PK; owner_pid; started_at; package_sha256</w:t>
            </w:r>
          </w:p>
        </w:tc>
        <w:tc>
          <w:tcPr>
            <w:tcW w:type="dxa" w:w="34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拒绝第二写实例</w:t>
            </w:r>
          </w:p>
        </w:tc>
        <w:tc>
          <w:tcPr>
            <w:tcW w:type="dxa" w:w="34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异常退出由进程存活检测恢复</w:t>
            </w:r>
          </w:p>
        </w:tc>
      </w:tr>
    </w:tbl>
    <w:p/>
    <w:p>
      <w:pPr>
        <w:sectPr>
          <w:pgSz w:w="16838" w:h="11906" w:orient="landscape"/>
          <w:pgMar w:top="624" w:right="567" w:bottom="567" w:left="567" w:header="720" w:footer="720" w:gutter="0"/>
          <w:cols w:space="720"/>
          <w:docGrid w:linePitch="360"/>
        </w:sectPr>
      </w:pPr>
    </w:p>
    <w:p>
      <w:pPr>
        <w:sectPr>
          <w:pgSz w:w="11906" w:h="16838"/>
          <w:pgMar w:top="850" w:right="879" w:bottom="765" w:left="879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rPr>
          <w:tblHeader w:val="true"/>
        </w:trPr>
        <w:tc>
          <w:tcPr>
            <w:tcW w:type="dxa" w:w="567"/>
            <w:shd w:fill="0F766E"/>
            <w:tcBorders>
              <w:top w:val="single" w:sz="5" w:color="0F766E"/>
              <w:left w:val="single" w:sz="5" w:color="0F766E"/>
              <w:bottom w:val="single" w:sz="5" w:color="0F766E"/>
              <w:right w:val="single" w:sz="5" w:color="0F766E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序号</w:t>
            </w:r>
          </w:p>
        </w:tc>
        <w:tc>
          <w:tcPr>
            <w:tcW w:type="dxa" w:w="2381"/>
            <w:shd w:fill="0F766E"/>
            <w:tcBorders>
              <w:top w:val="single" w:sz="5" w:color="0F766E"/>
              <w:left w:val="single" w:sz="5" w:color="0F766E"/>
              <w:bottom w:val="single" w:sz="5" w:color="0F766E"/>
              <w:right w:val="single" w:sz="5" w:color="0F766E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2268"/>
            <w:shd w:fill="0F766E"/>
            <w:tcBorders>
              <w:top w:val="single" w:sz="5" w:color="0F766E"/>
              <w:left w:val="single" w:sz="5" w:color="0F766E"/>
              <w:bottom w:val="single" w:sz="5" w:color="0F766E"/>
              <w:right w:val="single" w:sz="5" w:color="0F766E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原子边界</w:t>
            </w:r>
          </w:p>
        </w:tc>
        <w:tc>
          <w:tcPr>
            <w:tcW w:type="dxa" w:w="5386"/>
            <w:shd w:fill="0F766E"/>
            <w:tcBorders>
              <w:top w:val="single" w:sz="5" w:color="0F766E"/>
              <w:left w:val="single" w:sz="5" w:color="0F766E"/>
              <w:bottom w:val="single" w:sz="5" w:color="0F766E"/>
              <w:right w:val="single" w:sz="5" w:color="0F766E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规则</w:t>
            </w:r>
          </w:p>
        </w:tc>
        <w:tc>
          <w:tcPr>
            <w:tcW w:type="dxa" w:w="5386"/>
            <w:shd w:fill="0F766E"/>
            <w:tcBorders>
              <w:top w:val="single" w:sz="5" w:color="0F766E"/>
              <w:left w:val="single" w:sz="5" w:color="0F766E"/>
              <w:bottom w:val="single" w:sz="5" w:color="0F766E"/>
              <w:right w:val="single" w:sz="5" w:color="0F766E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失败/恢复</w:t>
            </w:r>
          </w:p>
        </w:tc>
      </w:tr>
      <w:tr>
        <w:tc>
          <w:tcPr>
            <w:tcW w:type="dxa" w:w="56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Validate and execute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No DB transaction</w:t>
            </w:r>
          </w:p>
        </w:tc>
        <w:tc>
          <w:tcPr>
            <w:tcW w:type="dxa" w:w="5386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Input/Adapter/Validation/Engine produce immutable candidate output in memory</w:t>
            </w:r>
          </w:p>
        </w:tc>
        <w:tc>
          <w:tcPr>
            <w:tcW w:type="dxa" w:w="5386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Failure creates a failure Operation/Audit transaction; no success Observation</w:t>
            </w:r>
          </w:p>
        </w:tc>
      </w:tr>
      <w:tr>
        <w:tc>
          <w:tcPr>
            <w:tcW w:type="dxa" w:w="56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2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Write output artifact temp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File system</w:t>
            </w:r>
          </w:p>
        </w:tc>
        <w:tc>
          <w:tcPr>
            <w:tcW w:type="dxa" w:w="5386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Write to Observer-owned temp; flush/fsync; calculate SHA-256</w:t>
            </w:r>
          </w:p>
        </w:tc>
        <w:tc>
          <w:tcPr>
            <w:tcW w:type="dxa" w:w="5386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On failure delete temp and mark STORE_FAILED</w:t>
            </w:r>
          </w:p>
        </w:tc>
      </w:tr>
      <w:tr>
        <w:tc>
          <w:tcPr>
            <w:tcW w:type="dxa" w:w="56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Promote content-addressed artifact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Atomic same-volume rename</w:t>
            </w:r>
          </w:p>
        </w:tc>
        <w:tc>
          <w:tcPr>
            <w:tcW w:type="dxa" w:w="5386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Rename temp to artifacts/sha-prefix/sha256; verify final size/hash</w:t>
            </w:r>
          </w:p>
        </w:tc>
        <w:tc>
          <w:tcPr>
            <w:tcW w:type="dxa" w:w="5386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Crash before DB commit may leave orphan; startup/maintenance removes unreferenced Observer-owned artifacts</w:t>
            </w:r>
          </w:p>
        </w:tc>
      </w:tr>
      <w:tr>
        <w:tc>
          <w:tcPr>
            <w:tcW w:type="dxa" w:w="56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4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Begin SQLite finalization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BEGIN IMMEDIATE</w:t>
            </w:r>
          </w:p>
        </w:tc>
        <w:tc>
          <w:tcPr>
            <w:tcW w:type="dxa" w:w="5386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Acquire single Audit writer; verify current audit_head and instance lock</w:t>
            </w:r>
          </w:p>
        </w:tc>
        <w:tc>
          <w:tcPr>
            <w:tcW w:type="dxa" w:w="5386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Lock timeout causes STORE_FAILED; no COMPLETED state</w:t>
            </w:r>
          </w:p>
        </w:tc>
      </w:tr>
      <w:tr>
        <w:tc>
          <w:tcPr>
            <w:tcW w:type="dxa" w:w="56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5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Persist evidence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Same SQLite transaction</w:t>
            </w:r>
          </w:p>
        </w:tc>
        <w:tc>
          <w:tcPr>
            <w:tcW w:type="dxa" w:w="5386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Insert immutable RuntimeSnapshot, Artifact metadata, Observation final data, Idempotency result and final AuditEvent</w:t>
            </w:r>
          </w:p>
        </w:tc>
        <w:tc>
          <w:tcPr>
            <w:tcW w:type="dxa" w:w="5386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Any SQL failure rolls back all DB rows</w:t>
            </w:r>
          </w:p>
        </w:tc>
      </w:tr>
      <w:tr>
        <w:tc>
          <w:tcPr>
            <w:tcW w:type="dxa" w:w="56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6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Commit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SQLite COMMIT</w:t>
            </w:r>
          </w:p>
        </w:tc>
        <w:tc>
          <w:tcPr>
            <w:tcW w:type="dxa" w:w="5386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Only after final artifact exists and hashes match; Observation may become COMPLETED</w:t>
            </w:r>
          </w:p>
        </w:tc>
        <w:tc>
          <w:tcPr>
            <w:tcW w:type="dxa" w:w="5386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If commit fails, artifact remains unreferenced and is safe to clean</w:t>
            </w:r>
          </w:p>
        </w:tc>
      </w:tr>
      <w:tr>
        <w:tc>
          <w:tcPr>
            <w:tcW w:type="dxa" w:w="56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7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Post-commit verify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Read-only</w:t>
            </w:r>
          </w:p>
        </w:tc>
        <w:tc>
          <w:tcPr>
            <w:tcW w:type="dxa" w:w="5386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Confirm artifact exists/hash, Observation points to it, Audit head matches</w:t>
            </w:r>
          </w:p>
        </w:tc>
        <w:tc>
          <w:tcPr>
            <w:tcW w:type="dxa" w:w="5386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Mismatch becomes integrity failure; never silently repair history</w:t>
            </w:r>
          </w:p>
        </w:tc>
      </w:tr>
    </w:tbl>
    <w:p/>
    <w:p>
      <w:pPr>
        <w:sectPr>
          <w:pgSz w:w="16838" w:h="11906" w:orient="landscape"/>
          <w:pgMar w:top="624" w:right="567" w:bottom="567" w:left="567" w:header="720" w:footer="720" w:gutter="0"/>
          <w:cols w:space="720"/>
          <w:docGrid w:linePitch="360"/>
        </w:sect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8F7F4"/>
            <w:tcBorders>
              <w:top w:val="single" w:sz="10" w:color="0F766E"/>
              <w:left w:val="single" w:sz="10" w:color="0F766E"/>
              <w:bottom w:val="single" w:sz="10" w:color="0F766E"/>
              <w:right w:val="single" w:sz="10" w:color="0F766E"/>
            </w:tcBorders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0F766E"/>
                <w:sz w:val="20"/>
              </w:rPr>
              <w:t>事务结论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输出 Artifact 必须先以临时文件写入、flush/fsync、计算 hash 并在同卷原子 rename；随后在一个 SQLite BEGIN IMMEDIATE 事务中写 Snapshot、Artifact 元数据、Observation、Idempotency 和最终 AuditEvent。数据库回滚只可能留下未引用 Artifact，由启动/维护清理，不允许出现 COMPLETED 指向不存在文件。</w:t>
            </w:r>
          </w:p>
        </w:tc>
      </w:tr>
    </w:tbl>
    <w:p/>
    <w:p>
      <w:pPr>
        <w:pStyle w:val="Heading1"/>
        <w:keepNext/>
      </w:pPr>
      <w:r>
        <w:t>11. Audit Hash Chain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stream_id 固定 GLOBAL，sequence_no 单调递增，genesis previous_hash 为 64 个 0。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event_hash = SHA-256(FS-OBS-CANON-1(AuditEvent 删除 event_hash 后的对象；previous_hash 保留))。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单 Host instance lock + SemaphoreSlim 单写者 + SQLite BEGIN IMMEDIATE。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AuditEvent 和 RuntimeSnapshot 由数据库触发器禁止 UPDATE/DELETE。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verify-audit 必须报告首个断点，不能静默修复历史。</w:t>
      </w:r>
    </w:p>
    <w:p>
      <w:pPr>
        <w:pStyle w:val="Heading1"/>
        <w:keepNext/>
      </w:pPr>
      <w:r>
        <w:t>12. Schema 身份、依赖与实例验证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18"/>
        </w:rPr>
        <w:t>12 个 Schema 已冻结到 FS-OBS-V010-SCHEMA-BL-1.0。每个 Schema 均具有稳定 $id，采用 JSON Schema Draft 2020-12，自包含运行策略，不使用外部 $ref。</w:t>
      </w:r>
    </w:p>
    <w:p>
      <w:pPr>
        <w:sectPr>
          <w:pgSz w:w="11906" w:h="16838"/>
          <w:pgMar w:top="850" w:right="879" w:bottom="765" w:left="879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rPr>
          <w:tblHeader w:val="true"/>
        </w:trPr>
        <w:tc>
          <w:tcPr>
            <w:tcW w:type="dxa" w:w="2948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Schema</w:t>
            </w:r>
          </w:p>
        </w:tc>
        <w:tc>
          <w:tcPr>
            <w:tcW w:type="dxa" w:w="6520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稳定 $id</w:t>
            </w:r>
          </w:p>
        </w:tc>
        <w:tc>
          <w:tcPr>
            <w:tcW w:type="dxa" w:w="1247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元验证</w:t>
            </w:r>
          </w:p>
        </w:tc>
        <w:tc>
          <w:tcPr>
            <w:tcW w:type="dxa" w:w="1247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实例验证</w:t>
            </w:r>
          </w:p>
        </w:tc>
        <w:tc>
          <w:tcPr>
            <w:tcW w:type="dxa" w:w="2381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</w:t>
            </w:r>
          </w:p>
        </w:tc>
      </w:tr>
      <w:tr>
        <w:tc>
          <w:tcPr>
            <w:tcW w:type="dxa" w:w="294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audit-event.schema.json</w:t>
            </w:r>
          </w:p>
        </w:tc>
        <w:tc>
          <w:tcPr>
            <w:tcW w:type="dxa" w:w="65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https://fullspectrumprotocol.com/schemas/observer/foundation-kernel/audit-event/1.0.0-alpha.1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APPROVED_DESIGN_BASELINE</w:t>
            </w:r>
          </w:p>
        </w:tc>
      </w:tr>
      <w:tr>
        <w:tc>
          <w:tcPr>
            <w:tcW w:type="dxa" w:w="294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engine-facade-request.schema.json</w:t>
            </w:r>
          </w:p>
        </w:tc>
        <w:tc>
          <w:tcPr>
            <w:tcW w:type="dxa" w:w="65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https://fullspectrumprotocol.com/schemas/observer/foundation-kernel/engine-facade-request/1.0.0-alpha.1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APPROVED_DESIGN_BASELINE</w:t>
            </w:r>
          </w:p>
        </w:tc>
      </w:tr>
      <w:tr>
        <w:tc>
          <w:tcPr>
            <w:tcW w:type="dxa" w:w="294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engine-facade-response.schema.json</w:t>
            </w:r>
          </w:p>
        </w:tc>
        <w:tc>
          <w:tcPr>
            <w:tcW w:type="dxa" w:w="65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https://fullspectrumprotocol.com/schemas/observer/foundation-kernel/engine-facade-response/1.0.0-alpha.1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APPROVED_DESIGN_BASELINE</w:t>
            </w:r>
          </w:p>
        </w:tc>
      </w:tr>
      <w:tr>
        <w:tc>
          <w:tcPr>
            <w:tcW w:type="dxa" w:w="294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foundation-analysis-request.schema.json</w:t>
            </w:r>
          </w:p>
        </w:tc>
        <w:tc>
          <w:tcPr>
            <w:tcW w:type="dxa" w:w="65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https://fullspectrumprotocol.com/schemas/observer/foundation-kernel/foundation-analysis-request/1.0.0-alpha.1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APPROVED_DESIGN_BASELINE</w:t>
            </w:r>
          </w:p>
        </w:tc>
      </w:tr>
      <w:tr>
        <w:tc>
          <w:tcPr>
            <w:tcW w:type="dxa" w:w="294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foundation-case-pack-manifest.schema.json</w:t>
            </w:r>
          </w:p>
        </w:tc>
        <w:tc>
          <w:tcPr>
            <w:tcW w:type="dxa" w:w="65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https://fullspectrumprotocol.com/schemas/observer/foundation-kernel/foundation-case-pack-manifest/1.0.0-alpha.1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APPROVED_DESIGN_BASELINE</w:t>
            </w:r>
          </w:p>
        </w:tc>
      </w:tr>
      <w:tr>
        <w:tc>
          <w:tcPr>
            <w:tcW w:type="dxa" w:w="294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foundation-error-envelope.schema.json</w:t>
            </w:r>
          </w:p>
        </w:tc>
        <w:tc>
          <w:tcPr>
            <w:tcW w:type="dxa" w:w="65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https://fullspectrumprotocol.com/schemas/observer/foundation-kernel/foundation-error-envelope/1.0.0-alpha.1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APPROVED_DESIGN_BASELINE</w:t>
            </w:r>
          </w:p>
        </w:tc>
      </w:tr>
      <w:tr>
        <w:tc>
          <w:tcPr>
            <w:tcW w:type="dxa" w:w="294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foundation-operation-status.schema.json</w:t>
            </w:r>
          </w:p>
        </w:tc>
        <w:tc>
          <w:tcPr>
            <w:tcW w:type="dxa" w:w="65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https://fullspectrumprotocol.com/schemas/observer/foundation-kernel/foundation-operation-status/1.0.0-alpha.1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APPROVED_DESIGN_BASELINE</w:t>
            </w:r>
          </w:p>
        </w:tc>
      </w:tr>
      <w:tr>
        <w:tc>
          <w:tcPr>
            <w:tcW w:type="dxa" w:w="294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governance-output-envelope.schema.json</w:t>
            </w:r>
          </w:p>
        </w:tc>
        <w:tc>
          <w:tcPr>
            <w:tcW w:type="dxa" w:w="65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https://fullspectrumprotocol.com/schemas/observer/foundation-kernel/governance-output-envelope/1.0.0-alpha.1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APPROVED_DESIGN_BASELINE</w:t>
            </w:r>
          </w:p>
        </w:tc>
      </w:tr>
      <w:tr>
        <w:tc>
          <w:tcPr>
            <w:tcW w:type="dxa" w:w="294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observation-record.schema.json</w:t>
            </w:r>
          </w:p>
        </w:tc>
        <w:tc>
          <w:tcPr>
            <w:tcW w:type="dxa" w:w="65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https://fullspectrumprotocol.com/schemas/observer/foundation-kernel/observation-record/1.0.0-alpha.1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APPROVED_DESIGN_BASELINE</w:t>
            </w:r>
          </w:p>
        </w:tc>
      </w:tr>
      <w:tr>
        <w:tc>
          <w:tcPr>
            <w:tcW w:type="dxa" w:w="294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release-manifest.schema.json</w:t>
            </w:r>
          </w:p>
        </w:tc>
        <w:tc>
          <w:tcPr>
            <w:tcW w:type="dxa" w:w="65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https://fullspectrumprotocol.com/schemas/observer/foundation-kernel/release-manifest/1.0.0-alpha.1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APPROVED_DESIGN_BASELINE</w:t>
            </w:r>
          </w:p>
        </w:tc>
      </w:tr>
      <w:tr>
        <w:tc>
          <w:tcPr>
            <w:tcW w:type="dxa" w:w="294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runtime-configuration-snapshot.schema.json</w:t>
            </w:r>
          </w:p>
        </w:tc>
        <w:tc>
          <w:tcPr>
            <w:tcW w:type="dxa" w:w="652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https://fullspectrumprotocol.com/schemas/observer/foundation-kernel/runtime-configuration-snapshot/1.0.0-alpha.1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APPROVED_DESIGN_BASELINE</w:t>
            </w:r>
          </w:p>
        </w:tc>
      </w:tr>
      <w:tr>
        <w:tc>
          <w:tcPr>
            <w:tcW w:type="dxa" w:w="294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2"/>
              </w:rPr>
              <w:t>validation-result.schema.json</w:t>
            </w:r>
          </w:p>
        </w:tc>
        <w:tc>
          <w:tcPr>
            <w:tcW w:type="dxa" w:w="652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https://fullspectrumprotocol.com/schemas/observer/foundation-kernel/validation-result/1.0.0-alpha.1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PASS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2"/>
              </w:rPr>
              <w:t>APPROVED_DESIGN_BASELINE</w:t>
            </w:r>
          </w:p>
        </w:tc>
      </w:tr>
    </w:tbl>
    <w:p/>
    <w:p>
      <w:pPr>
        <w:sectPr>
          <w:pgSz w:w="16838" w:h="11906" w:orient="landscape"/>
          <w:pgMar w:top="624" w:right="567" w:bottom="567" w:left="567" w:header="720" w:footer="720" w:gutter="0"/>
          <w:cols w:space="720"/>
          <w:docGrid w:linePitch="360"/>
        </w:sectPr>
      </w:pP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12/12 Schema 元验证 PASS；12/12 示例实例验证 PASS。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显式 $ref=0，循环依赖=0。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重复公共片段由 FS-OBS-COMMON-1 生成/一致性测试治理，不允许独立漂移。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Case Pack Manifest 已将 Engine source identity 与 VG3 build artifact digest 分离；不存在全零假哈希。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manifest_sha256、snapshot_sha256、event_hash 的排除字段和规范化算法已写入 digest-rules-v1.md。</w:t>
      </w:r>
    </w:p>
    <w:p>
      <w:pPr>
        <w:pStyle w:val="Heading1"/>
        <w:keepNext/>
      </w:pPr>
      <w:r>
        <w:t>13. 威胁模型与安全控制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1F2937"/>
          <w:sz w:val="18"/>
        </w:rPr>
        <w:t>本模型是 STRIDE-based hybrid threat model，额外覆盖 Injection、Replay、Supply Chain、Misrepresentation 和 Evidence Confusion。20 项控制已批准为设计控制，但尚未通过实现和安全测试。</w:t>
      </w:r>
    </w:p>
    <w:p>
      <w:pPr>
        <w:sectPr>
          <w:pgSz w:w="11906" w:h="16838"/>
          <w:pgMar w:top="850" w:right="879" w:bottom="765" w:left="879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  <w:gridCol w:w="2617"/>
        <w:gridCol w:w="2617"/>
      </w:tblGrid>
      <w:tr>
        <w:trPr>
          <w:tblHeader w:val="true"/>
        </w:trPr>
        <w:tc>
          <w:tcPr>
            <w:tcW w:type="dxa" w:w="1361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威胁</w:t>
            </w:r>
          </w:p>
        </w:tc>
        <w:tc>
          <w:tcPr>
            <w:tcW w:type="dxa" w:w="1984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247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初始级别</w:t>
            </w:r>
          </w:p>
        </w:tc>
        <w:tc>
          <w:tcPr>
            <w:tcW w:type="dxa" w:w="6236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设计控制</w:t>
            </w:r>
          </w:p>
        </w:tc>
        <w:tc>
          <w:tcPr>
            <w:tcW w:type="dxa" w:w="2268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测试</w:t>
            </w:r>
          </w:p>
        </w:tc>
        <w:tc>
          <w:tcPr>
            <w:tcW w:type="dxa" w:w="2381"/>
            <w:shd w:fill="A61B1B"/>
            <w:tcBorders>
              <w:top w:val="single" w:sz="5" w:color="A61B1B"/>
              <w:left w:val="single" w:sz="5" w:color="A61B1B"/>
              <w:bottom w:val="single" w:sz="5" w:color="A61B1B"/>
              <w:right w:val="single" w:sz="5" w:color="A61B1B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T-FK-001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Tampering/DoS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6236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文件≤1MiB；解析深度≤64；stdout≤10MiB；超时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FK-SEC-001/002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T-FK-002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Tampering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6236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Path.GetFullPath；仅允许明确根目录；拒绝 UNC/reparse point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FK-SEC-003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T-FK-003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Spoofing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CRITICAL</w:t>
            </w:r>
          </w:p>
        </w:tc>
        <w:tc>
          <w:tcPr>
            <w:tcW w:type="dxa" w:w="6236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仅包内绝对路径；启动前核对 ReleaseManifest SHA-256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FK-SEC-004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T-FK-004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Tampering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CRITICAL</w:t>
            </w:r>
          </w:p>
        </w:tc>
        <w:tc>
          <w:tcPr>
            <w:tcW w:type="dxa" w:w="6236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启动 health 与每次分析前验证关键 digest；失败阻断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FK-SEC-005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T-FK-005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Injection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CRITICAL</w:t>
            </w:r>
          </w:p>
        </w:tc>
        <w:tc>
          <w:tcPr>
            <w:tcW w:type="dxa" w:w="6236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UseShellExecute=false；ArgumentList；不拼接 shell 命令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FK-SEC-006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T-FK-006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Spoofing/Tampering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6236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stdout 只允许一行 JSON；protocol/request_id/version/size/digest 全校验；日志仅 stderr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FK-FAC-001/002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T-FK-007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Information Disclosure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6236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默认不持久化 Raw；结构化日志白名单；details_redacted=true；敏感字段测试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FK-PRV-001/002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T-FK-008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Information Disclosure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MEDIUM</w:t>
            </w:r>
          </w:p>
        </w:tc>
        <w:tc>
          <w:tcPr>
            <w:tcW w:type="dxa" w:w="6236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优先 stdin；需要临时文件时唯一目录、finally 删除、启动清理 Observer-owned temp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FK-PRV-003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T-FK-009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Tampering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6236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文件 ACL；Audit 触发器；单链 hash；verify-audit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FK-AUD-003/004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T-FK-010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Tampering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6236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单 Host 锁 + SemaphoreSlim + BEGIN IMMEDIATE + sequence UNIQUE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FK-AUD-005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T-FK-011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DoS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6236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30s timeout；2s grace；kill process tree；状态/Audit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FK-JOB-002/003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T-FK-012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Repudiation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MEDIUM</w:t>
            </w:r>
          </w:p>
        </w:tc>
        <w:tc>
          <w:tcPr>
            <w:tcW w:type="dxa" w:w="6236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request/operation/observation/trace ID；Audit actor=SYSTEM/OPERATOR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FK-EVD-001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T-FK-013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Replay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6236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request_fingerprint；冲突拒绝；成功 Observation 不覆盖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FK-IDEM-001/002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T-FK-014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DoS/Integrity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6236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单实例；busy_timeout；事务；启动 integrity_check；失败不伪造成功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FK-STORE-001/002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T-FK-015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Information Disclosure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6236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无网络客户端；清除 HTTP(S)_PROXY；离线测试监测连接；远程功能不存在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FK-OFF-001/SEC-007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T-FK-016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Elevation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6236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无模型；输入仅数据；JSON Schema additionalProperties=false；不解释为指令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FK-SEC-008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T-FK-017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Tampering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6236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保存 raw Engine bytes/digest；Envelope 只追加边界和引用；golden diff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FK-OUT-001/002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T-FK-018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Misrepresentation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6236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Envelope 常量 false；报告边界；Schema const；负向测试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FK-BND-001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T-FK-019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Supply Chain</w:t>
            </w:r>
          </w:p>
        </w:tc>
        <w:tc>
          <w:tcPr>
            <w:tcW w:type="dxa" w:w="124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6236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锁文件+hash wheelhouse+SBOM+licenses+固定 commit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FK-PKG-001/002</w:t>
            </w:r>
          </w:p>
        </w:tc>
        <w:tc>
          <w:tcPr>
            <w:tcW w:type="dxa" w:w="238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  <w:tr>
        <w:tc>
          <w:tcPr>
            <w:tcW w:type="dxa" w:w="136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T-FK-020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Evidence Confusion</w:t>
            </w:r>
          </w:p>
        </w:tc>
        <w:tc>
          <w:tcPr>
            <w:tcW w:type="dxa" w:w="124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HIGH</w:t>
            </w:r>
          </w:p>
        </w:tc>
        <w:tc>
          <w:tcPr>
            <w:tcW w:type="dxa" w:w="6236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ReleaseManifest/evidence_classification；文档负面声明；测试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FK-EVD-002</w:t>
            </w:r>
          </w:p>
        </w:tc>
        <w:tc>
          <w:tcPr>
            <w:tcW w:type="dxa" w:w="238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APPROVED_DESIGN_CONTROL</w:t>
            </w:r>
          </w:p>
        </w:tc>
      </w:tr>
    </w:tbl>
    <w:p/>
    <w:p>
      <w:pPr>
        <w:sectPr>
          <w:pgSz w:w="16838" w:h="11906" w:orient="landscape"/>
          <w:pgMar w:top="624" w:right="567" w:bottom="567" w:left="567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14. 测试实施难度与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835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难度</w:t>
            </w:r>
          </w:p>
        </w:tc>
        <w:tc>
          <w:tcPr>
            <w:tcW w:type="dxa" w:w="2835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数量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HIGH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11</w:t>
            </w:r>
          </w:p>
        </w:tc>
      </w:tr>
      <w:tr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LOW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20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6"/>
              </w:rPr>
              <w:t>MEDIUM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29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阻断 Gate</w:t>
            </w:r>
          </w:p>
        </w:tc>
        <w:tc>
          <w:tcPr>
            <w:tcW w:type="dxa" w:w="1701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数量</w:t>
            </w:r>
          </w:p>
        </w:tc>
        <w:tc>
          <w:tcPr>
            <w:tcW w:type="dxa" w:w="5669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含义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VG3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19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测试代码/架构与合同可构建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VG4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15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功能与端到端追踪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VG5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21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安全、隐私、可靠性和并发</w:t>
            </w:r>
          </w:p>
        </w:tc>
      </w:tr>
      <w:tr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VG6</w:t>
            </w:r>
          </w:p>
        </w:tc>
        <w:tc>
          <w:tcPr>
            <w:tcW w:type="dxa" w:w="170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5669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离线安装与第二干净环境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VG7</w:t>
            </w:r>
          </w:p>
        </w:tc>
        <w:tc>
          <w:tcPr>
            <w:tcW w:type="dxa" w:w="170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5669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证据和发布决定</w:t>
            </w:r>
          </w:p>
        </w:tc>
      </w:tr>
    </w:tbl>
    <w:p/>
    <w:p>
      <w:pPr>
        <w:pStyle w:val="ListBullet"/>
      </w:pPr>
      <w:r>
        <w:rPr>
          <w:rFonts w:ascii="Noto Sans CJK SC" w:hAnsi="Noto Sans CJK SC" w:eastAsia="Noto Sans CJK SC"/>
          <w:sz w:val="17"/>
        </w:rPr>
        <w:t>高难度测试包括 Audit 并发单链、进程树终止、零外联监测、磁盘故障注入、SBOM/Manifest、离线封装和第二干净环境。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60 项测试需求已批准，但执行状态仍为 NOT_IMPLEMENTED；VG2 GO 不等于测试通过。</w:t>
      </w:r>
    </w:p>
    <w:p>
      <w:pPr>
        <w:pStyle w:val="Heading1"/>
        <w:keepNext/>
      </w:pPr>
      <w:r>
        <w:t>15. 发布封装与依赖锁定</w:t>
      </w:r>
    </w:p>
    <w:p>
      <w:pPr>
        <w:spacing w:after="60"/>
        <w:ind w:left="255" w:right="142"/>
        <w:shd w:fill="F3F5F7"/>
      </w:pPr>
      <w:r>
        <w:rPr>
          <w:rFonts w:ascii="DejaVu Sans Mono" w:hAnsi="DejaVu Sans Mono" w:eastAsia="DejaVu Sans Mono"/>
          <w:b w:val="0"/>
          <w:color w:val="1F2937"/>
          <w:sz w:val="16"/>
        </w:rPr>
        <w:t>observer-system-v0.1.0-alpha-win-x64.zip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.NET 10 win-x64 self-contained；global.json 固定 feature band，VG3 固定 SDK patch。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Python 3.11 x64 私有运行时、wheelhouse 和 requirements.lock hash；不得在线下载。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Engine tag/commit、SchemaSet、Case Pack、SBOM、许可证和所有发布文件 SHA-256 写入 ReleaseManifest。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Engine packaged-artifact sha256 在 VG2 为 PENDING_VG3/null；VG3 构建后必须替换为真实 digest，禁止合法格式的占位值。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测试支持矩阵为 Windows 11 x64 与 Windows Server 2022 x64；未测试环境不得宣称支持。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4787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g2_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78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2616B"/>
          <w:sz w:val="16"/>
        </w:rPr>
        <w:t>图 3：portable ZIP 与本地运行部署结构</w:t>
      </w:r>
    </w:p>
    <w:p>
      <w:pPr>
        <w:pStyle w:val="Heading1"/>
        <w:keepNext/>
      </w:pPr>
      <w:r>
        <w:t>16. 实现顺序与变更控制</w:t>
      </w:r>
    </w:p>
    <w:p>
      <w:pPr>
        <w:pStyle w:val="ListNumber"/>
      </w:pPr>
      <w:r>
        <w:rPr>
          <w:rFonts w:ascii="Noto Sans CJK SC" w:hAnsi="Noto Sans CJK SC" w:eastAsia="Noto Sans CJK SC"/>
          <w:sz w:val="17"/>
        </w:rPr>
        <w:t>建立 solution、项目依赖规则和 Architecture Tests。</w:t>
      </w:r>
    </w:p>
    <w:p>
      <w:pPr>
        <w:pStyle w:val="ListNumber"/>
      </w:pPr>
      <w:r>
        <w:rPr>
          <w:rFonts w:ascii="Noto Sans CJK SC" w:hAnsi="Noto Sans CJK SC" w:eastAsia="Noto Sans CJK SC"/>
          <w:sz w:val="17"/>
        </w:rPr>
        <w:t>实现 Contracts、reason_code 和 FS-OBS-CANON-1。</w:t>
      </w:r>
    </w:p>
    <w:p>
      <w:pPr>
        <w:pStyle w:val="ListNumber"/>
      </w:pPr>
      <w:r>
        <w:rPr>
          <w:rFonts w:ascii="Noto Sans CJK SC" w:hAnsi="Noto Sans CJK SC" w:eastAsia="Noto Sans CJK SC"/>
          <w:sz w:val="17"/>
        </w:rPr>
        <w:t>实现 SQLite migration、Artifact Store、事务恢复和 Audit single writer。</w:t>
      </w:r>
    </w:p>
    <w:p>
      <w:pPr>
        <w:pStyle w:val="ListNumber"/>
      </w:pPr>
      <w:r>
        <w:rPr>
          <w:rFonts w:ascii="Noto Sans CJK SC" w:hAnsi="Noto Sans CJK SC" w:eastAsia="Noto Sans CJK SC"/>
          <w:sz w:val="17"/>
        </w:rPr>
        <w:t>实现 Intake、Reference Adapter、双重 Validation 和 Snapshot。</w:t>
      </w:r>
    </w:p>
    <w:p>
      <w:pPr>
        <w:pStyle w:val="ListNumber"/>
      </w:pPr>
      <w:r>
        <w:rPr>
          <w:rFonts w:ascii="Noto Sans CJK SC" w:hAnsi="Noto Sans CJK SC" w:eastAsia="Noto Sans CJK SC"/>
          <w:sz w:val="17"/>
        </w:rPr>
        <w:t>实现 Python Worker 与 EngineFacade。</w:t>
      </w:r>
    </w:p>
    <w:p>
      <w:pPr>
        <w:pStyle w:val="ListNumber"/>
      </w:pPr>
      <w:r>
        <w:rPr>
          <w:rFonts w:ascii="Noto Sans CJK SC" w:hAnsi="Noto Sans CJK SC" w:eastAsia="Noto Sans CJK SC"/>
          <w:sz w:val="17"/>
        </w:rPr>
        <w:t>实现 Output、Observation、Idempotency 和 CLI。</w:t>
      </w:r>
    </w:p>
    <w:p>
      <w:pPr>
        <w:pStyle w:val="ListNumber"/>
      </w:pPr>
      <w:r>
        <w:rPr>
          <w:rFonts w:ascii="Noto Sans CJK SC" w:hAnsi="Noto Sans CJK SC" w:eastAsia="Noto Sans CJK SC"/>
          <w:sz w:val="17"/>
        </w:rPr>
        <w:t>实现 12 Fixture、60 项测试和发布流水线。</w:t>
      </w:r>
    </w:p>
    <w:p>
      <w:pPr>
        <w:pStyle w:val="ListNumber"/>
      </w:pPr>
      <w:r>
        <w:rPr>
          <w:rFonts w:ascii="Noto Sans CJK SC" w:hAnsi="Noto Sans CJK SC" w:eastAsia="Noto Sans CJK SC"/>
          <w:sz w:val="17"/>
        </w:rPr>
        <w:t>生成固定 commit、portable ZIP、SBOM、ReleaseManifest 并进入 VG3 评审。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4E5"/>
            <w:tcBorders>
              <w:top w:val="single" w:sz="10" w:color="B45309"/>
              <w:left w:val="single" w:sz="10" w:color="B45309"/>
              <w:bottom w:val="single" w:sz="10" w:color="B45309"/>
              <w:right w:val="single" w:sz="10" w:color="B45309"/>
            </w:tcBorders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45309"/>
                <w:sz w:val="20"/>
              </w:rPr>
              <w:t>变更控制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冻结后不得直接修改 ADR、Schema、digest 规则、事务顺序或边界字段。任何语义变化必须标记 NEEDS_CHANGE_REQUEST，经正式批准后形成新基线版本。</w:t>
            </w:r>
          </w:p>
        </w:tc>
      </w:tr>
    </w:tbl>
    <w:p/>
    <w:p>
      <w:pPr>
        <w:pStyle w:val="Heading1"/>
        <w:keepNext/>
      </w:pPr>
      <w:r>
        <w:t>17. VG2 冻结准入结果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304"/>
            <w:shd w:fill="2F7D32"/>
            <w:tcBorders>
              <w:top w:val="single" w:sz="5" w:color="2F7D32"/>
              <w:left w:val="single" w:sz="5" w:color="2F7D32"/>
              <w:bottom w:val="single" w:sz="5" w:color="2F7D32"/>
              <w:right w:val="single" w:sz="5" w:color="2F7D32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检查</w:t>
            </w:r>
          </w:p>
        </w:tc>
        <w:tc>
          <w:tcPr>
            <w:tcW w:type="dxa" w:w="7370"/>
            <w:shd w:fill="2F7D32"/>
            <w:tcBorders>
              <w:top w:val="single" w:sz="5" w:color="2F7D32"/>
              <w:left w:val="single" w:sz="5" w:color="2F7D32"/>
              <w:bottom w:val="single" w:sz="5" w:color="2F7D32"/>
              <w:right w:val="single" w:sz="5" w:color="2F7D32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内容</w:t>
            </w:r>
          </w:p>
        </w:tc>
        <w:tc>
          <w:tcPr>
            <w:tcW w:type="dxa" w:w="1984"/>
            <w:shd w:fill="2F7D32"/>
            <w:tcBorders>
              <w:top w:val="single" w:sz="5" w:color="2F7D32"/>
              <w:left w:val="single" w:sz="5" w:color="2F7D32"/>
              <w:bottom w:val="single" w:sz="5" w:color="2F7D32"/>
              <w:right w:val="single" w:sz="5" w:color="2F7D32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结果</w:t>
            </w:r>
          </w:p>
        </w:tc>
      </w:tr>
      <w:tr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VG2-01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VG1 Scope Baseline 固定且 hash 可验证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VG2-02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12 项开放决策均有候选 ADR、理由、替代与边界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VG2-03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参考 Engine/CASE/seed/fixed_time 固定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VG2-04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物理模块和依赖方向明确，无 16 服务误解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VG2-05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12 个合同 Schema 草案生成并可评审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VG2-06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CLI、状态机、幂等、取消、退出码完整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VG2-07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SQLite/Artifact/Audit 数据模型完整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VG2-08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20 项威胁有设计控制和测试引用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VG2-09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24 + VAC 全部具有设计与测试追踪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VG2-10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12 Fixture 有输入、预期和测试引用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VG2-11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发布封装、锁定、SBOM、Manifest 规则完整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VG2-12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技术复杂度上限未被突破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VG2-13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ADR/合同/威胁/测试经项目作者或指定评审者批准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VG2-14</w:t>
            </w:r>
          </w:p>
        </w:tc>
        <w:tc>
          <w:tcPr>
            <w:tcW w:type="dxa" w:w="737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关键 Schema 与设计制品固定 hash/commit</w:t>
            </w:r>
          </w:p>
        </w:tc>
        <w:tc>
          <w:tcPr>
            <w:tcW w:type="dxa" w:w="198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  <w:tr>
        <w:tc>
          <w:tcPr>
            <w:tcW w:type="dxa" w:w="130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VG2-15</w:t>
            </w:r>
          </w:p>
        </w:tc>
        <w:tc>
          <w:tcPr>
            <w:tcW w:type="dxa" w:w="737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VG2 Freeze Decision</w:t>
            </w:r>
          </w:p>
        </w:tc>
        <w:tc>
          <w:tcPr>
            <w:tcW w:type="dxa" w:w="198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PASS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DF8EE"/>
            <w:tcBorders>
              <w:top w:val="single" w:sz="10" w:color="2F7D32"/>
              <w:left w:val="single" w:sz="10" w:color="2F7D32"/>
              <w:bottom w:val="single" w:sz="10" w:color="2F7D32"/>
              <w:right w:val="single" w:sz="10" w:color="2F7D32"/>
            </w:tcBorders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7D32"/>
                <w:sz w:val="20"/>
              </w:rPr>
              <w:t>最终结论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VG2 GO。详细设计已冻结为 FS-OBS-V010-DES-BL-1.0，允许进入受控 Implementation / Build Phase。该决定不代表代码已实现、测试已执行、威胁已验证、VG3 已通过或版本已发布。</w:t>
            </w:r>
          </w:p>
        </w:tc>
      </w:tr>
    </w:tbl>
    <w:p/>
    <w:p>
      <w:pPr>
        <w:pStyle w:val="Heading1"/>
        <w:keepNext/>
      </w:pPr>
      <w:r>
        <w:t>18. 参考资料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Microsoft .NET releases/support: https://learn.microsoft.com/en-us/dotnet/core/releases-and-support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Microsoft .NET lifecycle: https://learn.microsoft.com/en-us/lifecycle/products/microsoft-net-and-net-core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Python 3.11 Windows embedding: https://docs.python.org/3.11/using/windows.html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JSON Schema Draft 2020-12 Core: https://json-schema.org/draft/2020-12/json-schema-core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RFC 8785 JSON Canonicalization Scheme: https://www.rfc-editor.org/rfc/rfc8785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Engine source baseline: /mnt/data/_engine_clean, v1.0.0, commit 09062bae2c7608bda79ee4bfde5779109e8e6197, 141 tests verified.</w:t>
      </w:r>
    </w:p>
    <w:sectPr w:rsidR="00FC693F" w:rsidRPr="0006063C" w:rsidSect="00034616">
      <w:pgSz w:w="11906" w:h="16838"/>
      <w:pgMar w:top="850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2616B"/>
        <w:sz w:val="14"/>
      </w:rPr>
      <w:t>Full Spectrum Observer System | Foundation Kernel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2616B"/>
        <w:sz w:val="14"/>
      </w:rPr>
      <w:t>FS-OBS-V010-DES-001 | v1.0 | Frozen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2A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7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