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pPr>
      <w:r>
        <w:rPr>
          <w:b/>
          <w:bCs/>
          <w:color w:val="1C3C6E"/>
          <w:sz w:val="52"/>
          <w:szCs w:val="52"/>
        </w:rPr>
        <w:t xml:space="preserve">Shipping Ops Wallboard</w:t>
      </w:r>
    </w:p>
    <w:p>
      <w:pPr>
        <w:spacing w:after="80"/>
      </w:pPr>
      <w:r>
        <w:rPr>
          <w:color w:val="2A5A8C"/>
          <w:sz w:val="28"/>
          <w:szCs w:val="28"/>
        </w:rPr>
        <w:t xml:space="preserve">Methodology, Clarifications, and Operating Instructions</w:t>
      </w:r>
    </w:p>
    <w:p>
      <w:pPr>
        <w:spacing w:after="2200"/>
      </w:pPr>
      <w:r>
        <w:rPr>
          <w:color w:val="6B7B88"/>
          <w:sz w:val="22"/>
          <w:szCs w:val="22"/>
        </w:rPr>
        <w:t xml:space="preserve">Prepared for the Warehouse Operations Manager</w:t>
      </w:r>
    </w:p>
    <w:p>
      <w:pPr>
        <w:spacing w:after="140"/>
      </w:pPr>
      <w:r>
        <w:rPr>
          <w:b/>
          <w:bCs/>
        </w:rPr>
        <w:t>Document version: 1.1 (July 13, 2026)</w:t>
      </w:r>
      <w:r/>
    </w:p>
    <w:p>
      <w:pPr>
        <w:spacing w:after="140"/>
      </w:pPr>
      <w:r>
        <w:rPr>
          <w:b/>
          <w:bCs/>
        </w:rPr>
        <w:t xml:space="preserve">Board location: </w:t>
      </w:r>
      <w:r>
        <w:rPr>
          <w:rFonts w:ascii="Consolas" w:cs="Consolas" w:eastAsia="Consolas" w:hAnsi="Consolas"/>
          <w:sz w:val="20"/>
          <w:szCs w:val="20"/>
        </w:rPr>
        <w:t xml:space="preserve">https://medship-prometheus-production.up.railway.app/warehouse-board</w:t>
      </w:r>
    </w:p>
    <w:p>
      <w:pPr>
        <w:spacing w:after="140"/>
      </w:pPr>
      <w:r>
        <w:rPr>
          <w:b/>
          <w:bCs/>
        </w:rPr>
        <w:t xml:space="preserve">Audience: </w:t>
      </w:r>
      <w:r>
        <w:t xml:space="preserve">Warehouse Operations Manager and floor leads. No Zeus login is required to view the board; a shared display password is required once per screen.</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What the Board Is</w:t>
      </w:r>
    </w:p>
    <w:p>
      <w:pPr>
        <w:spacing w:after="140"/>
      </w:pPr>
      <w:r>
        <w:t xml:space="preserve">The Shipping Ops Wallboard is a read-only, auto-refreshing display of warehouse shipping work, designed for a 16:9 HD TV on the floor. It answers four questions at a glance:</w:t>
      </w:r>
    </w:p>
    <w:p>
      <w:pPr>
        <w:pStyle w:val="ListParagraph"/>
        <w:numPr>
          <w:ilvl w:val="0"/>
          <w:numId w:val="2"/>
        </w:numPr>
        <w:spacing w:after="80"/>
      </w:pPr>
      <w:r>
        <w:t xml:space="preserve">What is committed and waiting to be picked?</w:t>
      </w:r>
    </w:p>
    <w:p>
      <w:pPr>
        <w:pStyle w:val="ListParagraph"/>
        <w:numPr>
          <w:ilvl w:val="0"/>
          <w:numId w:val="2"/>
        </w:numPr>
        <w:spacing w:after="80"/>
      </w:pPr>
      <w:r>
        <w:t xml:space="preserve">What is being picked right now, and how far along is each order?</w:t>
      </w:r>
    </w:p>
    <w:p>
      <w:pPr>
        <w:pStyle w:val="ListParagraph"/>
        <w:numPr>
          <w:ilvl w:val="0"/>
          <w:numId w:val="2"/>
        </w:numPr>
        <w:spacing w:after="80"/>
      </w:pPr>
      <w:r>
        <w:t xml:space="preserve">What actually left the building in the last seven days?</w:t>
      </w:r>
    </w:p>
    <w:p>
      <w:pPr>
        <w:pStyle w:val="ListParagraph"/>
        <w:numPr>
          <w:ilvl w:val="0"/>
          <w:numId w:val="2"/>
        </w:numPr>
        <w:spacing w:after="80"/>
      </w:pPr>
      <w:r>
        <w:t xml:space="preserve">What is stuck, short, or aging — and does purchasing know?</w:t>
      </w:r>
    </w:p>
    <w:p>
      <w:pPr>
        <w:spacing w:after="140"/>
      </w:pPr>
      <w:r>
        <w:t xml:space="preserve">All data comes from Fishbowl through the Zeus/Prometheus integration hub. The board is a mirror, not a control panel: nothing done on the board changes Fishbowl. It refreshes itself every 60 seconds and needs no interaction to stay current — every interactive feature is optional and reverts on its own.</w:t>
      </w:r>
    </w:p>
    <w:p>
      <w:pPr>
        <w:pStyle w:val="Heading1"/>
      </w:pPr>
      <w:r>
        <w:t xml:space="preserve">2. Putting It on a Screen</w:t>
      </w:r>
    </w:p>
    <w:p>
      <w:pPr>
        <w:pStyle w:val="ListParagraph"/>
        <w:numPr>
          <w:ilvl w:val="0"/>
          <w:numId w:val="3"/>
        </w:numPr>
        <w:spacing w:after="80"/>
      </w:pPr>
      <w:r>
        <w:t xml:space="preserve">Open a browser on the TV or the PC driving it and go to the board URL above.</w:t>
      </w:r>
    </w:p>
    <w:p>
      <w:pPr>
        <w:pStyle w:val="ListParagraph"/>
        <w:numPr>
          <w:ilvl w:val="0"/>
          <w:numId w:val="3"/>
        </w:numPr>
        <w:spacing w:after="80"/>
      </w:pPr>
      <w:r>
        <w:t xml:space="preserve">Enter the display password (set by IT/admin as the WAREHOUSE_BOARD_PASSWORD environment variable). The screen stays authorized for 90 days; changing the password immediately signs out every screen.</w:t>
      </w:r>
    </w:p>
    <w:p>
      <w:pPr>
        <w:pStyle w:val="ListParagraph"/>
        <w:numPr>
          <w:ilvl w:val="0"/>
          <w:numId w:val="3"/>
        </w:numPr>
        <w:spacing w:after="80"/>
      </w:pPr>
      <w:r>
        <w:t xml:space="preserve">Put the browser in fullscreen / kiosk mode (F11 in Chrome/Edge).</w:t>
      </w:r>
    </w:p>
    <w:p>
      <w:pPr>
        <w:pStyle w:val="ListParagraph"/>
        <w:numPr>
          <w:ilvl w:val="0"/>
          <w:numId w:val="3"/>
        </w:numPr>
        <w:spacing w:after="80"/>
      </w:pPr>
      <w:r>
        <w:t xml:space="preserve">Leave it running. The board re-draws itself every 60 seconds and shows a live clock so a frozen screen is obvious.</w:t>
      </w:r>
    </w:p>
    <w:p>
      <w:pPr>
        <w:spacing w:after="140"/>
      </w:pPr>
      <w:r>
        <w:rPr>
          <w:i/>
          <w:iCs/>
        </w:rPr>
        <w:t xml:space="preserve">Tip: </w:t>
      </w:r>
      <w:r>
        <w:t xml:space="preserve">If the screen shows “Wallboard not configured,” the display password is not set in the server environment — contact the Zeus admin.</w:t>
      </w:r>
    </w:p>
    <w:p>
      <w:pPr>
        <w:pStyle w:val="Heading1"/>
      </w:pPr>
      <w:r>
        <w:t xml:space="preserve">3. Reading the Board</w:t>
      </w:r>
    </w:p>
    <w:p>
      <w:pPr>
        <w:pStyle w:val="Heading2"/>
      </w:pPr>
      <w:r>
        <w:t xml:space="preserve">3.1 The three lanes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360"/>
      </w:tblGrid>
      <w:tr>
        <w:trPr>
          <w:tblHeader/>
        </w:trPr>
        <w:tc>
          <w:tcPr>
            <w:tcW w:type="dxa" w:w="1700"/>
            <w:tcBorders>
              <w:top w:val="single" w:color="C7D2DA" w:sz="1"/>
              <w:left w:val="single" w:color="C7D2DA" w:sz="1"/>
              <w:bottom w:val="single" w:color="C7D2DA" w:sz="1"/>
              <w:right w:val="single" w:color="C7D2DA" w:sz="1"/>
            </w:tcBorders>
            <w:shd w:fill="DDE8F2" w:val="clear"/>
            <w:tcMar>
              <w:top w:type="dxa" w:w="80"/>
              <w:left w:type="dxa" w:w="120"/>
              <w:bottom w:type="dxa" w:w="80"/>
              <w:right w:type="dxa" w:w="120"/>
            </w:tcMar>
          </w:tcPr>
          <w:p>
            <w:r>
              <w:rPr>
                <w:b/>
                <w:bCs/>
                <w:sz w:val="20"/>
                <w:szCs w:val="20"/>
              </w:rPr>
              <w:t xml:space="preserve">Lane</w:t>
            </w:r>
          </w:p>
        </w:tc>
        <w:tc>
          <w:tcPr>
            <w:tcW w:type="dxa" w:w="3300"/>
            <w:tcBorders>
              <w:top w:val="single" w:color="C7D2DA" w:sz="1"/>
              <w:left w:val="single" w:color="C7D2DA" w:sz="1"/>
              <w:bottom w:val="single" w:color="C7D2DA" w:sz="1"/>
              <w:right w:val="single" w:color="C7D2DA" w:sz="1"/>
            </w:tcBorders>
            <w:shd w:fill="DDE8F2" w:val="clear"/>
            <w:tcMar>
              <w:top w:type="dxa" w:w="80"/>
              <w:left w:type="dxa" w:w="120"/>
              <w:bottom w:type="dxa" w:w="80"/>
              <w:right w:type="dxa" w:w="120"/>
            </w:tcMar>
          </w:tcPr>
          <w:p>
            <w:r>
              <w:rPr>
                <w:b/>
                <w:bCs/>
                <w:sz w:val="20"/>
                <w:szCs w:val="20"/>
              </w:rPr>
              <w:t xml:space="preserve">What puts an order here</w:t>
            </w:r>
          </w:p>
        </w:tc>
        <w:tc>
          <w:tcPr>
            <w:tcW w:type="dxa" w:w="4360"/>
            <w:tcBorders>
              <w:top w:val="single" w:color="C7D2DA" w:sz="1"/>
              <w:left w:val="single" w:color="C7D2DA" w:sz="1"/>
              <w:bottom w:val="single" w:color="C7D2DA" w:sz="1"/>
              <w:right w:val="single" w:color="C7D2DA" w:sz="1"/>
            </w:tcBorders>
            <w:shd w:fill="DDE8F2" w:val="clear"/>
            <w:tcMar>
              <w:top w:type="dxa" w:w="80"/>
              <w:left w:type="dxa" w:w="120"/>
              <w:bottom w:type="dxa" w:w="80"/>
              <w:right w:type="dxa" w:w="120"/>
            </w:tcMar>
          </w:tcPr>
          <w:p>
            <w:r>
              <w:rPr>
                <w:b/>
                <w:bCs/>
                <w:sz w:val="20"/>
                <w:szCs w:val="20"/>
              </w:rPr>
              <w:t xml:space="preserve">Notes</w:t>
            </w:r>
          </w:p>
        </w:tc>
      </w:tr>
      <w:tr>
        <w:tc>
          <w:tcPr>
            <w:tcW w:type="dxa" w:w="170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b/>
                <w:bCs/>
                <w:sz w:val="20"/>
                <w:szCs w:val="20"/>
              </w:rPr>
              <w:t xml:space="preserve">Ready to Pick</w:t>
            </w:r>
          </w:p>
        </w:tc>
        <w:tc>
          <w:tcPr>
            <w:tcW w:type="dxa" w:w="330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sz w:val="20"/>
                <w:szCs w:val="20"/>
              </w:rPr>
              <w:t xml:space="preserve">Fishbowl status </w:t>
            </w:r>
            <w:r>
              <w:rPr>
                <w:rFonts w:ascii="Consolas" w:cs="Consolas" w:eastAsia="Consolas" w:hAnsi="Consolas"/>
                <w:sz w:val="18"/>
                <w:szCs w:val="18"/>
              </w:rPr>
              <w:t xml:space="preserve">Issued</w:t>
            </w:r>
          </w:p>
        </w:tc>
        <w:tc>
          <w:tcPr>
            <w:tcW w:type="dxa" w:w="436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sz w:val="20"/>
                <w:szCs w:val="20"/>
              </w:rPr>
              <w:t xml:space="preserve">Committed orders where picking has not started. Oldest at the top — the top of the lane is the most overdue work.</w:t>
            </w:r>
          </w:p>
        </w:tc>
      </w:tr>
      <w:tr>
        <w:tc>
          <w:tcPr>
            <w:tcW w:type="dxa" w:w="170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b/>
                <w:bCs/>
                <w:sz w:val="20"/>
                <w:szCs w:val="20"/>
              </w:rPr>
              <w:t xml:space="preserve">Picking</w:t>
            </w:r>
          </w:p>
        </w:tc>
        <w:tc>
          <w:tcPr>
            <w:tcW w:type="dxa" w:w="330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sz w:val="20"/>
                <w:szCs w:val="20"/>
              </w:rPr>
              <w:t xml:space="preserve">Fishbowl status </w:t>
            </w:r>
            <w:r>
              <w:rPr>
                <w:rFonts w:ascii="Consolas" w:cs="Consolas" w:eastAsia="Consolas" w:hAnsi="Consolas"/>
                <w:sz w:val="18"/>
                <w:szCs w:val="18"/>
              </w:rPr>
              <w:t xml:space="preserve">In Progress</w:t>
            </w:r>
          </w:p>
        </w:tc>
        <w:tc>
          <w:tcPr>
            <w:tcW w:type="dxa" w:w="436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sz w:val="20"/>
                <w:szCs w:val="20"/>
              </w:rPr>
              <w:t xml:space="preserve">Picking has started. Each card shows a progress bar (units fulfilled vs. ordered, warehouse lines only) and flags lines that are partially picked.</w:t>
            </w:r>
          </w:p>
        </w:tc>
      </w:tr>
      <w:tr>
        <w:tc>
          <w:tcPr>
            <w:tcW w:type="dxa" w:w="170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b/>
                <w:bCs/>
                <w:sz w:val="20"/>
                <w:szCs w:val="20"/>
              </w:rPr>
              <w:t xml:space="preserve">Shipped · 7 days</w:t>
            </w:r>
          </w:p>
        </w:tc>
        <w:tc>
          <w:tcPr>
            <w:tcW w:type="dxa" w:w="330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sz w:val="20"/>
                <w:szCs w:val="20"/>
              </w:rPr>
              <w:t xml:space="preserve">A shipment record left the dock in the last 7 days, or the order reached </w:t>
            </w:r>
            <w:r>
              <w:rPr>
                <w:rFonts w:ascii="Consolas" w:cs="Consolas" w:eastAsia="Consolas" w:hAnsi="Consolas"/>
                <w:sz w:val="18"/>
                <w:szCs w:val="18"/>
              </w:rPr>
              <w:t xml:space="preserve">Fulfilled</w:t>
            </w:r>
            <w:r>
              <w:rPr>
                <w:sz w:val="20"/>
                <w:szCs w:val="20"/>
              </w:rPr>
              <w:t xml:space="preserve"> in that window</w:t>
            </w:r>
          </w:p>
        </w:tc>
        <w:tc>
          <w:tcPr>
            <w:tcW w:type="dxa" w:w="436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sz w:val="20"/>
                <w:szCs w:val="20"/>
              </w:rPr>
              <w:t xml:space="preserve">Shipments are the ground truth (see §4.2). Today’s shipments show “✓ TODAY”. A “PART” tag means something shipped but the order still has open lines — it also stays in Picking.</w:t>
            </w:r>
          </w:p>
        </w:tc>
      </w:tr>
    </w:tbl>
    <w:p>
      <w:pPr>
        <w:spacing w:after="160"/>
      </w:pPr>
    </w:p>
    <w:p>
      <w:pPr>
        <w:pStyle w:val="Heading2"/>
      </w:pPr>
      <w:r>
        <w:t xml:space="preserve">3.2 The right rail</w:t>
      </w:r>
    </w:p>
    <w:p>
      <w:pPr>
        <w:pStyle w:val="ListParagraph"/>
        <w:numPr>
          <w:ilvl w:val="0"/>
          <w:numId w:val="2"/>
        </w:numPr>
        <w:spacing w:after="80"/>
      </w:pPr>
      <w:r>
        <w:rPr>
          <w:b/>
          <w:bCs/>
        </w:rPr>
        <w:t xml:space="preserve">Longest Waiting: </w:t>
      </w:r>
      <w:r>
        <w:t xml:space="preserve">the six oldest open orders tied to sales orders still sitting in the building, with day counters. This is the standing answer to “what has been here the longest?” — it includes the deep backlog that is deliberately kept out of the main lanes.</w:t>
      </w:r>
    </w:p>
    <w:p>
      <w:pPr>
        <w:pStyle w:val="ListParagraph"/>
        <w:numPr>
          <w:ilvl w:val="0"/>
          <w:numId w:val="2"/>
        </w:numPr>
        <w:spacing w:after="80"/>
      </w:pPr>
      <w:r>
        <w:rPr>
          <w:b/>
          <w:bCs/>
        </w:rPr>
        <w:t xml:space="preserve">Closed Short · 30d: </w:t>
      </w:r>
      <w:r>
        <w:t xml:space="preserve">orders closed in the last 30 days that shipped incomplete. This is a review queue, not live work — which is why it sits off the main board. Each entry shows the date it was closed.</w:t>
      </w:r>
    </w:p>
    <w:p>
      <w:pPr>
        <w:pStyle w:val="Heading2"/>
      </w:pPr>
      <w:r>
        <w:t xml:space="preserve">3.3 KPI tiles (top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7D2DA" w:sz="1"/>
              <w:left w:val="single" w:color="C7D2DA" w:sz="1"/>
              <w:bottom w:val="single" w:color="C7D2DA" w:sz="1"/>
              <w:right w:val="single" w:color="C7D2DA" w:sz="1"/>
            </w:tcBorders>
            <w:shd w:fill="DDE8F2" w:val="clear"/>
            <w:tcMar>
              <w:top w:type="dxa" w:w="80"/>
              <w:left w:type="dxa" w:w="120"/>
              <w:bottom w:type="dxa" w:w="80"/>
              <w:right w:type="dxa" w:w="120"/>
            </w:tcMar>
          </w:tcPr>
          <w:p>
            <w:r>
              <w:rPr>
                <w:b/>
                <w:bCs/>
                <w:sz w:val="20"/>
                <w:szCs w:val="20"/>
              </w:rPr>
              <w:t xml:space="preserve">Tile</w:t>
            </w:r>
          </w:p>
        </w:tc>
        <w:tc>
          <w:tcPr>
            <w:tcW w:type="dxa" w:w="7060"/>
            <w:tcBorders>
              <w:top w:val="single" w:color="C7D2DA" w:sz="1"/>
              <w:left w:val="single" w:color="C7D2DA" w:sz="1"/>
              <w:bottom w:val="single" w:color="C7D2DA" w:sz="1"/>
              <w:right w:val="single" w:color="C7D2DA" w:sz="1"/>
            </w:tcBorders>
            <w:shd w:fill="DDE8F2" w:val="clear"/>
            <w:tcMar>
              <w:top w:type="dxa" w:w="80"/>
              <w:left w:type="dxa" w:w="120"/>
              <w:bottom w:type="dxa" w:w="80"/>
              <w:right w:type="dxa" w:w="120"/>
            </w:tcMar>
          </w:tcPr>
          <w:p>
            <w:r>
              <w:rPr>
                <w:b/>
                <w:bCs/>
                <w:sz w:val="20"/>
                <w:szCs w:val="20"/>
              </w:rPr>
              <w:t xml:space="preserve">Definition</w:t>
            </w:r>
          </w:p>
        </w:tc>
      </w:tr>
      <w:tr>
        <w:tc>
          <w:tcPr>
            <w:tcW w:type="dxa" w:w="230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b/>
                <w:bCs/>
                <w:sz w:val="20"/>
                <w:szCs w:val="20"/>
              </w:rPr>
              <w:t xml:space="preserve">Ready to pick</w:t>
            </w:r>
          </w:p>
        </w:tc>
        <w:tc>
          <w:tcPr>
            <w:tcW w:type="dxa" w:w="706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sz w:val="20"/>
                <w:szCs w:val="20"/>
              </w:rPr>
              <w:t xml:space="preserve">Open Issued orders (all ages), after drop-ship exclusion.</w:t>
            </w:r>
          </w:p>
        </w:tc>
      </w:tr>
      <w:tr>
        <w:tc>
          <w:tcPr>
            <w:tcW w:type="dxa" w:w="230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b/>
                <w:bCs/>
                <w:sz w:val="20"/>
                <w:szCs w:val="20"/>
              </w:rPr>
              <w:t xml:space="preserve">Picking</w:t>
            </w:r>
          </w:p>
        </w:tc>
        <w:tc>
          <w:tcPr>
            <w:tcW w:type="dxa" w:w="706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sz w:val="20"/>
                <w:szCs w:val="20"/>
              </w:rPr>
              <w:t xml:space="preserve">Open In Progress orders (all ages), after drop-ship exclusion.</w:t>
            </w:r>
          </w:p>
        </w:tc>
      </w:tr>
      <w:tr>
        <w:tc>
          <w:tcPr>
            <w:tcW w:type="dxa" w:w="230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b/>
                <w:bCs/>
                <w:sz w:val="20"/>
                <w:szCs w:val="20"/>
              </w:rPr>
              <w:t xml:space="preserve">Late &gt;7d</w:t>
            </w:r>
          </w:p>
        </w:tc>
        <w:tc>
          <w:tcPr>
            <w:tcW w:type="dxa" w:w="706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sz w:val="20"/>
                <w:szCs w:val="20"/>
              </w:rPr>
              <w:t xml:space="preserve">Open orders issued more than 7 days ago and not yet shipped complete. Turns amber when above zero.</w:t>
            </w:r>
          </w:p>
        </w:tc>
      </w:tr>
      <w:tr>
        <w:tc>
          <w:tcPr>
            <w:tcW w:type="dxa" w:w="230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b/>
                <w:bCs/>
                <w:sz w:val="20"/>
                <w:szCs w:val="20"/>
              </w:rPr>
              <w:t xml:space="preserve">Stuck picks</w:t>
            </w:r>
          </w:p>
        </w:tc>
        <w:tc>
          <w:tcPr>
            <w:tcW w:type="dxa" w:w="706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sz w:val="20"/>
                <w:szCs w:val="20"/>
              </w:rPr>
              <w:t xml:space="preserve">In Progress orders older than 14 days — picking started, then stalled. Red when above zero; the worst offenders also run in the alert ticker.</w:t>
            </w:r>
          </w:p>
        </w:tc>
      </w:tr>
      <w:tr>
        <w:tc>
          <w:tcPr>
            <w:tcW w:type="dxa" w:w="230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b/>
                <w:bCs/>
                <w:sz w:val="20"/>
                <w:szCs w:val="20"/>
              </w:rPr>
              <w:t xml:space="preserve">No PO short</w:t>
            </w:r>
          </w:p>
        </w:tc>
        <w:tc>
          <w:tcPr>
            <w:tcW w:type="dxa" w:w="706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sz w:val="20"/>
                <w:szCs w:val="20"/>
              </w:rPr>
              <w:t xml:space="preserve">Ready orders that are short stock with no open purchase order covering the shortage — purchasing action needed. Red when above zero.</w:t>
            </w:r>
          </w:p>
        </w:tc>
      </w:tr>
      <w:tr>
        <w:tc>
          <w:tcPr>
            <w:tcW w:type="dxa" w:w="230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b/>
                <w:bCs/>
                <w:sz w:val="20"/>
                <w:szCs w:val="20"/>
              </w:rPr>
              <w:t xml:space="preserve">Backlog &gt;90d</w:t>
            </w:r>
          </w:p>
        </w:tc>
        <w:tc>
          <w:tcPr>
            <w:tcW w:type="dxa" w:w="706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sz w:val="20"/>
                <w:szCs w:val="20"/>
              </w:rPr>
              <w:t xml:space="preserve">Open orders issued more than 90 days ago. These are counted here and shown in Longest Waiting / expanded lanes, but excluded from the collapsed lanes so current work stays readable.</w:t>
            </w:r>
          </w:p>
        </w:tc>
      </w:tr>
      <w:tr>
        <w:tc>
          <w:tcPr>
            <w:tcW w:type="dxa" w:w="230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b/>
                <w:bCs/>
                <w:sz w:val="20"/>
                <w:szCs w:val="20"/>
              </w:rPr>
              <w:t xml:space="preserve">Shipped 7d</w:t>
            </w:r>
          </w:p>
        </w:tc>
        <w:tc>
          <w:tcPr>
            <w:tcW w:type="dxa" w:w="706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sz w:val="20"/>
                <w:szCs w:val="20"/>
              </w:rPr>
              <w:t xml:space="preserve">Distinct orders with a warehouse shipment (or fulfillment) in the last 7 days. Drop-ship (vendor-shipped) orders are not counted — this is floor throughput only.</w:t>
            </w:r>
          </w:p>
        </w:tc>
      </w:tr>
    </w:tbl>
    <w:p>
      <w:pPr>
        <w:spacing w:after="160"/>
      </w:pPr>
    </w:p>
    <w:p>
      <w:pPr>
        <w:pStyle w:val="Heading2"/>
      </w:pPr>
      <w:r>
        <w:t xml:space="preserve">3.4 Sync pills (top right)</w:t>
      </w:r>
    </w:p>
    <w:p>
      <w:pPr>
        <w:spacing w:after="140"/>
      </w:pPr>
      <w:r>
        <w:t xml:space="preserve">Under the clock are four freshness indicators. Green pulse = fresh; amber = older than expected. If a pill goes amber during business hours, the board may be showing stale data — notify the Zeus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4660"/>
      </w:tblGrid>
      <w:tr>
        <w:trPr>
          <w:tblHeader/>
        </w:trPr>
        <w:tc>
          <w:tcPr>
            <w:tcW w:type="dxa" w:w="1400"/>
            <w:tcBorders>
              <w:top w:val="single" w:color="C7D2DA" w:sz="1"/>
              <w:left w:val="single" w:color="C7D2DA" w:sz="1"/>
              <w:bottom w:val="single" w:color="C7D2DA" w:sz="1"/>
              <w:right w:val="single" w:color="C7D2DA" w:sz="1"/>
            </w:tcBorders>
            <w:shd w:fill="DDE8F2" w:val="clear"/>
            <w:tcMar>
              <w:top w:type="dxa" w:w="80"/>
              <w:left w:type="dxa" w:w="120"/>
              <w:bottom w:type="dxa" w:w="80"/>
              <w:right w:type="dxa" w:w="120"/>
            </w:tcMar>
          </w:tcPr>
          <w:p>
            <w:r>
              <w:rPr>
                <w:b/>
                <w:bCs/>
                <w:sz w:val="20"/>
                <w:szCs w:val="20"/>
              </w:rPr>
              <w:t xml:space="preserve">Pill</w:t>
            </w:r>
          </w:p>
        </w:tc>
        <w:tc>
          <w:tcPr>
            <w:tcW w:type="dxa" w:w="3300"/>
            <w:tcBorders>
              <w:top w:val="single" w:color="C7D2DA" w:sz="1"/>
              <w:left w:val="single" w:color="C7D2DA" w:sz="1"/>
              <w:bottom w:val="single" w:color="C7D2DA" w:sz="1"/>
              <w:right w:val="single" w:color="C7D2DA" w:sz="1"/>
            </w:tcBorders>
            <w:shd w:fill="DDE8F2" w:val="clear"/>
            <w:tcMar>
              <w:top w:type="dxa" w:w="80"/>
              <w:left w:type="dxa" w:w="120"/>
              <w:bottom w:type="dxa" w:w="80"/>
              <w:right w:type="dxa" w:w="120"/>
            </w:tcMar>
          </w:tcPr>
          <w:p>
            <w:r>
              <w:rPr>
                <w:b/>
                <w:bCs/>
                <w:sz w:val="20"/>
                <w:szCs w:val="20"/>
              </w:rPr>
              <w:t xml:space="preserve">Data it tracks</w:t>
            </w:r>
          </w:p>
        </w:tc>
        <w:tc>
          <w:tcPr>
            <w:tcW w:type="dxa" w:w="4660"/>
            <w:tcBorders>
              <w:top w:val="single" w:color="C7D2DA" w:sz="1"/>
              <w:left w:val="single" w:color="C7D2DA" w:sz="1"/>
              <w:bottom w:val="single" w:color="C7D2DA" w:sz="1"/>
              <w:right w:val="single" w:color="C7D2DA" w:sz="1"/>
            </w:tcBorders>
            <w:shd w:fill="DDE8F2" w:val="clear"/>
            <w:tcMar>
              <w:top w:type="dxa" w:w="80"/>
              <w:left w:type="dxa" w:w="120"/>
              <w:bottom w:type="dxa" w:w="80"/>
              <w:right w:type="dxa" w:w="120"/>
            </w:tcMar>
          </w:tcPr>
          <w:p>
            <w:r>
              <w:rPr>
                <w:b/>
                <w:bCs/>
                <w:sz w:val="20"/>
                <w:szCs w:val="20"/>
              </w:rPr>
              <w:t xml:space="preserve">Expected cadence</w:t>
            </w:r>
          </w:p>
        </w:tc>
      </w:tr>
      <w:tr>
        <w:tc>
          <w:tcPr>
            <w:tcW w:type="dxa" w:w="140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b/>
                <w:bCs/>
                <w:sz w:val="20"/>
                <w:szCs w:val="20"/>
              </w:rPr>
              <w:t xml:space="preserve">SO</w:t>
            </w:r>
          </w:p>
        </w:tc>
        <w:tc>
          <w:tcPr>
            <w:tcW w:type="dxa" w:w="330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sz w:val="20"/>
                <w:szCs w:val="20"/>
              </w:rPr>
              <w:t xml:space="preserve">Sales orders (statuses, lanes)</w:t>
            </w:r>
          </w:p>
        </w:tc>
        <w:tc>
          <w:tcPr>
            <w:tcW w:type="dxa" w:w="466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sz w:val="20"/>
                <w:szCs w:val="20"/>
              </w:rPr>
              <w:t xml:space="preserve">Every 15 minutes, around the clock. Amber if older than 2 hours.</w:t>
            </w:r>
          </w:p>
        </w:tc>
      </w:tr>
      <w:tr>
        <w:tc>
          <w:tcPr>
            <w:tcW w:type="dxa" w:w="140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b/>
                <w:bCs/>
                <w:sz w:val="20"/>
                <w:szCs w:val="20"/>
              </w:rPr>
              <w:t xml:space="preserve">SHIP</w:t>
            </w:r>
          </w:p>
        </w:tc>
        <w:tc>
          <w:tcPr>
            <w:tcW w:type="dxa" w:w="330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sz w:val="20"/>
                <w:szCs w:val="20"/>
              </w:rPr>
              <w:t xml:space="preserve">Shipment records (Shipped lane)</w:t>
            </w:r>
          </w:p>
        </w:tc>
        <w:tc>
          <w:tcPr>
            <w:tcW w:type="dxa" w:w="466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sz w:val="20"/>
                <w:szCs w:val="20"/>
              </w:rPr>
              <w:t xml:space="preserve">Every 15 minutes, around the clock. Amber if older than 2 hours.</w:t>
            </w:r>
          </w:p>
        </w:tc>
      </w:tr>
      <w:tr>
        <w:tc>
          <w:tcPr>
            <w:tcW w:type="dxa" w:w="140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b/>
                <w:bCs/>
                <w:sz w:val="20"/>
                <w:szCs w:val="20"/>
              </w:rPr>
              <w:t xml:space="preserve">PO</w:t>
            </w:r>
          </w:p>
        </w:tc>
        <w:tc>
          <w:tcPr>
            <w:tcW w:type="dxa" w:w="330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sz w:val="20"/>
                <w:szCs w:val="20"/>
              </w:rPr>
              <w:t xml:space="preserve">Open purchase orders (“on order” badges)</w:t>
            </w:r>
          </w:p>
        </w:tc>
        <w:tc>
          <w:tcPr>
            <w:tcW w:type="dxa" w:w="466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sz w:val="20"/>
                <w:szCs w:val="20"/>
              </w:rPr>
              <w:t xml:space="preserve">8a, 10a, 12p, 2p, 4p Mon–Fri (Chicago). Amber if older than ~1 day.</w:t>
            </w:r>
          </w:p>
        </w:tc>
      </w:tr>
      <w:tr>
        <w:tc>
          <w:tcPr>
            <w:tcW w:type="dxa" w:w="140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b/>
                <w:bCs/>
                <w:sz w:val="20"/>
                <w:szCs w:val="20"/>
              </w:rPr>
              <w:t xml:space="preserve">INV</w:t>
            </w:r>
          </w:p>
        </w:tc>
        <w:tc>
          <w:tcPr>
            <w:tcW w:type="dxa" w:w="330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sz w:val="20"/>
                <w:szCs w:val="20"/>
              </w:rPr>
              <w:t xml:space="preserve">Inventory on hand (“stock ✓” badges)</w:t>
            </w:r>
          </w:p>
        </w:tc>
        <w:tc>
          <w:tcPr>
            <w:tcW w:type="dxa" w:w="466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sz w:val="20"/>
                <w:szCs w:val="20"/>
              </w:rPr>
              <w:t xml:space="preserve">8a, 12p, 4p Mon–Fri (Chicago). Amber if older than ~1 day.</w:t>
            </w:r>
          </w:p>
        </w:tc>
      </w:tr>
    </w:tbl>
    <w:p>
      <w:pPr>
        <w:spacing w:after="160"/>
      </w:pPr>
    </w:p>
    <w:p>
      <w:pPr>
        <w:pStyle w:val="Heading2"/>
      </w:pPr>
      <w:r>
        <w:t xml:space="preserve">3.5 Anatomy of a card</w:t>
      </w:r>
    </w:p>
    <w:p>
      <w:pPr>
        <w:pStyle w:val="ListParagraph"/>
        <w:numPr>
          <w:ilvl w:val="0"/>
          <w:numId w:val="2"/>
        </w:numPr>
        <w:spacing w:after="80"/>
      </w:pPr>
      <w:r>
        <w:rPr>
          <w:b/>
          <w:bCs/>
        </w:rPr>
        <w:t xml:space="preserve">SO number </w:t>
      </w:r>
      <w:r>
        <w:t xml:space="preserve">(large, monospace) and the customer name.</w:t>
      </w:r>
    </w:p>
    <w:p>
      <w:pPr>
        <w:pStyle w:val="ListParagraph"/>
        <w:numPr>
          <w:ilvl w:val="0"/>
          <w:numId w:val="2"/>
        </w:numPr>
        <w:spacing w:after="80"/>
      </w:pPr>
      <w:r>
        <w:rPr>
          <w:b/>
          <w:bCs/>
        </w:rPr>
        <w:t xml:space="preserve">Age chip </w:t>
      </w:r>
      <w:r>
        <w:t xml:space="preserve">(Ready/Picking lanes): days since the order was issued. Grey is on pace; amber is aging (3+ days waiting to pick, or 7+ days in picking); pulsing red is overdue (7+ days waiting, or 14+ days in picking).</w:t>
      </w:r>
    </w:p>
    <w:p>
      <w:pPr>
        <w:pStyle w:val="ListParagraph"/>
        <w:numPr>
          <w:ilvl w:val="0"/>
          <w:numId w:val="2"/>
        </w:numPr>
        <w:spacing w:after="80"/>
      </w:pPr>
      <w:r>
        <w:rPr>
          <w:b/>
          <w:bCs/>
        </w:rPr>
        <w:t xml:space="preserve">Lines · units · destination: </w:t>
      </w:r>
      <w:r>
        <w:t xml:space="preserve">counts cover warehouse-fulfillable lines only (see §4.3), e.g. “4 lines · 12/40 units · DeKalb, IL”.</w:t>
      </w:r>
    </w:p>
    <w:p>
      <w:pPr>
        <w:pStyle w:val="ListParagraph"/>
        <w:numPr>
          <w:ilvl w:val="0"/>
          <w:numId w:val="2"/>
        </w:numPr>
        <w:spacing w:after="80"/>
      </w:pPr>
      <w:r>
        <w:rPr>
          <w:b/>
          <w:bCs/>
        </w:rPr>
        <w:t xml:space="preserve">Stock badge </w:t>
      </w:r>
      <w:r>
        <w:t xml:space="preserve">(Ready lane only — see §4.4): STOCK ✓, ON ORDER with an arrival date, or N SHORT · NO PO.</w:t>
      </w:r>
    </w:p>
    <w:p>
      <w:pPr>
        <w:pStyle w:val="ListParagraph"/>
        <w:numPr>
          <w:ilvl w:val="0"/>
          <w:numId w:val="2"/>
        </w:numPr>
        <w:spacing w:after="80"/>
      </w:pPr>
      <w:r>
        <w:rPr>
          <w:b/>
          <w:bCs/>
        </w:rPr>
        <w:t xml:space="preserve">Progress bar </w:t>
      </w:r>
      <w:r>
        <w:t xml:space="preserve">(Picking lane): units fulfilled as a share of units ordered, with a “N partial” tag when individual lines are part-picked.</w:t>
      </w:r>
    </w:p>
    <w:p>
      <w:pPr>
        <w:pStyle w:val="ListParagraph"/>
        <w:numPr>
          <w:ilvl w:val="0"/>
          <w:numId w:val="2"/>
        </w:numPr>
        <w:spacing w:after="80"/>
      </w:pPr>
      <w:r>
        <w:rPr>
          <w:b/>
          <w:bCs/>
        </w:rPr>
        <w:t xml:space="preserve">Glowing outline: </w:t>
      </w:r>
      <w:r>
        <w:t xml:space="preserve">this order changed since the last refresh — it moved lanes, its pick progress advanced, its stock posture changed, or it just appeared. The glow clears when anyone clicks the card, or automatically at the next data refresh.</w:t>
      </w:r>
    </w:p>
    <w:p>
      <w:r>
        <w:br w:type="page"/>
      </w:r>
    </w:p>
    <w:p>
      <w:pPr>
        <w:pStyle w:val="Heading2"/>
      </w:pPr>
      <w:r>
        <w:t>3.6 Kit Galaxy</w:t>
      </w:r>
    </w:p>
    <w:p>
      <w:r>
        <w:t>Use the header toggle to open Kit Galaxy. Suns are schools, planets are kit orders, and the solid shaded moons are Sale/Kit component lines. Moon color shows pick state: green is complete, amber is partially picked, and grey has not started. Moon size is automatically compensated as the view zooms out so components stay readable; this visual scaling does not change quantities or status.</w:t>
      </w:r>
    </w:p>
    <w:p>
      <w:r>
        <w:t>A small starship orbiting a kit means the Fishbowl sales order has a customer PO reference on file. The board sends only that yes/no indicator to the Galaxy, not the PO number. This is separate from the supplier open-PO coverage used by the Ready-to-Pick stock badges in section 4.4.</w:t>
      </w:r>
    </w:p>
    <w:p>
      <w:r>
        <w:t>Drag to orbit, use the mouse wheel to zoom, and right-drag to pan. Hovering a body pauses motion; click a school or kit for details, then press Esc or click empty space to close the panel.</w:t>
      </w:r>
    </w:p>
    <w:p>
      <w:pPr>
        <w:pStyle w:val="Heading1"/>
      </w:pPr>
      <w:r>
        <w:t xml:space="preserve">4. Methodology — How the Numbers Are Made</w:t>
      </w:r>
    </w:p>
    <w:p>
      <w:pPr>
        <w:pStyle w:val="Heading2"/>
      </w:pPr>
      <w:r>
        <w:t xml:space="preserve">4.1 Data flow</w:t>
      </w:r>
    </w:p>
    <w:p>
      <w:pPr>
        <w:spacing w:after="140"/>
      </w:pPr>
      <w:r>
        <w:t xml:space="preserve">Fishbowl remains the system of record. Zeus/Prometheus syncs Fishbowl data into read-optimized caches on a schedule (see §3.4), and the board renders purely from those caches — it never queries Fishbowl directly, so a Fishbowl outage degrades freshness but never blanks the screen.</w:t>
      </w:r>
    </w:p>
    <w:p>
      <w:pPr>
        <w:pStyle w:val="Heading2"/>
      </w:pPr>
      <w:r>
        <w:t xml:space="preserve">4.2 “Shipped” means a shipment left the dock</w:t>
      </w:r>
    </w:p>
    <w:p>
      <w:pPr>
        <w:spacing w:after="140"/>
      </w:pPr>
      <w:r>
        <w:t xml:space="preserve">The board treats Fishbowl </w:t>
      </w:r>
      <w:r>
        <w:rPr>
          <w:b/>
          <w:bCs/>
        </w:rPr>
        <w:t xml:space="preserve">shipment records</w:t>
      </w:r>
      <w:r>
        <w:t xml:space="preserve"> — not sales-order status — as the truth for “out the door.” This matters for two reasons:</w:t>
      </w:r>
    </w:p>
    <w:p>
      <w:pPr>
        <w:pStyle w:val="ListParagraph"/>
        <w:numPr>
          <w:ilvl w:val="0"/>
          <w:numId w:val="2"/>
        </w:numPr>
        <w:spacing w:after="80"/>
      </w:pPr>
      <w:r>
        <w:rPr>
          <w:b/>
          <w:bCs/>
        </w:rPr>
        <w:t xml:space="preserve">Partial shipments: </w:t>
      </w:r>
      <w:r>
        <w:t xml:space="preserve">an order can ship a portion today while the SO legitimately stays In Progress. Status-based counting would never show it. On this board the order appears in Shipped with a PART tag and remains in Picking for the open balance — both facts are true.</w:t>
      </w:r>
    </w:p>
    <w:p>
      <w:pPr>
        <w:pStyle w:val="ListParagraph"/>
        <w:numPr>
          <w:ilvl w:val="0"/>
          <w:numId w:val="2"/>
        </w:numPr>
        <w:spacing w:after="80"/>
      </w:pPr>
      <w:r>
        <w:rPr>
          <w:b/>
          <w:bCs/>
        </w:rPr>
        <w:t xml:space="preserve">Status lag: </w:t>
      </w:r>
      <w:r>
        <w:t xml:space="preserve">even for complete shipments, the SO’s Fulfilled status and completion date can trail the physical shipment. Shipment records post immediately.</w:t>
      </w:r>
    </w:p>
    <w:p>
      <w:pPr>
        <w:spacing w:after="140"/>
      </w:pPr>
      <w:r>
        <w:t xml:space="preserve">The Shipped lane is therefore: every order with a shipment in the last 7 days, plus any order that reached Fulfilled in that window, de-duplicated and sorted by the actual ship time.</w:t>
      </w:r>
    </w:p>
    <w:p>
      <w:pPr>
        <w:pStyle w:val="Heading2"/>
      </w:pPr>
      <w:r>
        <w:t xml:space="preserve">4.3 Drop-ship orders are excluded</w:t>
      </w:r>
    </w:p>
    <w:p>
      <w:pPr>
        <w:spacing w:after="140"/>
      </w:pPr>
      <w:r>
        <w:t xml:space="preserve">Orders whose only product lines are Drop Ship never enter the warehouse — the vendor ships them — so they are excluded from every lane, KPI, alert, and rail. Mixed orders (warehouse lines plus drop-ship lines) stay on the board, and their line counts, unit totals, and progress bars count only the warehouse-fulfillable lines (Sale and Kit types). Fishbowl marks drop-ship at the line level, not the order level, so this classification is derived from the order’s lines.</w:t>
      </w:r>
    </w:p>
    <w:p>
      <w:pPr>
        <w:pStyle w:val="Heading2"/>
      </w:pPr>
      <w:r>
        <w:t xml:space="preserve">4.4 Stock posture on Ready-to-Pick orders</w:t>
      </w:r>
    </w:p>
    <w:p>
      <w:pPr>
        <w:spacing w:after="140"/>
      </w:pPr>
      <w:r>
        <w:t xml:space="preserve">For each Issued order, every unfulfilled Sale line is checked against cached inventory (quantity on hand, summed across locations) and open purchase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7D2DA" w:sz="1"/>
              <w:left w:val="single" w:color="C7D2DA" w:sz="1"/>
              <w:bottom w:val="single" w:color="C7D2DA" w:sz="1"/>
              <w:right w:val="single" w:color="C7D2DA" w:sz="1"/>
            </w:tcBorders>
            <w:shd w:fill="DDE8F2" w:val="clear"/>
            <w:tcMar>
              <w:top w:type="dxa" w:w="80"/>
              <w:left w:type="dxa" w:w="120"/>
              <w:bottom w:type="dxa" w:w="80"/>
              <w:right w:type="dxa" w:w="120"/>
            </w:tcMar>
          </w:tcPr>
          <w:p>
            <w:r>
              <w:rPr>
                <w:b/>
                <w:bCs/>
                <w:sz w:val="20"/>
                <w:szCs w:val="20"/>
              </w:rPr>
              <w:t xml:space="preserve">Badge</w:t>
            </w:r>
          </w:p>
        </w:tc>
        <w:tc>
          <w:tcPr>
            <w:tcW w:type="dxa" w:w="6760"/>
            <w:tcBorders>
              <w:top w:val="single" w:color="C7D2DA" w:sz="1"/>
              <w:left w:val="single" w:color="C7D2DA" w:sz="1"/>
              <w:bottom w:val="single" w:color="C7D2DA" w:sz="1"/>
              <w:right w:val="single" w:color="C7D2DA" w:sz="1"/>
            </w:tcBorders>
            <w:shd w:fill="DDE8F2" w:val="clear"/>
            <w:tcMar>
              <w:top w:type="dxa" w:w="80"/>
              <w:left w:type="dxa" w:w="120"/>
              <w:bottom w:type="dxa" w:w="80"/>
              <w:right w:type="dxa" w:w="120"/>
            </w:tcMar>
          </w:tcPr>
          <w:p>
            <w:r>
              <w:rPr>
                <w:b/>
                <w:bCs/>
                <w:sz w:val="20"/>
                <w:szCs w:val="20"/>
              </w:rPr>
              <w:t xml:space="preserve">Meaning</w:t>
            </w:r>
          </w:p>
        </w:tc>
      </w:tr>
      <w:tr>
        <w:tc>
          <w:tcPr>
            <w:tcW w:type="dxa" w:w="260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b/>
                <w:bCs/>
                <w:sz w:val="20"/>
                <w:szCs w:val="20"/>
              </w:rPr>
              <w:t xml:space="preserve">STOCK ✓</w:t>
            </w:r>
            <w:r>
              <w:rPr>
                <w:sz w:val="20"/>
                <w:szCs w:val="20"/>
              </w:rPr>
              <w:t xml:space="preserve"> (green)</w:t>
            </w:r>
          </w:p>
        </w:tc>
        <w:tc>
          <w:tcPr>
            <w:tcW w:type="dxa" w:w="676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sz w:val="20"/>
                <w:szCs w:val="20"/>
              </w:rPr>
              <w:t xml:space="preserve">Every line is on hand — the order can be picked now.</w:t>
            </w:r>
          </w:p>
        </w:tc>
      </w:tr>
      <w:tr>
        <w:tc>
          <w:tcPr>
            <w:tcW w:type="dxa" w:w="260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b/>
                <w:bCs/>
                <w:sz w:val="20"/>
                <w:szCs w:val="20"/>
              </w:rPr>
              <w:t xml:space="preserve">ON ORDER · date</w:t>
            </w:r>
            <w:r>
              <w:rPr>
                <w:sz w:val="20"/>
                <w:szCs w:val="20"/>
              </w:rPr>
              <w:t xml:space="preserve"> (amber)</w:t>
            </w:r>
          </w:p>
        </w:tc>
        <w:tc>
          <w:tcPr>
            <w:tcW w:type="dxa" w:w="676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sz w:val="20"/>
                <w:szCs w:val="20"/>
              </w:rPr>
              <w:t xml:space="preserve">Some or all lines are short, but every short line is covered by an open PO. The date is the earliest expected receipt among those POs.</w:t>
            </w:r>
          </w:p>
        </w:tc>
      </w:tr>
      <w:tr>
        <w:tc>
          <w:tcPr>
            <w:tcW w:type="dxa" w:w="260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b/>
                <w:bCs/>
                <w:sz w:val="20"/>
                <w:szCs w:val="20"/>
              </w:rPr>
              <w:t xml:space="preserve">PARTIAL · ON ORDER</w:t>
            </w:r>
            <w:r>
              <w:rPr>
                <w:sz w:val="20"/>
                <w:szCs w:val="20"/>
              </w:rPr>
              <w:t xml:space="preserve"> (amber)</w:t>
            </w:r>
          </w:p>
        </w:tc>
        <w:tc>
          <w:tcPr>
            <w:tcW w:type="dxa" w:w="676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sz w:val="20"/>
                <w:szCs w:val="20"/>
              </w:rPr>
              <w:t xml:space="preserve">A mix: some lines are on hand, the short remainder is on order.</w:t>
            </w:r>
          </w:p>
        </w:tc>
      </w:tr>
      <w:tr>
        <w:tc>
          <w:tcPr>
            <w:tcW w:type="dxa" w:w="260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b/>
                <w:bCs/>
                <w:sz w:val="20"/>
                <w:szCs w:val="20"/>
              </w:rPr>
              <w:t xml:space="preserve">N SHORT · NO PO</w:t>
            </w:r>
            <w:r>
              <w:rPr>
                <w:sz w:val="20"/>
                <w:szCs w:val="20"/>
              </w:rPr>
              <w:t xml:space="preserve"> (red, pulsing)</w:t>
            </w:r>
          </w:p>
        </w:tc>
        <w:tc>
          <w:tcPr>
            <w:tcW w:type="dxa" w:w="676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sz w:val="20"/>
                <w:szCs w:val="20"/>
              </w:rPr>
              <w:t xml:space="preserve">N lines are short with no open purchase order covering them. Nobody has ordered the missing stock — escalate to purchasing. These orders feed the “No PO short” KPI and the alert ticker.</w:t>
            </w:r>
          </w:p>
        </w:tc>
      </w:tr>
      <w:tr>
        <w:tc>
          <w:tcPr>
            <w:tcW w:type="dxa" w:w="260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sz w:val="20"/>
                <w:szCs w:val="20"/>
              </w:rPr>
              <w:t xml:space="preserve">(no badge)</w:t>
            </w:r>
          </w:p>
        </w:tc>
        <w:tc>
          <w:tcPr>
            <w:tcW w:type="dxa" w:w="676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sz w:val="20"/>
                <w:szCs w:val="20"/>
              </w:rPr>
              <w:t xml:space="preserve">The order has no evaluable warehouse Sale lines (e.g. drop-ship or service content), so stock posture does not apply.</w:t>
            </w:r>
          </w:p>
        </w:tc>
      </w:tr>
    </w:tbl>
    <w:p>
      <w:pPr>
        <w:spacing w:after="160"/>
      </w:pPr>
    </w:p>
    <w:p>
      <w:pPr>
        <w:pStyle w:val="Heading2"/>
      </w:pPr>
      <w:r>
        <w:t xml:space="preserve">4.5 Aging and alerts</w:t>
      </w:r>
    </w:p>
    <w:p>
      <w:pPr>
        <w:spacing w:after="140"/>
      </w:pPr>
      <w:r>
        <w:t xml:space="preserve">Age is measured from the date the order was </w:t>
      </w:r>
      <w:r>
        <w:rPr>
          <w:b/>
          <w:bCs/>
        </w:rPr>
        <w:t xml:space="preserve">issued</w:t>
      </w:r>
      <w:r>
        <w:t xml:space="preserve">. Scheduled ship dates are deliberately not used for alerting: in current data nearly every open order is past its scheduled date, so it cannot distinguish urgent from routine. Issue-date aging tiers do that job:</w:t>
      </w:r>
    </w:p>
    <w:p>
      <w:pPr>
        <w:pStyle w:val="ListParagraph"/>
        <w:numPr>
          <w:ilvl w:val="0"/>
          <w:numId w:val="2"/>
        </w:numPr>
        <w:spacing w:after="80"/>
      </w:pPr>
      <w:r>
        <w:t xml:space="preserve">Ready to Pick: amber at 3 days, red at 7 days.</w:t>
      </w:r>
    </w:p>
    <w:p>
      <w:pPr>
        <w:pStyle w:val="ListParagraph"/>
        <w:numPr>
          <w:ilvl w:val="0"/>
          <w:numId w:val="2"/>
        </w:numPr>
        <w:spacing w:after="80"/>
      </w:pPr>
      <w:r>
        <w:t xml:space="preserve">Picking: amber at 7 days, red at 14 days (a started pick that stalls is the stronger signal).</w:t>
      </w:r>
    </w:p>
    <w:p>
      <w:pPr>
        <w:spacing w:after="140"/>
      </w:pPr>
      <w:r>
        <w:t xml:space="preserve">The red alert ticker across the top carries the worst items: stalled picks over 14 days (with partial-line counts), the oldest unpicked orders, short-with-no-PO orders, and recent closed-shorts. When there is nothing critical it shows a green “All clear.”</w:t>
      </w:r>
    </w:p>
    <w:p>
      <w:pPr>
        <w:pStyle w:val="Heading2"/>
      </w:pPr>
      <w:r>
        <w:t xml:space="preserve">4.6 The 90-day backlog rule</w:t>
      </w:r>
    </w:p>
    <w:p>
      <w:pPr>
        <w:spacing w:after="140"/>
      </w:pPr>
      <w:r>
        <w:t xml:space="preserve">Orders older than 90 days are real and are counted (Backlog &gt;90d tile, Longest Waiting rail), but they are excluded from the collapsed lanes so that decade-old records cannot bury this week’s work. Expanding a lane (§5.2) shows everything, including the deep backlog.</w:t>
      </w:r>
    </w:p>
    <w:p>
      <w:r>
        <w:br w:type="page"/>
      </w:r>
    </w:p>
    <w:p>
      <w:pPr>
        <w:pStyle w:val="Heading1"/>
      </w:pPr>
      <w:r>
        <w:t xml:space="preserve">5. Using the Board (Optional Interactions)</w:t>
      </w:r>
    </w:p>
    <w:p>
      <w:pPr>
        <w:spacing w:after="140"/>
      </w:pPr>
      <w:r>
        <w:t xml:space="preserve">Everything below works with a mouse on the PC driving the display. None of it is required — an untouched board runs itself.</w:t>
      </w:r>
    </w:p>
    <w:p>
      <w:pPr>
        <w:pStyle w:val="Heading2"/>
      </w:pPr>
      <w:r>
        <w:t xml:space="preserve">5.1 Finding a specific order</w:t>
      </w:r>
    </w:p>
    <w:p>
      <w:pPr>
        <w:pStyle w:val="ListParagraph"/>
        <w:numPr>
          <w:ilvl w:val="0"/>
          <w:numId w:val="3"/>
        </w:numPr>
        <w:spacing w:after="80"/>
      </w:pPr>
      <w:r>
        <w:t xml:space="preserve">Type any part of the SO number into the “Find SO #” box (top left).</w:t>
      </w:r>
    </w:p>
    <w:p>
      <w:pPr>
        <w:pStyle w:val="ListParagraph"/>
        <w:numPr>
          <w:ilvl w:val="0"/>
          <w:numId w:val="3"/>
        </w:numPr>
        <w:spacing w:after="80"/>
      </w:pPr>
      <w:r>
        <w:t xml:space="preserve">Everything that does not match dims; matches get a bright white outline; a match count appears under the box.</w:t>
      </w:r>
    </w:p>
    <w:p>
      <w:pPr>
        <w:pStyle w:val="ListParagraph"/>
        <w:numPr>
          <w:ilvl w:val="0"/>
          <w:numId w:val="3"/>
        </w:numPr>
        <w:spacing w:after="80"/>
      </w:pPr>
      <w:r>
        <w:t xml:space="preserve">If the first match is buried, its lane expands and scrolls to it automatically — including deep-backlog orders.</w:t>
      </w:r>
    </w:p>
    <w:p>
      <w:pPr>
        <w:pStyle w:val="ListParagraph"/>
        <w:numPr>
          <w:ilvl w:val="0"/>
          <w:numId w:val="3"/>
        </w:numPr>
        <w:spacing w:after="80"/>
      </w:pPr>
      <w:r>
        <w:t xml:space="preserve">Click the ✕ (or clear the box) to restore the normal view.</w:t>
      </w:r>
    </w:p>
    <w:p>
      <w:pPr>
        <w:spacing w:after="140"/>
      </w:pPr>
      <w:r>
        <w:rPr>
          <w:i/>
          <w:iCs/>
        </w:rPr>
        <w:t xml:space="preserve">Note: </w:t>
      </w:r>
      <w:r>
        <w:t xml:space="preserve">an order in two lanes at once (a partial shipment) will show two highlights — that is correct.</w:t>
      </w:r>
    </w:p>
    <w:p>
      <w:pPr>
        <w:pStyle w:val="Heading2"/>
      </w:pPr>
      <w:r>
        <w:t xml:space="preserve">5.2 Seeing every order in a status</w:t>
      </w:r>
    </w:p>
    <w:p>
      <w:pPr>
        <w:pStyle w:val="ListParagraph"/>
        <w:numPr>
          <w:ilvl w:val="0"/>
          <w:numId w:val="3"/>
        </w:numPr>
        <w:spacing w:after="80"/>
      </w:pPr>
      <w:r>
        <w:t xml:space="preserve">Click a lane’s title (or the “+N more — view all” line at the bottom of a lane).</w:t>
      </w:r>
    </w:p>
    <w:p>
      <w:pPr>
        <w:pStyle w:val="ListParagraph"/>
        <w:numPr>
          <w:ilvl w:val="0"/>
          <w:numId w:val="3"/>
        </w:numPr>
        <w:spacing w:after="80"/>
      </w:pPr>
      <w:r>
        <w:t xml:space="preserve">The lane expands in place to show every order in that status — scroll with the mouse wheel (no scrollbar is shown by design).</w:t>
      </w:r>
    </w:p>
    <w:p>
      <w:pPr>
        <w:pStyle w:val="ListParagraph"/>
        <w:numPr>
          <w:ilvl w:val="0"/>
          <w:numId w:val="3"/>
        </w:numPr>
        <w:spacing w:after="80"/>
      </w:pPr>
      <w:r>
        <w:t xml:space="preserve">Sort with the Age / Prog buttons in the lane header; click again to flip direction.</w:t>
      </w:r>
    </w:p>
    <w:p>
      <w:pPr>
        <w:pStyle w:val="ListParagraph"/>
        <w:numPr>
          <w:ilvl w:val="0"/>
          <w:numId w:val="3"/>
        </w:numPr>
        <w:spacing w:after="80"/>
      </w:pPr>
      <w:r>
        <w:t xml:space="preserve">Click “show less” (or the lane title) to collapse back to the ambient view.</w:t>
      </w:r>
    </w:p>
    <w:p>
      <w:pPr>
        <w:pStyle w:val="Heading2"/>
      </w:pPr>
      <w:r>
        <w:t xml:space="preserve">5.3 Acknowledging changes</w:t>
      </w:r>
    </w:p>
    <w:p>
      <w:pPr>
        <w:spacing w:after="140"/>
      </w:pPr>
      <w:r>
        <w:t xml:space="preserve">Cards that changed since the previous refresh glow in their lane color. Click a glowing card to acknowledge it (the glow clears for everyone looking at that screen); otherwise the set recomputes at the next refresh.</w:t>
      </w:r>
    </w:p>
    <w:p>
      <w:pPr>
        <w:pStyle w:val="Heading2"/>
      </w:pPr>
      <w:r>
        <w:t xml:space="preserve">5.4 The ticker</w:t>
      </w:r>
    </w:p>
    <w:p>
      <w:pPr>
        <w:pStyle w:val="ListParagraph"/>
        <w:numPr>
          <w:ilvl w:val="0"/>
          <w:numId w:val="2"/>
        </w:numPr>
        <w:spacing w:after="80"/>
      </w:pPr>
      <w:r>
        <w:t xml:space="preserve">Hover to pause it while reading.</w:t>
      </w:r>
    </w:p>
    <w:p>
      <w:pPr>
        <w:pStyle w:val="ListParagraph"/>
        <w:numPr>
          <w:ilvl w:val="0"/>
          <w:numId w:val="2"/>
        </w:numPr>
        <w:spacing w:after="80"/>
      </w:pPr>
      <w:r>
        <w:t xml:space="preserve">Click and drag left/right to rewind or advance the stream.</w:t>
      </w:r>
    </w:p>
    <w:p>
      <w:pPr>
        <w:pStyle w:val="ListParagraph"/>
        <w:numPr>
          <w:ilvl w:val="0"/>
          <w:numId w:val="2"/>
        </w:numPr>
        <w:spacing w:after="80"/>
      </w:pPr>
      <w:r>
        <w:t xml:space="preserve">Move the mouse away and it resumes on its own.</w:t>
      </w:r>
    </w:p>
    <w:p>
      <w:pPr>
        <w:pStyle w:val="Heading1"/>
      </w:pPr>
      <w:r>
        <w:t xml:space="preserve">6. Clarifications and Known Limits</w:t>
      </w:r>
    </w:p>
    <w:p>
      <w:pPr>
        <w:pStyle w:val="ListParagraph"/>
        <w:numPr>
          <w:ilvl w:val="0"/>
          <w:numId w:val="2"/>
        </w:numPr>
        <w:spacing w:after="80"/>
      </w:pPr>
      <w:r>
        <w:rPr>
          <w:b/>
          <w:bCs/>
        </w:rPr>
        <w:t xml:space="preserve">An order can be in Picking and Shipped simultaneously. </w:t>
      </w:r>
      <w:r>
        <w:t xml:space="preserve">That is a partial shipment: something left the dock, and open lines remain. The PART tag marks it.</w:t>
      </w:r>
    </w:p>
    <w:p>
      <w:pPr>
        <w:pStyle w:val="ListParagraph"/>
        <w:numPr>
          <w:ilvl w:val="0"/>
          <w:numId w:val="2"/>
        </w:numPr>
        <w:spacing w:after="80"/>
      </w:pPr>
      <w:r>
        <w:rPr>
          <w:b/>
          <w:bCs/>
        </w:rPr>
        <w:t xml:space="preserve">“Shipped 7d” is floor throughput, not company sales. </w:t>
      </w:r>
      <w:r>
        <w:t xml:space="preserve">Vendor drop-shipments are excluded on purpose; totals will read lower than an all-orders count.</w:t>
      </w:r>
    </w:p>
    <w:p>
      <w:pPr>
        <w:pStyle w:val="ListParagraph"/>
        <w:numPr>
          <w:ilvl w:val="0"/>
          <w:numId w:val="2"/>
        </w:numPr>
        <w:spacing w:after="80"/>
      </w:pPr>
      <w:r>
        <w:rPr>
          <w:b/>
          <w:bCs/>
        </w:rPr>
        <w:t xml:space="preserve">STOCK ✓ is as fresh as the inventory sync </w:t>
      </w:r>
      <w:r>
        <w:t xml:space="preserve">(three times a day on weekdays). Stock picked mid-morning may still show available until the noon sync. When exact availability matters, confirm in Fishbowl.</w:t>
      </w:r>
    </w:p>
    <w:p>
      <w:pPr>
        <w:pStyle w:val="ListParagraph"/>
        <w:numPr>
          <w:ilvl w:val="0"/>
          <w:numId w:val="2"/>
        </w:numPr>
        <w:spacing w:after="80"/>
      </w:pPr>
      <w:r>
        <w:rPr>
          <w:b/>
          <w:bCs/>
        </w:rPr>
        <w:t xml:space="preserve">Generic or placeholder part numbers weaken stock accuracy. </w:t>
      </w:r>
      <w:r>
        <w:t xml:space="preserve">Lines entered against catch-all part numbers cannot be matched to real inventory or POs and will usually read as short/no-PO. The fix is upstream discipline: enter real part numbers on SO lines.</w:t>
      </w:r>
    </w:p>
    <w:p>
      <w:pPr>
        <w:pStyle w:val="ListParagraph"/>
        <w:numPr>
          <w:ilvl w:val="0"/>
          <w:numId w:val="2"/>
        </w:numPr>
        <w:spacing w:after="80"/>
      </w:pPr>
      <w:r>
        <w:rPr>
          <w:b/>
          <w:bCs/>
        </w:rPr>
        <w:t xml:space="preserve">Aging uses the issue date, not the promised date. </w:t>
      </w:r>
      <w:r>
        <w:t xml:space="preserve">Scheduled dates in the current data are almost universally in the past and would flag everything (see §4.5).</w:t>
      </w:r>
    </w:p>
    <w:p>
      <w:pPr>
        <w:pStyle w:val="ListParagraph"/>
        <w:numPr>
          <w:ilvl w:val="0"/>
          <w:numId w:val="2"/>
        </w:numPr>
        <w:spacing w:after="80"/>
      </w:pPr>
      <w:r>
        <w:rPr>
          <w:b/>
          <w:bCs/>
        </w:rPr>
        <w:t xml:space="preserve">The board can lag Fishbowl by up to one sync cycle </w:t>
      </w:r>
      <w:r>
        <w:t xml:space="preserve">(15 minutes for orders and shipments). A shipment posted seconds ago may take one cycle to appear.</w:t>
      </w:r>
    </w:p>
    <w:p>
      <w:pPr>
        <w:pStyle w:val="ListParagraph"/>
        <w:numPr>
          <w:ilvl w:val="0"/>
          <w:numId w:val="2"/>
        </w:numPr>
        <w:spacing w:after="80"/>
      </w:pPr>
      <w:r>
        <w:rPr>
          <w:b/>
          <w:bCs/>
        </w:rPr>
        <w:t xml:space="preserve">Closed Short is not live work. </w:t>
      </w:r>
      <w:r>
        <w:t xml:space="preserve">It lists orders already closed incomplete in the last 30 days, for review and root-cause follow-up — which is why it lives in the rail, not the lanes.</w:t>
      </w:r>
    </w:p>
    <w:p>
      <w:pPr>
        <w:pStyle w:val="ListParagraph"/>
        <w:numPr>
          <w:ilvl w:val="0"/>
          <w:numId w:val="2"/>
        </w:numPr>
        <w:spacing w:after="80"/>
      </w:pPr>
      <w:r>
        <w:rPr>
          <w:b/>
          <w:bCs/>
        </w:rPr>
        <w:t xml:space="preserve">Clicking cards changes nothing in Fishbowl. </w:t>
      </w:r>
      <w:r>
        <w:t xml:space="preserve">The only thing a click does is clear a glow highlight on that screen.</w:t>
      </w:r>
    </w:p>
    <w:p>
      <w:pPr>
        <w:pStyle w:val="Heading1"/>
      </w:pPr>
      <w:r>
        <w:t xml:space="preserve">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C7D2DA" w:sz="1"/>
              <w:left w:val="single" w:color="C7D2DA" w:sz="1"/>
              <w:bottom w:val="single" w:color="C7D2DA" w:sz="1"/>
              <w:right w:val="single" w:color="C7D2DA" w:sz="1"/>
            </w:tcBorders>
            <w:shd w:fill="DDE8F2" w:val="clear"/>
            <w:tcMar>
              <w:top w:type="dxa" w:w="80"/>
              <w:left w:type="dxa" w:w="120"/>
              <w:bottom w:type="dxa" w:w="80"/>
              <w:right w:type="dxa" w:w="120"/>
            </w:tcMar>
          </w:tcPr>
          <w:p>
            <w:r>
              <w:rPr>
                <w:b/>
                <w:bCs/>
                <w:sz w:val="20"/>
                <w:szCs w:val="20"/>
              </w:rPr>
              <w:t xml:space="preserve">Symptom</w:t>
            </w:r>
          </w:p>
        </w:tc>
        <w:tc>
          <w:tcPr>
            <w:tcW w:type="dxa" w:w="6260"/>
            <w:tcBorders>
              <w:top w:val="single" w:color="C7D2DA" w:sz="1"/>
              <w:left w:val="single" w:color="C7D2DA" w:sz="1"/>
              <w:bottom w:val="single" w:color="C7D2DA" w:sz="1"/>
              <w:right w:val="single" w:color="C7D2DA" w:sz="1"/>
            </w:tcBorders>
            <w:shd w:fill="DDE8F2" w:val="clear"/>
            <w:tcMar>
              <w:top w:type="dxa" w:w="80"/>
              <w:left w:type="dxa" w:w="120"/>
              <w:bottom w:type="dxa" w:w="80"/>
              <w:right w:type="dxa" w:w="120"/>
            </w:tcMar>
          </w:tcPr>
          <w:p>
            <w:r>
              <w:rPr>
                <w:b/>
                <w:bCs/>
                <w:sz w:val="20"/>
                <w:szCs w:val="20"/>
              </w:rPr>
              <w:t xml:space="preserve">What to do</w:t>
            </w:r>
          </w:p>
        </w:tc>
      </w:tr>
      <w:tr>
        <w:tc>
          <w:tcPr>
            <w:tcW w:type="dxa" w:w="310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b/>
                <w:bCs/>
                <w:sz w:val="20"/>
                <w:szCs w:val="20"/>
              </w:rPr>
              <w:t xml:space="preserve">An order shipped today but is not on the board</w:t>
            </w:r>
          </w:p>
        </w:tc>
        <w:tc>
          <w:tcPr>
            <w:tcW w:type="dxa" w:w="626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sz w:val="20"/>
                <w:szCs w:val="20"/>
              </w:rPr>
              <w:t xml:space="preserve">Wait one sync cycle (up to 15 min). Then search the SO number — if it appears in Picking with a PART tag, part of it shipped and the rest is open. If it is absent entirely, check whether it is a drop-ship order (excluded by design).</w:t>
            </w:r>
          </w:p>
        </w:tc>
      </w:tr>
      <w:tr>
        <w:tc>
          <w:tcPr>
            <w:tcW w:type="dxa" w:w="310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b/>
                <w:bCs/>
                <w:sz w:val="20"/>
                <w:szCs w:val="20"/>
              </w:rPr>
              <w:t xml:space="preserve">An order is missing from a lane</w:t>
            </w:r>
          </w:p>
        </w:tc>
        <w:tc>
          <w:tcPr>
            <w:tcW w:type="dxa" w:w="626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sz w:val="20"/>
                <w:szCs w:val="20"/>
              </w:rPr>
              <w:t xml:space="preserve">Search it. If it is older than 90 days it lives in the expanded lane and Longest Waiting rail, not the collapsed lane. If it never appears, it may be drop-ship-only or not yet synced.</w:t>
            </w:r>
          </w:p>
        </w:tc>
      </w:tr>
      <w:tr>
        <w:tc>
          <w:tcPr>
            <w:tcW w:type="dxa" w:w="310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b/>
                <w:bCs/>
                <w:sz w:val="20"/>
                <w:szCs w:val="20"/>
              </w:rPr>
              <w:t xml:space="preserve">A sync pill is amber in business hours</w:t>
            </w:r>
          </w:p>
        </w:tc>
        <w:tc>
          <w:tcPr>
            <w:tcW w:type="dxa" w:w="626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sz w:val="20"/>
                <w:szCs w:val="20"/>
              </w:rPr>
              <w:t xml:space="preserve">The feed behind it is stale. Contact the Zeus admin — admins can also trigger a manual refresh (Inngest dashboard, or the sync API endpoints for shipments / purchase orders).</w:t>
            </w:r>
          </w:p>
        </w:tc>
      </w:tr>
      <w:tr>
        <w:tc>
          <w:tcPr>
            <w:tcW w:type="dxa" w:w="310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b/>
                <w:bCs/>
                <w:sz w:val="20"/>
                <w:szCs w:val="20"/>
              </w:rPr>
              <w:t xml:space="preserve">“Wallboard not configured”</w:t>
            </w:r>
          </w:p>
        </w:tc>
        <w:tc>
          <w:tcPr>
            <w:tcW w:type="dxa" w:w="626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sz w:val="20"/>
                <w:szCs w:val="20"/>
              </w:rPr>
              <w:t xml:space="preserve">The display password is not set in the server environment (WAREHOUSE_BOARD_PASSWORD). Contact the Zeus admin.</w:t>
            </w:r>
          </w:p>
        </w:tc>
      </w:tr>
      <w:tr>
        <w:tc>
          <w:tcPr>
            <w:tcW w:type="dxa" w:w="310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b/>
                <w:bCs/>
                <w:sz w:val="20"/>
                <w:szCs w:val="20"/>
              </w:rPr>
              <w:t xml:space="preserve">Password prompt reappeared</w:t>
            </w:r>
          </w:p>
        </w:tc>
        <w:tc>
          <w:tcPr>
            <w:tcW w:type="dxa" w:w="626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sz w:val="20"/>
                <w:szCs w:val="20"/>
              </w:rPr>
              <w:t xml:space="preserve">Either 90 days elapsed or the display password was rotated. Re-enter the current password.</w:t>
            </w:r>
          </w:p>
        </w:tc>
      </w:tr>
      <w:tr>
        <w:tc>
          <w:tcPr>
            <w:tcW w:type="dxa" w:w="310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b/>
                <w:bCs/>
                <w:sz w:val="20"/>
                <w:szCs w:val="20"/>
              </w:rPr>
              <w:t xml:space="preserve">Numbers look wrong for a specific order</w:t>
            </w:r>
          </w:p>
        </w:tc>
        <w:tc>
          <w:tcPr>
            <w:tcW w:type="dxa" w:w="6260"/>
            <w:tcBorders>
              <w:top w:val="single" w:color="C7D2DA" w:sz="1"/>
              <w:left w:val="single" w:color="C7D2DA" w:sz="1"/>
              <w:bottom w:val="single" w:color="C7D2DA" w:sz="1"/>
              <w:right w:val="single" w:color="C7D2DA" w:sz="1"/>
            </w:tcBorders>
            <w:tcMar>
              <w:top w:type="dxa" w:w="80"/>
              <w:left w:type="dxa" w:w="120"/>
              <w:bottom w:type="dxa" w:w="80"/>
              <w:right w:type="dxa" w:w="120"/>
            </w:tcMar>
          </w:tcPr>
          <w:p>
            <w:r>
              <w:rPr>
                <w:sz w:val="20"/>
                <w:szCs w:val="20"/>
              </w:rPr>
              <w:t xml:space="preserve">Fishbowl is the source of truth — verify there first. If Fishbowl and the board disagree after a sync cycle, report the SO number to the Zeus admin.</w:t>
            </w:r>
          </w:p>
        </w:tc>
      </w:tr>
    </w:tbl>
    <w:p>
      <w:pPr>
        <w:spacing w:after="160"/>
      </w:pPr>
    </w:p>
    <w:p>
      <w:pPr>
        <w:spacing w:after="140"/>
      </w:pPr>
      <w:r>
        <w:rPr>
          <w:i/>
          <w:iCs/>
        </w:rPr>
        <w:t xml:space="preserve">Administration note: </w:t>
      </w:r>
      <w:r>
        <w:t xml:space="preserve">sync schedules, cache tables, and manual trigger endpoints are documented for technical staff in the repository file </w:t>
      </w:r>
      <w:r>
        <w:rPr>
          <w:rFonts w:ascii="Consolas" w:cs="Consolas" w:eastAsia="Consolas" w:hAnsi="Consolas"/>
          <w:sz w:val="20"/>
          <w:szCs w:val="20"/>
        </w:rPr>
        <w:t xml:space="preserve">docs/warehouse-wallboard.md</w:t>
      </w:r>
      <w: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B7B88"/>
        <w:sz w:val="18"/>
        <w:szCs w:val="18"/>
      </w:rPr>
      <w:t xml:space="preserve">v1.0 · July 9, 2026</w:t>
    </w:r>
    <w:r>
      <w:rPr>
        <w:color w:val="6B7B88"/>
        <w:sz w:val="18"/>
        <w:szCs w:val="18"/>
      </w:rPr>
      <w:t xml:space="preserve">	Page </w:t>
    </w:r>
    <w:r>
      <w:rPr>
        <w:color w:val="6B7B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98D5" w:sz="4" w:space="4"/>
      </w:pBdr>
      <w:tabs>
        <w:tab w:val="right" w:pos="9026"/>
      </w:tabs>
    </w:pPr>
    <w:r>
      <w:rPr>
        <w:color w:val="6B7B88"/>
        <w:sz w:val="18"/>
        <w:szCs w:val="18"/>
      </w:rPr>
      <w:t xml:space="preserve">Medical Shipment · Zeus Operations</w:t>
    </w:r>
    <w:r>
      <w:rPr>
        <w:color w:val="6B7B88"/>
        <w:sz w:val="18"/>
        <w:szCs w:val="18"/>
      </w:rPr>
      <w:t xml:space="preserve">	Shipping Ops Wallboard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Calibri" w:cs="Calibri" w:eastAsia="Calibri" w:hAnsi="Calibri"/>
      <w:b/>
      <w:bCs/>
      <w:color w:val="1C3C6E"/>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A5A8C"/>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2026-07-10T00:20:46.698Z</dcterms:created>
  <dcterms:modified xsi:type="dcterms:W3CDTF">2026-07-10T00:20:46.699Z</dcterms:modified>
</cp:coreProperties>
</file>

<file path=docProps/custom.xml><?xml version="1.0" encoding="utf-8"?>
<Properties xmlns="http://schemas.openxmlformats.org/officeDocument/2006/custom-properties" xmlns:vt="http://schemas.openxmlformats.org/officeDocument/2006/docPropsVTypes"/>
</file>