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52" w:lineRule="auto"/>
        <w:jc w:val="left"/>
      </w:pPr>
      <w:r>
        <w:rPr>
          <w:rFonts w:ascii="Calibri" w:hAnsi="Calibri"/>
          <w:b/>
          <w:color w:val="0B2545"/>
          <w:sz w:val="36"/>
        </w:rPr>
        <w:t>New Business Cohort Classification Verification</w:t>
      </w:r>
    </w:p>
    <w:p>
      <w:pPr>
        <w:spacing w:before="0" w:after="160" w:line="252" w:lineRule="auto"/>
      </w:pPr>
      <w:r>
        <w:rPr>
          <w:rFonts w:ascii="Calibri" w:hAnsi="Calibri"/>
          <w:b w:val="0"/>
          <w:color w:val="4B5563"/>
          <w:sz w:val="20"/>
        </w:rPr>
        <w:t>Zeus / Prometheus Fishbowl Sales Order audit examples</w:t>
      </w:r>
    </w:p>
    <w:p>
      <w:pPr>
        <w:spacing w:before="0" w:after="80" w:line="252" w:lineRule="auto"/>
      </w:pPr>
      <w:r>
        <w:rPr>
          <w:rFonts w:ascii="Calibri" w:hAnsi="Calibri"/>
          <w:b/>
          <w:color w:val="7A5A00"/>
          <w:sz w:val="19"/>
        </w:rPr>
        <w:t>Context: the Fishbowl Sales Order cache currently has no June 2026 issued orders. These examples were sampled from May 2026, the latest available cached issued-order month at the time of verification.</w:t>
      </w:r>
    </w:p>
    <w:p>
      <w:pPr>
        <w:pStyle w:val="Heading1"/>
        <w:spacing w:before="0" w:after="80" w:line="252" w:lineRule="auto"/>
      </w:pPr>
      <w:r>
        <w:rPr>
          <w:rFonts w:ascii="Calibri" w:hAnsi="Calibri"/>
          <w:b/>
          <w:color w:val="2E74B5"/>
          <w:sz w:val="32"/>
        </w:rPr>
        <w:t>Methodology</w:t>
      </w:r>
    </w:p>
    <w:p>
      <w:pPr>
        <w:pStyle w:val="ListNumber"/>
        <w:spacing w:before="0" w:after="40" w:line="252" w:lineRule="auto"/>
      </w:pPr>
      <w:r>
        <w:rPr>
          <w:rFonts w:ascii="Calibri" w:hAnsi="Calibri"/>
          <w:b w:val="0"/>
          <w:color w:val="1F2937"/>
          <w:sz w:val="18"/>
        </w:rPr>
        <w:t>Use only issued Fishbowl Sales Orders where canonical_state = order.</w:t>
      </w:r>
    </w:p>
    <w:p>
      <w:pPr>
        <w:pStyle w:val="ListNumber"/>
        <w:spacing w:before="0" w:after="40" w:line="252" w:lineRule="auto"/>
      </w:pPr>
      <w:r>
        <w:rPr>
          <w:rFonts w:ascii="Calibri" w:hAnsi="Calibri"/>
          <w:b w:val="0"/>
          <w:color w:val="1F2937"/>
          <w:sz w:val="18"/>
        </w:rPr>
        <w:t>Use Zeus's business date: date_issued, then date_completed, then date_created.</w:t>
      </w:r>
    </w:p>
    <w:p>
      <w:pPr>
        <w:pStyle w:val="ListNumber"/>
        <w:spacing w:before="0" w:after="40" w:line="252" w:lineRule="auto"/>
      </w:pPr>
      <w:r>
        <w:rPr>
          <w:rFonts w:ascii="Calibri" w:hAnsi="Calibri"/>
          <w:b w:val="0"/>
          <w:color w:val="1F2937"/>
          <w:sz w:val="18"/>
        </w:rPr>
        <w:t>Group orders by Fishbowl customer_id, falling back to normalized customer_name when customer_id is unavailable.</w:t>
      </w:r>
    </w:p>
    <w:p>
      <w:pPr>
        <w:pStyle w:val="ListNumber"/>
        <w:spacing w:before="0" w:after="40" w:line="252" w:lineRule="auto"/>
      </w:pPr>
      <w:r>
        <w:rPr>
          <w:rFonts w:ascii="Calibri" w:hAnsi="Calibri"/>
          <w:b w:val="0"/>
          <w:color w:val="1F2937"/>
          <w:sz w:val="18"/>
        </w:rPr>
        <w:t>Sort each customer's issued orders oldest to newest.</w:t>
      </w:r>
    </w:p>
    <w:p>
      <w:pPr>
        <w:pStyle w:val="ListNumber"/>
        <w:spacing w:before="0" w:after="40" w:line="252" w:lineRule="auto"/>
      </w:pPr>
      <w:r>
        <w:rPr>
          <w:rFonts w:ascii="Calibri" w:hAnsi="Calibri"/>
          <w:b w:val="0"/>
          <w:color w:val="1F2937"/>
          <w:sz w:val="18"/>
        </w:rPr>
        <w:t>The first order starts a New Business cohort.</w:t>
      </w:r>
    </w:p>
    <w:p>
      <w:pPr>
        <w:pStyle w:val="ListNumber"/>
        <w:spacing w:before="0" w:after="40" w:line="252" w:lineRule="auto"/>
      </w:pPr>
      <w:r>
        <w:rPr>
          <w:rFonts w:ascii="Calibri" w:hAnsi="Calibri"/>
          <w:b w:val="0"/>
          <w:color w:val="1F2937"/>
          <w:sz w:val="18"/>
        </w:rPr>
        <w:t>If the prior issued order is more than 365 days earlier, the current order starts a fresh New Business cohort.</w:t>
      </w:r>
    </w:p>
    <w:p>
      <w:pPr>
        <w:pStyle w:val="ListNumber"/>
        <w:spacing w:before="0" w:after="40" w:line="252" w:lineRule="auto"/>
      </w:pPr>
      <w:r>
        <w:rPr>
          <w:rFonts w:ascii="Calibri" w:hAnsi="Calibri"/>
          <w:b w:val="0"/>
          <w:color w:val="1F2937"/>
          <w:sz w:val="18"/>
        </w:rPr>
        <w:t>If the current order falls inside the active cohort's first 365 days, classify it as New Business.</w:t>
      </w:r>
    </w:p>
    <w:p>
      <w:pPr>
        <w:pStyle w:val="ListNumber"/>
        <w:spacing w:before="0" w:after="40" w:line="252" w:lineRule="auto"/>
      </w:pPr>
      <w:r>
        <w:rPr>
          <w:rFonts w:ascii="Calibri" w:hAnsi="Calibri"/>
          <w:b w:val="0"/>
          <w:color w:val="1F2937"/>
          <w:sz w:val="18"/>
        </w:rPr>
        <w:t>If the current order is after the active 365-day cohort window and no new 365+ day gap exists, classify it as Recurring Business.</w:t>
      </w:r>
    </w:p>
    <w:p>
      <w:pPr>
        <w:pStyle w:val="ListNumber"/>
        <w:spacing w:before="0" w:after="40" w:line="252" w:lineRule="auto"/>
      </w:pPr>
      <w:r>
        <w:rPr>
          <w:rFonts w:ascii="Calibri" w:hAnsi="Calibri"/>
          <w:b w:val="0"/>
          <w:color w:val="1F2937"/>
          <w:sz w:val="18"/>
        </w:rPr>
        <w:t>Compare the recomputed result with the stored business_classification in fb_sales_orders.</w:t>
      </w:r>
    </w:p>
    <w:p>
      <w:pPr>
        <w:pStyle w:val="Heading1"/>
        <w:spacing w:before="0" w:after="80" w:line="252" w:lineRule="auto"/>
      </w:pPr>
      <w:r>
        <w:rPr>
          <w:rFonts w:ascii="Calibri" w:hAnsi="Calibri"/>
          <w:b/>
          <w:color w:val="2E74B5"/>
          <w:sz w:val="32"/>
        </w:rPr>
        <w:t>Verification Result</w:t>
      </w:r>
    </w:p>
    <w:p>
      <w:pPr>
        <w:spacing w:before="0" w:after="80" w:line="252" w:lineRule="auto"/>
      </w:pPr>
      <w:r>
        <w:rPr>
          <w:rFonts w:ascii="Calibri" w:hAnsi="Calibri"/>
          <w:b w:val="0"/>
          <w:color w:val="1F2937"/>
          <w:sz w:val="19"/>
        </w:rPr>
        <w:t>All 10 sampled Sales Orders matched the independently recomputed cohort-window classification. The 'Cohort Started By SO' column shows the Sales Order that opened the New Business cohort used for each row.</w:t>
      </w:r>
    </w:p>
    <w:p>
      <w:pPr>
        <w:pStyle w:val="Heading2"/>
        <w:spacing w:before="0" w:after="80" w:line="252" w:lineRule="auto"/>
      </w:pPr>
      <w:r>
        <w:rPr>
          <w:rFonts w:ascii="Calibri" w:hAnsi="Calibri"/>
          <w:b/>
          <w:color w:val="2E74B5"/>
          <w:sz w:val="26"/>
        </w:rPr>
        <w:t>Sample Set 1</w:t>
      </w:r>
    </w:p>
    <w:tbl>
      <w:tblPr>
        <w:tblStyle w:val="TableGrid"/>
        <w:tblW w:type="dxa" w:w="14300"/>
        <w:jc w:val="center"/>
        <w:tblLayout w:type="fixed"/>
        <w:tblLook w:firstColumn="1" w:firstRow="1" w:lastColumn="0" w:lastRow="0" w:noHBand="0" w:noVBand="1" w:val="04A0"/>
      </w:tblPr>
      <w:tblGrid>
        <w:gridCol w:w="900"/>
        <w:gridCol w:w="1900"/>
        <w:gridCol w:w="850"/>
        <w:gridCol w:w="800"/>
        <w:gridCol w:w="850"/>
        <w:gridCol w:w="950"/>
        <w:gridCol w:w="520"/>
        <w:gridCol w:w="1250"/>
        <w:gridCol w:w="850"/>
        <w:gridCol w:w="850"/>
        <w:gridCol w:w="4580"/>
      </w:tblGrid>
      <w:tr>
        <w:trPr>
          <w:tblHeader w:val="true"/>
        </w:trPr>
        <w:tc>
          <w:tcPr>
            <w:tcW w:type="dxa" w:w="9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0B2545"/>
                <w:sz w:val="15"/>
              </w:rPr>
              <w:t>SO #</w:t>
            </w:r>
          </w:p>
        </w:tc>
        <w:tc>
          <w:tcPr>
            <w:tcW w:type="dxa" w:w="19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0B2545"/>
                <w:sz w:val="15"/>
              </w:rPr>
              <w:t>Customer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0B2545"/>
                <w:sz w:val="15"/>
              </w:rPr>
              <w:t>SO Date</w:t>
            </w:r>
          </w:p>
        </w:tc>
        <w:tc>
          <w:tcPr>
            <w:tcW w:type="dxa" w:w="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0B2545"/>
                <w:sz w:val="15"/>
              </w:rPr>
              <w:t>Amount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0B2545"/>
                <w:sz w:val="15"/>
              </w:rPr>
              <w:t>Stored</w:t>
            </w:r>
          </w:p>
        </w:tc>
        <w:tc>
          <w:tcPr>
            <w:tcW w:type="dxa" w:w="9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0B2545"/>
                <w:sz w:val="15"/>
              </w:rPr>
              <w:t>Recomputed</w:t>
            </w:r>
          </w:p>
        </w:tc>
        <w:tc>
          <w:tcPr>
            <w:tcW w:type="dxa" w:w="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0B2545"/>
                <w:sz w:val="15"/>
              </w:rPr>
              <w:t>Match</w:t>
            </w:r>
          </w:p>
        </w:tc>
        <w:tc>
          <w:tcPr>
            <w:tcW w:type="dxa" w:w="12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0B2545"/>
                <w:sz w:val="15"/>
              </w:rPr>
              <w:t>Cohort Started By SO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0B2545"/>
                <w:sz w:val="15"/>
              </w:rPr>
              <w:t>Cohort Start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0B2545"/>
                <w:sz w:val="15"/>
              </w:rPr>
              <w:t>Cohort Expires</w:t>
            </w:r>
          </w:p>
        </w:tc>
        <w:tc>
          <w:tcPr>
            <w:tcW w:type="dxa" w:w="45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0B2545"/>
                <w:sz w:val="15"/>
              </w:rPr>
              <w:t>Reason</w:t>
            </w:r>
          </w:p>
        </w:tc>
      </w:tr>
      <w:tr>
        <w:tc>
          <w:tcPr>
            <w:tcW w:type="dxa" w:w="900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F2937"/>
                <w:sz w:val="14"/>
              </w:rPr>
              <w:t>137171</w:t>
            </w:r>
          </w:p>
        </w:tc>
        <w:tc>
          <w:tcPr>
            <w:tcW w:type="dxa" w:w="1900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4"/>
              </w:rPr>
              <w:t>Coastal Alabama Community College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4"/>
              </w:rPr>
              <w:t>May 21, 2026</w:t>
            </w:r>
          </w:p>
        </w:tc>
        <w:tc>
          <w:tcPr>
            <w:tcW w:type="dxa" w:w="800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4"/>
              </w:rPr>
              <w:t>$1,275.90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4"/>
              </w:rPr>
              <w:t>Recurring</w:t>
            </w:r>
          </w:p>
        </w:tc>
        <w:tc>
          <w:tcPr>
            <w:tcW w:type="dxa" w:w="950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4"/>
              </w:rPr>
              <w:t>Recurring</w:t>
            </w:r>
          </w:p>
        </w:tc>
        <w:tc>
          <w:tcPr>
            <w:tcW w:type="dxa" w:w="520"/>
            <w:shd w:fill="EAF7EE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5803D"/>
                <w:sz w:val="14"/>
              </w:rPr>
              <w:t>Yes</w:t>
            </w:r>
          </w:p>
        </w:tc>
        <w:tc>
          <w:tcPr>
            <w:tcW w:type="dxa" w:w="1250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4"/>
              </w:rPr>
              <w:t>123413-KIT-SAMPLE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4"/>
              </w:rPr>
              <w:t>Mar 26, 2024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4"/>
              </w:rPr>
              <w:t>Mar 26, 2025</w:t>
            </w:r>
          </w:p>
        </w:tc>
        <w:tc>
          <w:tcPr>
            <w:tcW w:type="dxa" w:w="4580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4"/>
              </w:rPr>
              <w:t>Current order is after the 365-day cohort window.</w:t>
            </w:r>
          </w:p>
        </w:tc>
      </w:tr>
      <w:tr>
        <w:tc>
          <w:tcPr>
            <w:tcW w:type="dxa" w:w="900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F2937"/>
                <w:sz w:val="14"/>
              </w:rPr>
              <w:t>136898-KIT</w:t>
            </w:r>
          </w:p>
        </w:tc>
        <w:tc>
          <w:tcPr>
            <w:tcW w:type="dxa" w:w="1900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4"/>
              </w:rPr>
              <w:t>Chabot College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4"/>
              </w:rPr>
              <w:t>May 18, 2026</w:t>
            </w:r>
          </w:p>
        </w:tc>
        <w:tc>
          <w:tcPr>
            <w:tcW w:type="dxa" w:w="800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4"/>
              </w:rPr>
              <w:t>$24,303.78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4"/>
              </w:rPr>
              <w:t>Recurring</w:t>
            </w:r>
          </w:p>
        </w:tc>
        <w:tc>
          <w:tcPr>
            <w:tcW w:type="dxa" w:w="950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4"/>
              </w:rPr>
              <w:t>Recurring</w:t>
            </w:r>
          </w:p>
        </w:tc>
        <w:tc>
          <w:tcPr>
            <w:tcW w:type="dxa" w:w="520"/>
            <w:shd w:fill="EAF7EE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5803D"/>
                <w:sz w:val="14"/>
              </w:rPr>
              <w:t>Yes</w:t>
            </w:r>
          </w:p>
        </w:tc>
        <w:tc>
          <w:tcPr>
            <w:tcW w:type="dxa" w:w="1250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4"/>
              </w:rPr>
              <w:t>101941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4"/>
              </w:rPr>
              <w:t>Jun 15, 2023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4"/>
              </w:rPr>
              <w:t>Jun 14, 2024</w:t>
            </w:r>
          </w:p>
        </w:tc>
        <w:tc>
          <w:tcPr>
            <w:tcW w:type="dxa" w:w="4580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4"/>
              </w:rPr>
              <w:t>Current order is after the 365-day cohort window.</w:t>
            </w:r>
          </w:p>
        </w:tc>
      </w:tr>
      <w:tr>
        <w:tc>
          <w:tcPr>
            <w:tcW w:type="dxa" w:w="900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F2937"/>
                <w:sz w:val="14"/>
              </w:rPr>
              <w:t>137634</w:t>
            </w:r>
          </w:p>
        </w:tc>
        <w:tc>
          <w:tcPr>
            <w:tcW w:type="dxa" w:w="1900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4"/>
              </w:rPr>
              <w:t>Porterville College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4"/>
              </w:rPr>
              <w:t>May 11, 2026</w:t>
            </w:r>
          </w:p>
        </w:tc>
        <w:tc>
          <w:tcPr>
            <w:tcW w:type="dxa" w:w="800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4"/>
              </w:rPr>
              <w:t>$257.20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4"/>
              </w:rPr>
              <w:t>Recurring</w:t>
            </w:r>
          </w:p>
        </w:tc>
        <w:tc>
          <w:tcPr>
            <w:tcW w:type="dxa" w:w="950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4"/>
              </w:rPr>
              <w:t>Recurring</w:t>
            </w:r>
          </w:p>
        </w:tc>
        <w:tc>
          <w:tcPr>
            <w:tcW w:type="dxa" w:w="520"/>
            <w:shd w:fill="EAF7EE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5803D"/>
                <w:sz w:val="14"/>
              </w:rPr>
              <w:t>Yes</w:t>
            </w:r>
          </w:p>
        </w:tc>
        <w:tc>
          <w:tcPr>
            <w:tcW w:type="dxa" w:w="1250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4"/>
              </w:rPr>
              <w:t>45616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4"/>
              </w:rPr>
              <w:t>Jun 11, 2020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4"/>
              </w:rPr>
              <w:t>Jun 11, 2021</w:t>
            </w:r>
          </w:p>
        </w:tc>
        <w:tc>
          <w:tcPr>
            <w:tcW w:type="dxa" w:w="4580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4"/>
              </w:rPr>
              <w:t>Current order is after the 365-day cohort window.</w:t>
            </w:r>
          </w:p>
        </w:tc>
      </w:tr>
      <w:tr>
        <w:tc>
          <w:tcPr>
            <w:tcW w:type="dxa" w:w="900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F2937"/>
                <w:sz w:val="14"/>
              </w:rPr>
              <w:t>137937</w:t>
            </w:r>
          </w:p>
        </w:tc>
        <w:tc>
          <w:tcPr>
            <w:tcW w:type="dxa" w:w="1900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4"/>
              </w:rPr>
              <w:t>Accounts Payable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4"/>
              </w:rPr>
              <w:t>May 5, 2026</w:t>
            </w:r>
          </w:p>
        </w:tc>
        <w:tc>
          <w:tcPr>
            <w:tcW w:type="dxa" w:w="800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4"/>
              </w:rPr>
              <w:t>$380.99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4"/>
              </w:rPr>
              <w:t>New Business</w:t>
            </w:r>
          </w:p>
        </w:tc>
        <w:tc>
          <w:tcPr>
            <w:tcW w:type="dxa" w:w="950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4"/>
              </w:rPr>
              <w:t>New Business</w:t>
            </w:r>
          </w:p>
        </w:tc>
        <w:tc>
          <w:tcPr>
            <w:tcW w:type="dxa" w:w="520"/>
            <w:shd w:fill="EAF7EE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5803D"/>
                <w:sz w:val="14"/>
              </w:rPr>
              <w:t>Yes</w:t>
            </w:r>
          </w:p>
        </w:tc>
        <w:tc>
          <w:tcPr>
            <w:tcW w:type="dxa" w:w="1250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4"/>
              </w:rPr>
              <w:t>137937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4"/>
              </w:rPr>
              <w:t>May 5, 2026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4"/>
              </w:rPr>
              <w:t>May 5, 2027</w:t>
            </w:r>
          </w:p>
        </w:tc>
        <w:tc>
          <w:tcPr>
            <w:tcW w:type="dxa" w:w="4580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4"/>
              </w:rPr>
              <w:t>No prior issued SO for this customer key; this order starts the cohort.</w:t>
            </w:r>
          </w:p>
        </w:tc>
      </w:tr>
      <w:tr>
        <w:tc>
          <w:tcPr>
            <w:tcW w:type="dxa" w:w="900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F2937"/>
                <w:sz w:val="14"/>
              </w:rPr>
              <w:t>137981</w:t>
            </w:r>
          </w:p>
        </w:tc>
        <w:tc>
          <w:tcPr>
            <w:tcW w:type="dxa" w:w="1900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4"/>
              </w:rPr>
              <w:t>Bellarmine University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4"/>
              </w:rPr>
              <w:t>May 5, 2026</w:t>
            </w:r>
          </w:p>
        </w:tc>
        <w:tc>
          <w:tcPr>
            <w:tcW w:type="dxa" w:w="800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4"/>
              </w:rPr>
              <w:t>$5,406.50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4"/>
              </w:rPr>
              <w:t>New Business</w:t>
            </w:r>
          </w:p>
        </w:tc>
        <w:tc>
          <w:tcPr>
            <w:tcW w:type="dxa" w:w="950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4"/>
              </w:rPr>
              <w:t>New Business</w:t>
            </w:r>
          </w:p>
        </w:tc>
        <w:tc>
          <w:tcPr>
            <w:tcW w:type="dxa" w:w="520"/>
            <w:shd w:fill="EAF7EE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5803D"/>
                <w:sz w:val="14"/>
              </w:rPr>
              <w:t>Yes</w:t>
            </w:r>
          </w:p>
        </w:tc>
        <w:tc>
          <w:tcPr>
            <w:tcW w:type="dxa" w:w="1250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4"/>
              </w:rPr>
              <w:t>133456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4"/>
              </w:rPr>
              <w:t>Aug 12, 2025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4"/>
              </w:rPr>
              <w:t>Aug 12, 2026</w:t>
            </w:r>
          </w:p>
        </w:tc>
        <w:tc>
          <w:tcPr>
            <w:tcW w:type="dxa" w:w="4580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4"/>
              </w:rPr>
              <w:t>Current order falls inside the active 365-day cohort window.</w:t>
            </w:r>
          </w:p>
        </w:tc>
      </w:tr>
    </w:tbl>
    <w:p/>
    <w:p>
      <w:pPr>
        <w:pStyle w:val="Heading2"/>
        <w:spacing w:before="0" w:after="80" w:line="252" w:lineRule="auto"/>
      </w:pPr>
      <w:r>
        <w:rPr>
          <w:rFonts w:ascii="Calibri" w:hAnsi="Calibri"/>
          <w:b/>
          <w:color w:val="2E74B5"/>
          <w:sz w:val="26"/>
        </w:rPr>
        <w:t>Sample Set 2</w:t>
      </w:r>
    </w:p>
    <w:tbl>
      <w:tblPr>
        <w:tblStyle w:val="TableGrid"/>
        <w:tblW w:type="dxa" w:w="14300"/>
        <w:jc w:val="center"/>
        <w:tblLayout w:type="fixed"/>
        <w:tblLook w:firstColumn="1" w:firstRow="1" w:lastColumn="0" w:lastRow="0" w:noHBand="0" w:noVBand="1" w:val="04A0"/>
      </w:tblPr>
      <w:tblGrid>
        <w:gridCol w:w="900"/>
        <w:gridCol w:w="1900"/>
        <w:gridCol w:w="850"/>
        <w:gridCol w:w="800"/>
        <w:gridCol w:w="850"/>
        <w:gridCol w:w="950"/>
        <w:gridCol w:w="520"/>
        <w:gridCol w:w="1250"/>
        <w:gridCol w:w="850"/>
        <w:gridCol w:w="850"/>
        <w:gridCol w:w="4580"/>
      </w:tblGrid>
      <w:tr>
        <w:trPr>
          <w:tblHeader w:val="true"/>
        </w:trPr>
        <w:tc>
          <w:tcPr>
            <w:tcW w:type="dxa" w:w="9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0B2545"/>
                <w:sz w:val="15"/>
              </w:rPr>
              <w:t>SO #</w:t>
            </w:r>
          </w:p>
        </w:tc>
        <w:tc>
          <w:tcPr>
            <w:tcW w:type="dxa" w:w="19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0B2545"/>
                <w:sz w:val="15"/>
              </w:rPr>
              <w:t>Customer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0B2545"/>
                <w:sz w:val="15"/>
              </w:rPr>
              <w:t>SO Date</w:t>
            </w:r>
          </w:p>
        </w:tc>
        <w:tc>
          <w:tcPr>
            <w:tcW w:type="dxa" w:w="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0B2545"/>
                <w:sz w:val="15"/>
              </w:rPr>
              <w:t>Amount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0B2545"/>
                <w:sz w:val="15"/>
              </w:rPr>
              <w:t>Stored</w:t>
            </w:r>
          </w:p>
        </w:tc>
        <w:tc>
          <w:tcPr>
            <w:tcW w:type="dxa" w:w="9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0B2545"/>
                <w:sz w:val="15"/>
              </w:rPr>
              <w:t>Recomputed</w:t>
            </w:r>
          </w:p>
        </w:tc>
        <w:tc>
          <w:tcPr>
            <w:tcW w:type="dxa" w:w="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0B2545"/>
                <w:sz w:val="15"/>
              </w:rPr>
              <w:t>Match</w:t>
            </w:r>
          </w:p>
        </w:tc>
        <w:tc>
          <w:tcPr>
            <w:tcW w:type="dxa" w:w="12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0B2545"/>
                <w:sz w:val="15"/>
              </w:rPr>
              <w:t>Cohort Started By SO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0B2545"/>
                <w:sz w:val="15"/>
              </w:rPr>
              <w:t>Cohort Start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0B2545"/>
                <w:sz w:val="15"/>
              </w:rPr>
              <w:t>Cohort Expires</w:t>
            </w:r>
          </w:p>
        </w:tc>
        <w:tc>
          <w:tcPr>
            <w:tcW w:type="dxa" w:w="45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0B2545"/>
                <w:sz w:val="15"/>
              </w:rPr>
              <w:t>Reason</w:t>
            </w:r>
          </w:p>
        </w:tc>
      </w:tr>
      <w:tr>
        <w:tc>
          <w:tcPr>
            <w:tcW w:type="dxa" w:w="900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F2937"/>
                <w:sz w:val="14"/>
              </w:rPr>
              <w:t>138176</w:t>
            </w:r>
          </w:p>
        </w:tc>
        <w:tc>
          <w:tcPr>
            <w:tcW w:type="dxa" w:w="1900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4"/>
              </w:rPr>
              <w:t>Creative Film Connections, Inc. (CA)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4"/>
              </w:rPr>
              <w:t>May 21, 2026</w:t>
            </w:r>
          </w:p>
        </w:tc>
        <w:tc>
          <w:tcPr>
            <w:tcW w:type="dxa" w:w="800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4"/>
              </w:rPr>
              <w:t>$124.97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4"/>
              </w:rPr>
              <w:t>New Business</w:t>
            </w:r>
          </w:p>
        </w:tc>
        <w:tc>
          <w:tcPr>
            <w:tcW w:type="dxa" w:w="950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4"/>
              </w:rPr>
              <w:t>New Business</w:t>
            </w:r>
          </w:p>
        </w:tc>
        <w:tc>
          <w:tcPr>
            <w:tcW w:type="dxa" w:w="520"/>
            <w:shd w:fill="EAF7EE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5803D"/>
                <w:sz w:val="14"/>
              </w:rPr>
              <w:t>Yes</w:t>
            </w:r>
          </w:p>
        </w:tc>
        <w:tc>
          <w:tcPr>
            <w:tcW w:type="dxa" w:w="1250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4"/>
              </w:rPr>
              <w:t>138176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4"/>
              </w:rPr>
              <w:t>May 21, 2026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4"/>
              </w:rPr>
              <w:t>May 21, 2027</w:t>
            </w:r>
          </w:p>
        </w:tc>
        <w:tc>
          <w:tcPr>
            <w:tcW w:type="dxa" w:w="4580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4"/>
              </w:rPr>
              <w:t>No prior issued SO for this customer key; this order starts the cohort.</w:t>
            </w:r>
          </w:p>
        </w:tc>
      </w:tr>
      <w:tr>
        <w:tc>
          <w:tcPr>
            <w:tcW w:type="dxa" w:w="900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F2937"/>
                <w:sz w:val="14"/>
              </w:rPr>
              <w:t>137289</w:t>
            </w:r>
          </w:p>
        </w:tc>
        <w:tc>
          <w:tcPr>
            <w:tcW w:type="dxa" w:w="1900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4"/>
              </w:rPr>
              <w:t>Texas Tech University HSC- Lubbock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4"/>
              </w:rPr>
              <w:t>May 12, 2026</w:t>
            </w:r>
          </w:p>
        </w:tc>
        <w:tc>
          <w:tcPr>
            <w:tcW w:type="dxa" w:w="800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4"/>
              </w:rPr>
              <w:t>$5,998.47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4"/>
              </w:rPr>
              <w:t>New Business</w:t>
            </w:r>
          </w:p>
        </w:tc>
        <w:tc>
          <w:tcPr>
            <w:tcW w:type="dxa" w:w="950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4"/>
              </w:rPr>
              <w:t>New Business</w:t>
            </w:r>
          </w:p>
        </w:tc>
        <w:tc>
          <w:tcPr>
            <w:tcW w:type="dxa" w:w="520"/>
            <w:shd w:fill="EAF7EE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5803D"/>
                <w:sz w:val="14"/>
              </w:rPr>
              <w:t>Yes</w:t>
            </w:r>
          </w:p>
        </w:tc>
        <w:tc>
          <w:tcPr>
            <w:tcW w:type="dxa" w:w="1250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4"/>
              </w:rPr>
              <w:t>137289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4"/>
              </w:rPr>
              <w:t>May 12, 2026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4"/>
              </w:rPr>
              <w:t>May 12, 2027</w:t>
            </w:r>
          </w:p>
        </w:tc>
        <w:tc>
          <w:tcPr>
            <w:tcW w:type="dxa" w:w="4580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4"/>
              </w:rPr>
              <w:t>Prior SO was Sep 10, 2024, creating a 365+ day gap; this order starts a fresh cohort.</w:t>
            </w:r>
          </w:p>
        </w:tc>
      </w:tr>
      <w:tr>
        <w:tc>
          <w:tcPr>
            <w:tcW w:type="dxa" w:w="900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F2937"/>
                <w:sz w:val="14"/>
              </w:rPr>
              <w:t>137773</w:t>
            </w:r>
          </w:p>
        </w:tc>
        <w:tc>
          <w:tcPr>
            <w:tcW w:type="dxa" w:w="1900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4"/>
              </w:rPr>
              <w:t>Gurnick Academy of Medical Arts Fresno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4"/>
              </w:rPr>
              <w:t>May 11, 2026</w:t>
            </w:r>
          </w:p>
        </w:tc>
        <w:tc>
          <w:tcPr>
            <w:tcW w:type="dxa" w:w="800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4"/>
              </w:rPr>
              <w:t>$1,819.08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4"/>
              </w:rPr>
              <w:t>Recurring</w:t>
            </w:r>
          </w:p>
        </w:tc>
        <w:tc>
          <w:tcPr>
            <w:tcW w:type="dxa" w:w="950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4"/>
              </w:rPr>
              <w:t>Recurring</w:t>
            </w:r>
          </w:p>
        </w:tc>
        <w:tc>
          <w:tcPr>
            <w:tcW w:type="dxa" w:w="520"/>
            <w:shd w:fill="EAF7EE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5803D"/>
                <w:sz w:val="14"/>
              </w:rPr>
              <w:t>Yes</w:t>
            </w:r>
          </w:p>
        </w:tc>
        <w:tc>
          <w:tcPr>
            <w:tcW w:type="dxa" w:w="1250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4"/>
              </w:rPr>
              <w:t>42413-CSK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4"/>
              </w:rPr>
              <w:t>Aug 9, 2019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4"/>
              </w:rPr>
              <w:t>Aug 8, 2020</w:t>
            </w:r>
          </w:p>
        </w:tc>
        <w:tc>
          <w:tcPr>
            <w:tcW w:type="dxa" w:w="4580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4"/>
              </w:rPr>
              <w:t>Current order is after the original cohort window and customer continued ordering.</w:t>
            </w:r>
          </w:p>
        </w:tc>
      </w:tr>
      <w:tr>
        <w:tc>
          <w:tcPr>
            <w:tcW w:type="dxa" w:w="900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F2937"/>
                <w:sz w:val="14"/>
              </w:rPr>
              <w:t>137566</w:t>
            </w:r>
          </w:p>
        </w:tc>
        <w:tc>
          <w:tcPr>
            <w:tcW w:type="dxa" w:w="1900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4"/>
              </w:rPr>
              <w:t>Jacksonville University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4"/>
              </w:rPr>
              <w:t>May 11, 2026</w:t>
            </w:r>
          </w:p>
        </w:tc>
        <w:tc>
          <w:tcPr>
            <w:tcW w:type="dxa" w:w="800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4"/>
              </w:rPr>
              <w:t>$823.94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4"/>
              </w:rPr>
              <w:t>Recurring</w:t>
            </w:r>
          </w:p>
        </w:tc>
        <w:tc>
          <w:tcPr>
            <w:tcW w:type="dxa" w:w="950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4"/>
              </w:rPr>
              <w:t>Recurring</w:t>
            </w:r>
          </w:p>
        </w:tc>
        <w:tc>
          <w:tcPr>
            <w:tcW w:type="dxa" w:w="520"/>
            <w:shd w:fill="EAF7EE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5803D"/>
                <w:sz w:val="14"/>
              </w:rPr>
              <w:t>Yes</w:t>
            </w:r>
          </w:p>
        </w:tc>
        <w:tc>
          <w:tcPr>
            <w:tcW w:type="dxa" w:w="1250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4"/>
              </w:rPr>
              <w:t>102187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4"/>
              </w:rPr>
              <w:t>May 15, 2023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4"/>
              </w:rPr>
              <w:t>May 14, 2024</w:t>
            </w:r>
          </w:p>
        </w:tc>
        <w:tc>
          <w:tcPr>
            <w:tcW w:type="dxa" w:w="4580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4"/>
              </w:rPr>
              <w:t>Current order is after the 365-day cohort window.</w:t>
            </w:r>
          </w:p>
        </w:tc>
      </w:tr>
      <w:tr>
        <w:tc>
          <w:tcPr>
            <w:tcW w:type="dxa" w:w="900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F2937"/>
                <w:sz w:val="14"/>
              </w:rPr>
              <w:t>137029</w:t>
            </w:r>
          </w:p>
        </w:tc>
        <w:tc>
          <w:tcPr>
            <w:tcW w:type="dxa" w:w="1900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4"/>
              </w:rPr>
              <w:t>Wayne County Career Technical Center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4"/>
              </w:rPr>
              <w:t>May 5, 2026</w:t>
            </w:r>
          </w:p>
        </w:tc>
        <w:tc>
          <w:tcPr>
            <w:tcW w:type="dxa" w:w="800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4"/>
              </w:rPr>
              <w:t>$8,044.99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4"/>
              </w:rPr>
              <w:t>New Business</w:t>
            </w:r>
          </w:p>
        </w:tc>
        <w:tc>
          <w:tcPr>
            <w:tcW w:type="dxa" w:w="950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4"/>
              </w:rPr>
              <w:t>New Business</w:t>
            </w:r>
          </w:p>
        </w:tc>
        <w:tc>
          <w:tcPr>
            <w:tcW w:type="dxa" w:w="520"/>
            <w:shd w:fill="EAF7EE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5803D"/>
                <w:sz w:val="14"/>
              </w:rPr>
              <w:t>Yes</w:t>
            </w:r>
          </w:p>
        </w:tc>
        <w:tc>
          <w:tcPr>
            <w:tcW w:type="dxa" w:w="1250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4"/>
              </w:rPr>
              <w:t>137029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4"/>
              </w:rPr>
              <w:t>May 5, 2026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4"/>
              </w:rPr>
              <w:t>May 5, 2027</w:t>
            </w:r>
          </w:p>
        </w:tc>
        <w:tc>
          <w:tcPr>
            <w:tcW w:type="dxa" w:w="4580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4"/>
              </w:rPr>
              <w:t>No prior issued SO for this customer key; this order starts the cohort.</w:t>
            </w:r>
          </w:p>
        </w:tc>
      </w:tr>
    </w:tbl>
    <w:p/>
    <w:p>
      <w:pPr>
        <w:pStyle w:val="Heading1"/>
        <w:spacing w:before="0" w:after="80" w:line="252" w:lineRule="auto"/>
      </w:pPr>
      <w:r>
        <w:rPr>
          <w:rFonts w:ascii="Calibri" w:hAnsi="Calibri"/>
          <w:b/>
          <w:color w:val="2E74B5"/>
          <w:sz w:val="32"/>
        </w:rPr>
        <w:t>Notes</w:t>
      </w:r>
    </w:p>
    <w:p>
      <w:pPr>
        <w:pStyle w:val="ListBullet"/>
        <w:spacing w:before="0" w:after="60" w:line="252" w:lineRule="auto"/>
      </w:pPr>
      <w:r>
        <w:rPr>
          <w:rFonts w:ascii="Calibri" w:hAnsi="Calibri"/>
          <w:b w:val="0"/>
          <w:color w:val="1F2937"/>
          <w:sz w:val="18"/>
        </w:rPr>
        <w:t>Customer identity quality matters. Generic Fishbowl customer names, such as billing-only labels, can produce technically correct but analytically questionable classifications unless customer IDs or overrides are available.</w:t>
      </w:r>
    </w:p>
    <w:p>
      <w:pPr>
        <w:pStyle w:val="ListBullet"/>
        <w:spacing w:before="0" w:after="60" w:line="252" w:lineRule="auto"/>
      </w:pPr>
      <w:r>
        <w:rPr>
          <w:rFonts w:ascii="Calibri" w:hAnsi="Calibri"/>
          <w:b w:val="0"/>
          <w:color w:val="1F2937"/>
          <w:sz w:val="18"/>
        </w:rPr>
        <w:t>The charts consume the stored fb_sales_orders.business_classification field. After the cohort-window migration, chart values reflect this same cohort method.</w:t>
      </w:r>
    </w:p>
    <w:p>
      <w:pPr>
        <w:pStyle w:val="ListBullet"/>
        <w:spacing w:before="0" w:after="60" w:line="252" w:lineRule="auto"/>
      </w:pPr>
      <w:r>
        <w:rPr>
          <w:rFonts w:ascii="Calibri" w:hAnsi="Calibri"/>
          <w:b w:val="0"/>
          <w:color w:val="1F2937"/>
          <w:sz w:val="18"/>
        </w:rPr>
        <w:t>Freshness remains separate from classification. If P7 incremental polling misses newer Fishbowl pages, the classification can be correct for cached rows while the dashboard remains stale.</w:t>
      </w:r>
    </w:p>
    <w:sectPr w:rsidR="00FC693F" w:rsidRPr="0006063C" w:rsidSect="00034616">
      <w:footerReference w:type="default" r:id="rId9"/>
      <w:pgSz w:w="15840" w:h="12240" w:orient="landscape"/>
      <w:pgMar w:top="792" w:right="648" w:bottom="792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color w:val="6B7280"/>
        <w:sz w:val="16"/>
      </w:rPr>
      <w:t>Generated for Zeus / Prometheus verification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