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1C3C6E"/>
          <w:sz w:val="56"/>
          <w:szCs w:val="56"/>
        </w:rPr>
        <w:t xml:space="preserve">Zeus Packaging Estimator</w:t>
      </w:r>
    </w:p>
    <w:p>
      <w:pPr>
        <w:spacing w:after="80"/>
      </w:pPr>
      <w:r>
        <w:rPr>
          <w:color w:val="1E98D5"/>
          <w:sz w:val="26"/>
          <w:szCs w:val="26"/>
        </w:rPr>
        <w:t xml:space="preserve">How to build a shipping estimate for any quote in under two minutes</w:t>
      </w:r>
    </w:p>
    <w:p>
      <w:pPr>
        <w:pBdr>
          <w:bottom w:val="single" w:color="0FA62C" w:sz="8" w:space="8"/>
        </w:pBdr>
        <w:spacing w:after="400"/>
      </w:pPr>
      <w:r>
        <w:rPr>
          <w:color w:val="576671"/>
          <w:sz w:val="20"/>
          <w:szCs w:val="20"/>
        </w:rPr>
        <w:t xml:space="preserve">For: Quotes Representative   •   Location: Zeus → Estimator (left sidebar)   •   July 2026</w:t>
      </w:r>
    </w:p>
    <w:p>
      <w:pPr>
        <w:spacing w:after="140"/>
      </w:pPr>
      <w:r>
        <w:rPr>
          <w:color w:val="576671"/>
          <w:sz w:val="22"/>
          <w:szCs w:val="22"/>
        </w:rPr>
        <w:t xml:space="preserve">The Packaging Estimator turns a Fishbowl Sales Order into a complete shipping estimate: which boxes to use, what each box weighs (actual, dimensional, and billable), and whether the shipment should go FedEx Ground or LTL freight. You no longer need to wait for Dan to work out packaging by hand — the estimator does the math, and you take the numbers straight to the carrier portal.</w:t>
      </w:r>
    </w:p>
    <w:p>
      <w:pPr>
        <w:pStyle w:val="Heading1"/>
      </w:pPr>
      <w:r>
        <w:t xml:space="preserve">Quick Start</w:t>
      </w:r>
    </w:p>
    <w:p>
      <w:pPr>
        <w:pStyle w:val="ListParagraph"/>
        <w:numPr>
          <w:ilvl w:val="0"/>
          <w:numId w:val="2"/>
        </w:numPr>
        <w:spacing w:after="100"/>
      </w:pPr>
      <w:r>
        <w:rPr>
          <w:b/>
          <w:bCs/>
          <w:color w:val="1C3C6E"/>
          <w:sz w:val="22"/>
          <w:szCs w:val="22"/>
        </w:rPr>
        <w:t xml:space="preserve">Open the page</w:t>
      </w:r>
      <w:r>
        <w:rPr>
          <w:color w:val="576671"/>
          <w:sz w:val="22"/>
          <w:szCs w:val="22"/>
        </w:rPr>
        <w:t xml:space="preserve"> — open Zeus and click Estimator in the left sidebar.</w:t>
      </w:r>
    </w:p>
    <w:p>
      <w:pPr>
        <w:pStyle w:val="ListParagraph"/>
        <w:numPr>
          <w:ilvl w:val="0"/>
          <w:numId w:val="2"/>
        </w:numPr>
        <w:spacing w:after="100"/>
      </w:pPr>
      <w:r>
        <w:rPr>
          <w:b/>
          <w:bCs/>
          <w:color w:val="1C3C6E"/>
          <w:sz w:val="22"/>
          <w:szCs w:val="22"/>
        </w:rPr>
        <w:t xml:space="preserve">Paste the SO number</w:t>
      </w:r>
      <w:r>
        <w:rPr>
          <w:color w:val="576671"/>
          <w:sz w:val="22"/>
          <w:szCs w:val="22"/>
        </w:rPr>
        <w:t xml:space="preserve"> — paste the Fishbowl Sales Order number into the big box and click Fetch line items. (Quotes live in Fishbowl as Sales Orders — use that SO number.)</w:t>
      </w:r>
    </w:p>
    <w:p>
      <w:pPr>
        <w:pStyle w:val="ListParagraph"/>
        <w:numPr>
          <w:ilvl w:val="0"/>
          <w:numId w:val="2"/>
        </w:numPr>
        <w:spacing w:after="100"/>
      </w:pPr>
      <w:r>
        <w:rPr>
          <w:b/>
          <w:bCs/>
          <w:color w:val="1C3C6E"/>
          <w:sz w:val="22"/>
          <w:szCs w:val="22"/>
        </w:rPr>
        <w:t xml:space="preserve">Confirm unverified items</w:t>
      </w:r>
      <w:r>
        <w:rPr>
          <w:color w:val="576671"/>
          <w:sz w:val="22"/>
          <w:szCs w:val="22"/>
        </w:rPr>
        <w:t xml:space="preserve"> — any line marked "Missing dims" or "Fishbowl — untrusted" should be confirmed. Click Confirm dims, check the numbers, save. Each SKU is asked only once — ever.</w:t>
      </w:r>
    </w:p>
    <w:p>
      <w:pPr>
        <w:pStyle w:val="ListParagraph"/>
        <w:numPr>
          <w:ilvl w:val="0"/>
          <w:numId w:val="2"/>
        </w:numPr>
        <w:spacing w:after="100"/>
      </w:pPr>
      <w:r>
        <w:rPr>
          <w:b/>
          <w:bCs/>
          <w:color w:val="1C3C6E"/>
          <w:sz w:val="22"/>
          <w:szCs w:val="22"/>
        </w:rPr>
        <w:t xml:space="preserve">Generate</w:t>
      </w:r>
      <w:r>
        <w:rPr>
          <w:color w:val="576671"/>
          <w:sz w:val="22"/>
          <w:szCs w:val="22"/>
        </w:rPr>
        <w:t xml:space="preserve"> — click the green Generate estimate button.</w:t>
      </w:r>
    </w:p>
    <w:p>
      <w:pPr>
        <w:pStyle w:val="ListParagraph"/>
        <w:numPr>
          <w:ilvl w:val="0"/>
          <w:numId w:val="2"/>
        </w:numPr>
        <w:spacing w:after="100"/>
      </w:pPr>
      <w:r>
        <w:rPr>
          <w:b/>
          <w:bCs/>
          <w:color w:val="1C3C6E"/>
          <w:sz w:val="22"/>
          <w:szCs w:val="22"/>
        </w:rPr>
        <w:t xml:space="preserve">Copy and quote</w:t>
      </w:r>
      <w:r>
        <w:rPr>
          <w:color w:val="576671"/>
          <w:sz w:val="22"/>
          <w:szCs w:val="22"/>
        </w:rPr>
        <w:t xml:space="preserve"> — click Copy for carrier portal and paste the numbers into the FedEx Ground portal (parcel) or the TForce / FedEx Freight portal (LTL), whichever the estimator recommends.</w:t>
      </w:r>
    </w:p>
    <w:p>
      <w:pPr>
        <w:pStyle w:val="Heading1"/>
      </w:pPr>
      <w:r>
        <w:t xml:space="preserve">Step-by-Step</w:t>
      </w:r>
    </w:p>
    <w:p>
      <w:pPr>
        <w:pStyle w:val="Heading2"/>
      </w:pPr>
      <w:r>
        <w:t xml:space="preserve">1. Fetch the Sales Order</w:t>
      </w:r>
    </w:p>
    <w:p>
      <w:pPr>
        <w:spacing w:after="140"/>
      </w:pPr>
      <w:r>
        <w:rPr>
          <w:color w:val="576671"/>
          <w:sz w:val="22"/>
          <w:szCs w:val="22"/>
        </w:rPr>
        <w:t xml:space="preserve">Type or paste the SO number exactly as it appears in Fishbowl and press Enter. The estimator pulls every line on the order and automatically drops non-physical lines — shipping charges, discounts, subtotals, notes, and tax never count as boxes.</w:t>
      </w:r>
    </w:p>
    <w:p>
      <w:pPr>
        <w:spacing w:after="140"/>
      </w:pPr>
      <w:r>
        <w:rPr>
          <w:color w:val="576671"/>
          <w:sz w:val="22"/>
          <w:szCs w:val="22"/>
        </w:rPr>
        <w:t xml:space="preserve">If the order cannot be found, double-check the number in Fishbowl. Quotes exist as Sales Orders; confirmed sales are Sales Orders with an "Issued" status — both work here.</w:t>
      </w:r>
    </w:p>
    <w:p>
      <w:pPr>
        <w:pStyle w:val="Heading2"/>
      </w:pPr>
      <w:r>
        <w:t xml:space="preserve">2. Read the trust badges</w:t>
      </w:r>
    </w:p>
    <w:p>
      <w:pPr>
        <w:spacing w:after="140"/>
      </w:pPr>
      <w:r>
        <w:rPr>
          <w:color w:val="576671"/>
          <w:sz w:val="22"/>
          <w:szCs w:val="22"/>
        </w:rPr>
        <w:t xml:space="preserve">Every line item shows where its dimensions came from. Fishbowl dimensions are unreliable, so the estimator treats them as advisory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6DEE3" w:sz="1"/>
              <w:left w:val="single" w:color="D6DEE3" w:sz="1"/>
              <w:bottom w:val="single" w:color="D6DEE3" w:sz="1"/>
              <w:right w:val="single" w:color="D6DEE3" w:sz="1"/>
            </w:tcBorders>
            <w:shd w:fill="1C3C6E" w:val="clear"/>
            <w:tcMar>
              <w:top w:type="dxa" w:w="100"/>
              <w:left w:type="dxa" w:w="140"/>
              <w:bottom w:type="dxa" w:w="100"/>
              <w:right w:type="dxa" w:w="140"/>
            </w:tcMar>
          </w:tcPr>
          <w:p>
            <w:r>
              <w:rPr>
                <w:b/>
                <w:bCs/>
                <w:color w:val="FFFFFF"/>
                <w:sz w:val="20"/>
                <w:szCs w:val="20"/>
              </w:rPr>
              <w:t xml:space="preserve">Badge</w:t>
            </w:r>
          </w:p>
        </w:tc>
        <w:tc>
          <w:tcPr>
            <w:tcW w:type="dxa" w:w="6760"/>
            <w:tcBorders>
              <w:top w:val="single" w:color="D6DEE3" w:sz="1"/>
              <w:left w:val="single" w:color="D6DEE3" w:sz="1"/>
              <w:bottom w:val="single" w:color="D6DEE3" w:sz="1"/>
              <w:right w:val="single" w:color="D6DEE3" w:sz="1"/>
            </w:tcBorders>
            <w:shd w:fill="1C3C6E" w:val="clear"/>
            <w:tcMar>
              <w:top w:type="dxa" w:w="100"/>
              <w:left w:type="dxa" w:w="140"/>
              <w:bottom w:type="dxa" w:w="100"/>
              <w:right w:type="dxa" w:w="140"/>
            </w:tcMar>
          </w:tcPr>
          <w:p>
            <w:r>
              <w:rPr>
                <w:b/>
                <w:bCs/>
                <w:color w:val="FFFFFF"/>
                <w:sz w:val="20"/>
                <w:szCs w:val="20"/>
              </w:rPr>
              <w:t xml:space="preserve">What it means</w:t>
            </w:r>
          </w:p>
        </w:tc>
      </w:tr>
      <w:tr>
        <w:tc>
          <w:tcPr>
            <w:tcW w:type="dxa" w:w="2600"/>
            <w:tcBorders>
              <w:top w:val="single" w:color="D6DEE3" w:sz="1"/>
              <w:left w:val="single" w:color="D6DEE3" w:sz="1"/>
              <w:bottom w:val="single" w:color="D6DEE3" w:sz="1"/>
              <w:right w:val="single" w:color="D6DEE3" w:sz="1"/>
            </w:tcBorders>
            <w:tcMar>
              <w:top w:type="dxa" w:w="100"/>
              <w:left w:type="dxa" w:w="140"/>
              <w:bottom w:type="dxa" w:w="100"/>
              <w:right w:type="dxa" w:w="140"/>
            </w:tcMar>
          </w:tcPr>
          <w:p>
            <w:r>
              <w:rPr>
                <w:b/>
                <w:bCs/>
                <w:color w:val="0FA62C"/>
                <w:sz w:val="20"/>
                <w:szCs w:val="20"/>
              </w:rPr>
              <w:t xml:space="preserve">Verified</w:t>
            </w:r>
          </w:p>
        </w:tc>
        <w:tc>
          <w:tcPr>
            <w:tcW w:type="dxa" w:w="6760"/>
            <w:tcBorders>
              <w:top w:val="single" w:color="D6DEE3" w:sz="1"/>
              <w:left w:val="single" w:color="D6DEE3" w:sz="1"/>
              <w:bottom w:val="single" w:color="D6DEE3" w:sz="1"/>
              <w:right w:val="single" w:color="D6DEE3" w:sz="1"/>
            </w:tcBorders>
            <w:tcMar>
              <w:top w:type="dxa" w:w="100"/>
              <w:left w:type="dxa" w:w="140"/>
              <w:bottom w:type="dxa" w:w="100"/>
              <w:right w:type="dxa" w:w="140"/>
            </w:tcMar>
          </w:tcPr>
          <w:p>
            <w:r>
              <w:rPr>
                <w:color w:val="576671"/>
                <w:sz w:val="20"/>
                <w:szCs w:val="20"/>
              </w:rPr>
              <w:t xml:space="preserve">Dimensions were confirmed by a person. Fully trusted — nothing to do.</w:t>
            </w:r>
          </w:p>
        </w:tc>
      </w:tr>
      <w:tr>
        <w:tc>
          <w:tcPr>
            <w:tcW w:type="dxa" w:w="2600"/>
            <w:tcBorders>
              <w:top w:val="single" w:color="D6DEE3" w:sz="1"/>
              <w:left w:val="single" w:color="D6DEE3" w:sz="1"/>
              <w:bottom w:val="single" w:color="D6DEE3" w:sz="1"/>
              <w:right w:val="single" w:color="D6DEE3" w:sz="1"/>
            </w:tcBorders>
            <w:tcMar>
              <w:top w:type="dxa" w:w="100"/>
              <w:left w:type="dxa" w:w="140"/>
              <w:bottom w:type="dxa" w:w="100"/>
              <w:right w:type="dxa" w:w="140"/>
            </w:tcMar>
          </w:tcPr>
          <w:p>
            <w:r>
              <w:rPr>
                <w:b/>
                <w:bCs/>
                <w:color w:val="E89C0C"/>
                <w:sz w:val="20"/>
                <w:szCs w:val="20"/>
              </w:rPr>
              <w:t xml:space="preserve">Fishbowl — untrusted</w:t>
            </w:r>
          </w:p>
        </w:tc>
        <w:tc>
          <w:tcPr>
            <w:tcW w:type="dxa" w:w="6760"/>
            <w:tcBorders>
              <w:top w:val="single" w:color="D6DEE3" w:sz="1"/>
              <w:left w:val="single" w:color="D6DEE3" w:sz="1"/>
              <w:bottom w:val="single" w:color="D6DEE3" w:sz="1"/>
              <w:right w:val="single" w:color="D6DEE3" w:sz="1"/>
            </w:tcBorders>
            <w:tcMar>
              <w:top w:type="dxa" w:w="100"/>
              <w:left w:type="dxa" w:w="140"/>
              <w:bottom w:type="dxa" w:w="100"/>
              <w:right w:type="dxa" w:w="140"/>
            </w:tcMar>
          </w:tcPr>
          <w:p>
            <w:r>
              <w:rPr>
                <w:color w:val="576671"/>
                <w:sz w:val="20"/>
                <w:szCs w:val="20"/>
              </w:rPr>
              <w:t xml:space="preserve">Fishbowl has dimensions, but nobody has verified them. The estimate will use them, but confidence drops. Confirm when you have a minute.</w:t>
            </w:r>
          </w:p>
        </w:tc>
      </w:tr>
      <w:tr>
        <w:tc>
          <w:tcPr>
            <w:tcW w:type="dxa" w:w="2600"/>
            <w:tcBorders>
              <w:top w:val="single" w:color="D6DEE3" w:sz="1"/>
              <w:left w:val="single" w:color="D6DEE3" w:sz="1"/>
              <w:bottom w:val="single" w:color="D6DEE3" w:sz="1"/>
              <w:right w:val="single" w:color="D6DEE3" w:sz="1"/>
            </w:tcBorders>
            <w:tcMar>
              <w:top w:type="dxa" w:w="100"/>
              <w:left w:type="dxa" w:w="140"/>
              <w:bottom w:type="dxa" w:w="100"/>
              <w:right w:type="dxa" w:w="140"/>
            </w:tcMar>
          </w:tcPr>
          <w:p>
            <w:r>
              <w:rPr>
                <w:b/>
                <w:bCs/>
                <w:color w:val="A0007E"/>
                <w:sz w:val="20"/>
                <w:szCs w:val="20"/>
              </w:rPr>
              <w:t xml:space="preserve">Missing dims</w:t>
            </w:r>
          </w:p>
        </w:tc>
        <w:tc>
          <w:tcPr>
            <w:tcW w:type="dxa" w:w="6760"/>
            <w:tcBorders>
              <w:top w:val="single" w:color="D6DEE3" w:sz="1"/>
              <w:left w:val="single" w:color="D6DEE3" w:sz="1"/>
              <w:bottom w:val="single" w:color="D6DEE3" w:sz="1"/>
              <w:right w:val="single" w:color="D6DEE3" w:sz="1"/>
            </w:tcBorders>
            <w:tcMar>
              <w:top w:type="dxa" w:w="100"/>
              <w:left w:type="dxa" w:w="140"/>
              <w:bottom w:type="dxa" w:w="100"/>
              <w:right w:type="dxa" w:w="140"/>
            </w:tcMar>
          </w:tcPr>
          <w:p>
            <w:r>
              <w:rPr>
                <w:color w:val="576671"/>
                <w:sz w:val="20"/>
                <w:szCs w:val="20"/>
              </w:rPr>
              <w:t xml:space="preserve">No usable dimensions anywhere. The engine substitutes a conservative placeholder box, which inflates the estimate. Confirm these first — they hurt accuracy the most.</w:t>
            </w:r>
          </w:p>
        </w:tc>
      </w:tr>
    </w:tbl>
    <w:p>
      <w:pPr>
        <w:spacing w:after="140"/>
      </w:pPr>
    </w:p>
    <w:p>
      <w:pPr>
        <w:spacing w:after="140"/>
      </w:pPr>
      <w:r>
        <w:rPr>
          <w:color w:val="576671"/>
          <w:sz w:val="22"/>
          <w:szCs w:val="22"/>
        </w:rPr>
        <w:t xml:space="preserve">The confidence meter next to the SO header shows what share of the shipment’s volume is backed by verified dimensions. Below 70%, a yellow banner will tell you to escalate to Dan or verify the remaining items before quoting.</w:t>
      </w:r>
    </w:p>
    <w:p>
      <w:pPr>
        <w:pStyle w:val="Heading2"/>
      </w:pPr>
      <w:r>
        <w:t xml:space="preserve">3. Confirm dims (the 30-second fix)</w:t>
      </w:r>
    </w:p>
    <w:p>
      <w:pPr>
        <w:spacing w:after="140"/>
      </w:pPr>
      <w:r>
        <w:rPr>
          <w:color w:val="576671"/>
          <w:sz w:val="22"/>
          <w:szCs w:val="22"/>
        </w:rPr>
        <w:t xml:space="preserve">Click Confirm dims on any unverified line. A form opens with Fishbowl’s values pre-filled as a starting point:</w:t>
      </w:r>
    </w:p>
    <w:p>
      <w:pPr>
        <w:pStyle w:val="ListParagraph"/>
        <w:numPr>
          <w:ilvl w:val="0"/>
          <w:numId w:val="3"/>
        </w:numPr>
        <w:spacing w:after="80"/>
      </w:pPr>
      <w:r>
        <w:rPr>
          <w:color w:val="576671"/>
          <w:sz w:val="22"/>
          <w:szCs w:val="22"/>
        </w:rPr>
        <w:t xml:space="preserve">Enter the outer shipping dimensions in inches (L × W × H) and the weight in pounds.</w:t>
      </w:r>
    </w:p>
    <w:p>
      <w:pPr>
        <w:pStyle w:val="ListParagraph"/>
        <w:numPr>
          <w:ilvl w:val="0"/>
          <w:numId w:val="3"/>
        </w:numPr>
        <w:spacing w:after="80"/>
      </w:pPr>
      <w:r>
        <w:rPr>
          <w:color w:val="576671"/>
          <w:sz w:val="22"/>
          <w:szCs w:val="22"/>
        </w:rPr>
        <w:t xml:space="preserve">Toggle the attribute chips that apply: Liquid, Fragile, Stackable, Nestable, Keep upright, Hazmat, and Ships in own carton (for items that go out as their own sealed box, like equipment).</w:t>
      </w:r>
    </w:p>
    <w:p>
      <w:pPr>
        <w:pStyle w:val="ListParagraph"/>
        <w:numPr>
          <w:ilvl w:val="0"/>
          <w:numId w:val="3"/>
        </w:numPr>
        <w:spacing w:after="80"/>
      </w:pPr>
      <w:r>
        <w:rPr>
          <w:color w:val="576671"/>
          <w:sz w:val="22"/>
          <w:szCs w:val="22"/>
        </w:rPr>
        <w:t xml:space="preserve">Suggest with AI asks the assistant to propose manufacturer-typical dims and attributes. Always review before saving — the AI suggestion is a head start, not an answer.</w:t>
      </w:r>
    </w:p>
    <w:p>
      <w:pPr>
        <w:pStyle w:val="ListParagraph"/>
        <w:numPr>
          <w:ilvl w:val="0"/>
          <w:numId w:val="3"/>
        </w:numPr>
        <w:spacing w:after="80"/>
      </w:pPr>
      <w:r>
        <w:rPr>
          <w:color w:val="576671"/>
          <w:sz w:val="22"/>
          <w:szCs w:val="22"/>
        </w:rPr>
        <w:t xml:space="preserve">Pick the source (physical measurement, manufacturer site, or Fishbowl confirmed) and save.</w:t>
      </w:r>
    </w:p>
    <w:p>
      <w:pPr>
        <w:spacing w:after="140"/>
      </w:pPr>
      <w:r>
        <w:rPr>
          <w:color w:val="576671"/>
          <w:sz w:val="22"/>
          <w:szCs w:val="22"/>
        </w:rPr>
        <w:t xml:space="preserve">Saving writes the SKU to the verified library permanently. The next quote containing that item will show it green automatically — the more you quote, the less you verify.</w:t>
      </w:r>
    </w:p>
    <w:p>
      <w:pPr>
        <w:pStyle w:val="Heading2"/>
      </w:pPr>
      <w:r>
        <w:t xml:space="preserve">4. Generate and read the estimate</w:t>
      </w:r>
    </w:p>
    <w:p>
      <w:pPr>
        <w:spacing w:after="140"/>
      </w:pPr>
      <w:r>
        <w:rPr>
          <w:color w:val="576671"/>
          <w:sz w:val="22"/>
          <w:szCs w:val="22"/>
        </w:rPr>
        <w:t xml:space="preserve">Click Generate estimate. The deterministic packing engine (no AI in the math) packs the items into the standard box sizes and returns:</w:t>
      </w:r>
    </w:p>
    <w:p>
      <w:pPr>
        <w:pStyle w:val="ListParagraph"/>
        <w:numPr>
          <w:ilvl w:val="0"/>
          <w:numId w:val="3"/>
        </w:numPr>
        <w:spacing w:after="80"/>
      </w:pPr>
      <w:r>
        <w:rPr>
          <w:color w:val="576671"/>
          <w:sz w:val="22"/>
          <w:szCs w:val="22"/>
        </w:rPr>
        <w:t xml:space="preserve">Routing verdict — the big banner at the top. See the table below for what each verdict means.</w:t>
      </w:r>
    </w:p>
    <w:p>
      <w:pPr>
        <w:pStyle w:val="ListParagraph"/>
        <w:numPr>
          <w:ilvl w:val="0"/>
          <w:numId w:val="3"/>
        </w:numPr>
        <w:spacing w:after="80"/>
      </w:pPr>
      <w:r>
        <w:rPr>
          <w:color w:val="576671"/>
          <w:sz w:val="22"/>
          <w:szCs w:val="22"/>
        </w:rPr>
        <w:t xml:space="preserve">Boxes table — each carton with its outer dims, contents, actual weight, dimensional weight (L×W×H ÷ 139), and billable weight (the larger of the two). Billable shown in orange means dim weight is driving the price.</w:t>
      </w:r>
    </w:p>
    <w:p>
      <w:pPr>
        <w:pStyle w:val="ListParagraph"/>
        <w:numPr>
          <w:ilvl w:val="0"/>
          <w:numId w:val="3"/>
        </w:numPr>
        <w:spacing w:after="80"/>
      </w:pPr>
      <w:r>
        <w:rPr>
          <w:color w:val="576671"/>
          <w:sz w:val="22"/>
          <w:szCs w:val="22"/>
        </w:rPr>
        <w:t xml:space="preserve">Pallet plan — appears for LTL shipments: pallet count, per-pallet dims and weight (deck included), shipment density, and the estimated NMFC freight class.</w:t>
      </w:r>
    </w:p>
    <w:p>
      <w:pPr>
        <w:pStyle w:val="ListParagraph"/>
        <w:numPr>
          <w:ilvl w:val="0"/>
          <w:numId w:val="3"/>
        </w:numPr>
        <w:spacing w:after="80"/>
      </w:pPr>
      <w:r>
        <w:rPr>
          <w:color w:val="576671"/>
          <w:sz w:val="22"/>
          <w:szCs w:val="22"/>
        </w:rPr>
        <w:t xml:space="preserve">Review flags — warnings from the engine (oversize items, hazmat) plus AI sanity-check notes. Flags never change the numbers; they tell you what to double-check.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D6DEE3" w:sz="1"/>
              <w:left w:val="single" w:color="D6DEE3" w:sz="1"/>
              <w:bottom w:val="single" w:color="D6DEE3" w:sz="1"/>
              <w:right w:val="single" w:color="D6DEE3" w:sz="1"/>
            </w:tcBorders>
            <w:shd w:fill="1C3C6E" w:val="clear"/>
            <w:tcMar>
              <w:top w:type="dxa" w:w="100"/>
              <w:left w:type="dxa" w:w="140"/>
              <w:bottom w:type="dxa" w:w="100"/>
              <w:right w:type="dxa" w:w="140"/>
            </w:tcMar>
          </w:tcPr>
          <w:p>
            <w:r>
              <w:rPr>
                <w:b/>
                <w:bCs/>
                <w:color w:val="FFFFFF"/>
                <w:sz w:val="20"/>
                <w:szCs w:val="20"/>
              </w:rPr>
              <w:t xml:space="preserve">Routing verdict</w:t>
            </w:r>
          </w:p>
        </w:tc>
        <w:tc>
          <w:tcPr>
            <w:tcW w:type="dxa" w:w="6260"/>
            <w:tcBorders>
              <w:top w:val="single" w:color="D6DEE3" w:sz="1"/>
              <w:left w:val="single" w:color="D6DEE3" w:sz="1"/>
              <w:bottom w:val="single" w:color="D6DEE3" w:sz="1"/>
              <w:right w:val="single" w:color="D6DEE3" w:sz="1"/>
            </w:tcBorders>
            <w:shd w:fill="1C3C6E" w:val="clear"/>
            <w:tcMar>
              <w:top w:type="dxa" w:w="100"/>
              <w:left w:type="dxa" w:w="140"/>
              <w:bottom w:type="dxa" w:w="100"/>
              <w:right w:type="dxa" w:w="140"/>
            </w:tcMar>
          </w:tcPr>
          <w:p>
            <w:r>
              <w:rPr>
                <w:b/>
                <w:bCs/>
                <w:color w:val="FFFFFF"/>
                <w:sz w:val="20"/>
                <w:szCs w:val="20"/>
              </w:rPr>
              <w:t xml:space="preserve">What you do</w:t>
            </w:r>
          </w:p>
        </w:tc>
      </w:tr>
      <w:tr>
        <w:tc>
          <w:tcPr>
            <w:tcW w:type="dxa" w:w="3100"/>
            <w:tcBorders>
              <w:top w:val="single" w:color="D6DEE3" w:sz="1"/>
              <w:left w:val="single" w:color="D6DEE3" w:sz="1"/>
              <w:bottom w:val="single" w:color="D6DEE3" w:sz="1"/>
              <w:right w:val="single" w:color="D6DEE3" w:sz="1"/>
            </w:tcBorders>
            <w:tcMar>
              <w:top w:type="dxa" w:w="100"/>
              <w:left w:type="dxa" w:w="140"/>
              <w:bottom w:type="dxa" w:w="100"/>
              <w:right w:type="dxa" w:w="140"/>
            </w:tcMar>
          </w:tcPr>
          <w:p>
            <w:r>
              <w:rPr>
                <w:b/>
                <w:bCs/>
                <w:color w:val="0FA62C"/>
                <w:sz w:val="20"/>
                <w:szCs w:val="20"/>
              </w:rPr>
              <w:t xml:space="preserve">FedEx Ground</w:t>
            </w:r>
          </w:p>
        </w:tc>
        <w:tc>
          <w:tcPr>
            <w:tcW w:type="dxa" w:w="6260"/>
            <w:tcBorders>
              <w:top w:val="single" w:color="D6DEE3" w:sz="1"/>
              <w:left w:val="single" w:color="D6DEE3" w:sz="1"/>
              <w:bottom w:val="single" w:color="D6DEE3" w:sz="1"/>
              <w:right w:val="single" w:color="D6DEE3" w:sz="1"/>
            </w:tcBorders>
            <w:tcMar>
              <w:top w:type="dxa" w:w="100"/>
              <w:left w:type="dxa" w:w="140"/>
              <w:bottom w:type="dxa" w:w="100"/>
              <w:right w:type="dxa" w:w="140"/>
            </w:tcMar>
          </w:tcPr>
          <w:p>
            <w:r>
              <w:rPr>
                <w:color w:val="576671"/>
                <w:sz w:val="20"/>
                <w:szCs w:val="20"/>
              </w:rPr>
              <w:t xml:space="preserve">Quote parcel. Copy the box list into the FedEx Ground portal.</w:t>
            </w:r>
          </w:p>
        </w:tc>
      </w:tr>
      <w:tr>
        <w:tc>
          <w:tcPr>
            <w:tcW w:type="dxa" w:w="3100"/>
            <w:tcBorders>
              <w:top w:val="single" w:color="D6DEE3" w:sz="1"/>
              <w:left w:val="single" w:color="D6DEE3" w:sz="1"/>
              <w:bottom w:val="single" w:color="D6DEE3" w:sz="1"/>
              <w:right w:val="single" w:color="D6DEE3" w:sz="1"/>
            </w:tcBorders>
            <w:tcMar>
              <w:top w:type="dxa" w:w="100"/>
              <w:left w:type="dxa" w:w="140"/>
              <w:bottom w:type="dxa" w:w="100"/>
              <w:right w:type="dxa" w:w="140"/>
            </w:tcMar>
          </w:tcPr>
          <w:p>
            <w:r>
              <w:rPr>
                <w:b/>
                <w:bCs/>
                <w:color w:val="1C3C6E"/>
                <w:sz w:val="20"/>
                <w:szCs w:val="20"/>
              </w:rPr>
              <w:t xml:space="preserve">TForce / FedEx Freight (LTL)</w:t>
            </w:r>
          </w:p>
        </w:tc>
        <w:tc>
          <w:tcPr>
            <w:tcW w:type="dxa" w:w="6260"/>
            <w:tcBorders>
              <w:top w:val="single" w:color="D6DEE3" w:sz="1"/>
              <w:left w:val="single" w:color="D6DEE3" w:sz="1"/>
              <w:bottom w:val="single" w:color="D6DEE3" w:sz="1"/>
              <w:right w:val="single" w:color="D6DEE3" w:sz="1"/>
            </w:tcBorders>
            <w:tcMar>
              <w:top w:type="dxa" w:w="100"/>
              <w:left w:type="dxa" w:w="140"/>
              <w:bottom w:type="dxa" w:w="100"/>
              <w:right w:type="dxa" w:w="140"/>
            </w:tcMar>
          </w:tcPr>
          <w:p>
            <w:r>
              <w:rPr>
                <w:color w:val="576671"/>
                <w:sz w:val="20"/>
                <w:szCs w:val="20"/>
              </w:rPr>
              <w:t xml:space="preserve">Freight is forced (a carton over 150 lb or over parcel size limits). Use the pallet plan in the TForce or FedEx Freight portal. Never quote these as Ground.</w:t>
            </w:r>
          </w:p>
        </w:tc>
      </w:tr>
      <w:tr>
        <w:tc>
          <w:tcPr>
            <w:tcW w:type="dxa" w:w="3100"/>
            <w:tcBorders>
              <w:top w:val="single" w:color="D6DEE3" w:sz="1"/>
              <w:left w:val="single" w:color="D6DEE3" w:sz="1"/>
              <w:bottom w:val="single" w:color="D6DEE3" w:sz="1"/>
              <w:right w:val="single" w:color="D6DEE3" w:sz="1"/>
            </w:tcBorders>
            <w:tcMar>
              <w:top w:type="dxa" w:w="100"/>
              <w:left w:type="dxa" w:w="140"/>
              <w:bottom w:type="dxa" w:w="100"/>
              <w:right w:type="dxa" w:w="140"/>
            </w:tcMar>
          </w:tcPr>
          <w:p>
            <w:r>
              <w:rPr>
                <w:b/>
                <w:bCs/>
                <w:color w:val="E89C0C"/>
                <w:sz w:val="20"/>
                <w:szCs w:val="20"/>
              </w:rPr>
              <w:t xml:space="preserve">Compare: Ground vs LTL</w:t>
            </w:r>
          </w:p>
        </w:tc>
        <w:tc>
          <w:tcPr>
            <w:tcW w:type="dxa" w:w="6260"/>
            <w:tcBorders>
              <w:top w:val="single" w:color="D6DEE3" w:sz="1"/>
              <w:left w:val="single" w:color="D6DEE3" w:sz="1"/>
              <w:bottom w:val="single" w:color="D6DEE3" w:sz="1"/>
              <w:right w:val="single" w:color="D6DEE3" w:sz="1"/>
            </w:tcBorders>
            <w:tcMar>
              <w:top w:type="dxa" w:w="100"/>
              <w:left w:type="dxa" w:w="140"/>
              <w:bottom w:type="dxa" w:w="100"/>
              <w:right w:type="dxa" w:w="140"/>
            </w:tcMar>
          </w:tcPr>
          <w:p>
            <w:r>
              <w:rPr>
                <w:color w:val="576671"/>
                <w:sz w:val="20"/>
                <w:szCs w:val="20"/>
              </w:rPr>
              <w:t xml:space="preserve">The shipment is in the crossover zone (500+ lb total, 6+ cartons, or bulky low-density boxes). Price it in both portals and quote the cheaper one.</w:t>
            </w:r>
          </w:p>
        </w:tc>
      </w:tr>
      <w:tr>
        <w:tc>
          <w:tcPr>
            <w:tcW w:type="dxa" w:w="3100"/>
            <w:tcBorders>
              <w:top w:val="single" w:color="D6DEE3" w:sz="1"/>
              <w:left w:val="single" w:color="D6DEE3" w:sz="1"/>
              <w:bottom w:val="single" w:color="D6DEE3" w:sz="1"/>
              <w:right w:val="single" w:color="D6DEE3" w:sz="1"/>
            </w:tcBorders>
            <w:tcMar>
              <w:top w:type="dxa" w:w="100"/>
              <w:left w:type="dxa" w:w="140"/>
              <w:bottom w:type="dxa" w:w="100"/>
              <w:right w:type="dxa" w:w="140"/>
            </w:tcMar>
          </w:tcPr>
          <w:p>
            <w:r>
              <w:rPr>
                <w:b/>
                <w:bCs/>
                <w:color w:val="D93025"/>
                <w:sz w:val="20"/>
                <w:szCs w:val="20"/>
              </w:rPr>
              <w:t xml:space="preserve">Manual freight desk review</w:t>
            </w:r>
          </w:p>
        </w:tc>
        <w:tc>
          <w:tcPr>
            <w:tcW w:type="dxa" w:w="6260"/>
            <w:tcBorders>
              <w:top w:val="single" w:color="D6DEE3" w:sz="1"/>
              <w:left w:val="single" w:color="D6DEE3" w:sz="1"/>
              <w:bottom w:val="single" w:color="D6DEE3" w:sz="1"/>
              <w:right w:val="single" w:color="D6DEE3" w:sz="1"/>
            </w:tcBorders>
            <w:tcMar>
              <w:top w:type="dxa" w:w="100"/>
              <w:left w:type="dxa" w:w="140"/>
              <w:bottom w:type="dxa" w:w="100"/>
              <w:right w:type="dxa" w:w="140"/>
            </w:tcMar>
          </w:tcPr>
          <w:p>
            <w:r>
              <w:rPr>
                <w:color w:val="576671"/>
                <w:sz w:val="20"/>
                <w:szCs w:val="20"/>
              </w:rPr>
              <w:t xml:space="preserve">STOP — a single piece exceeds 4,000 lb. Do not send a number to the customer. Escalate to Dan / the freight desk.</w:t>
            </w:r>
          </w:p>
        </w:tc>
      </w:tr>
    </w:tbl>
    <w:p>
      <w:pPr>
        <w:spacing w:after="140"/>
      </w:pPr>
    </w:p>
    <w:p>
      <w:pPr>
        <w:pStyle w:val="Heading2"/>
      </w:pPr>
      <w:r>
        <w:t xml:space="preserve">5. Copy to the carrier portal</w:t>
      </w:r>
    </w:p>
    <w:p>
      <w:pPr>
        <w:spacing w:after="140"/>
      </w:pPr>
      <w:r>
        <w:rPr>
          <w:color w:val="576671"/>
          <w:sz w:val="22"/>
          <w:szCs w:val="22"/>
        </w:rPr>
        <w:t xml:space="preserve">Click Copy for carrier portal. A plain-text block lands on your clipboard with the box list, weights, totals, routing, and (for LTL) the pallet summary with density and estimated class — formatted to paste straight into the portal or into your quote notes. The same text is always visible at the bottom of the results if the copy button is unavailable.</w:t>
      </w:r>
    </w:p>
    <w:p>
      <w:pPr>
        <w:pStyle w:val="Heading1"/>
      </w:pPr>
      <w:r>
        <w:t xml:space="preserve">After the Shipment: Record What Was Actually Used</w:t>
      </w:r>
    </w:p>
    <w:p>
      <w:pPr>
        <w:spacing w:after="140"/>
      </w:pPr>
      <w:r>
        <w:rPr>
          <w:color w:val="576671"/>
          <w:sz w:val="22"/>
          <w:szCs w:val="22"/>
        </w:rPr>
        <w:t xml:space="preserve">The Recent estimates table at the bottom of the page lists every estimate. When the warehouse packs the real order, click Record actual and enter how many boxes were actually used (plus an optional note). This feedback loop is how we measure the engine against reality and tighten it over time — please record actuals whenever you learn them.</w:t>
      </w:r>
    </w:p>
    <w:p>
      <w:pPr>
        <w:pStyle w:val="Heading1"/>
      </w:pPr>
      <w:r>
        <w:t xml:space="preserve">When to Escalate</w:t>
      </w:r>
    </w:p>
    <w:p>
      <w:pPr>
        <w:pStyle w:val="ListParagraph"/>
        <w:numPr>
          <w:ilvl w:val="0"/>
          <w:numId w:val="3"/>
        </w:numPr>
        <w:spacing w:after="80"/>
      </w:pPr>
      <w:r>
        <w:rPr>
          <w:color w:val="576671"/>
          <w:sz w:val="22"/>
          <w:szCs w:val="22"/>
        </w:rPr>
        <w:t xml:space="preserve">The yellow low-confidence banner is showing and you cannot verify the remaining items — send it to Dan.</w:t>
      </w:r>
    </w:p>
    <w:p>
      <w:pPr>
        <w:pStyle w:val="ListParagraph"/>
        <w:numPr>
          <w:ilvl w:val="0"/>
          <w:numId w:val="3"/>
        </w:numPr>
        <w:spacing w:after="80"/>
      </w:pPr>
      <w:r>
        <w:rPr>
          <w:color w:val="576671"/>
          <w:sz w:val="22"/>
          <w:szCs w:val="22"/>
        </w:rPr>
        <w:t xml:space="preserve">The red Manual freight desk review verdict appears — never quote it yourself.</w:t>
      </w:r>
    </w:p>
    <w:p>
      <w:pPr>
        <w:pStyle w:val="ListParagraph"/>
        <w:numPr>
          <w:ilvl w:val="0"/>
          <w:numId w:val="3"/>
        </w:numPr>
        <w:spacing w:after="80"/>
      </w:pPr>
      <w:r>
        <w:rPr>
          <w:color w:val="576671"/>
          <w:sz w:val="22"/>
          <w:szCs w:val="22"/>
        </w:rPr>
        <w:t xml:space="preserve">A hazmat flag appears — compliance review is required before any quote goes out.</w:t>
      </w:r>
    </w:p>
    <w:p>
      <w:pPr>
        <w:pStyle w:val="ListParagraph"/>
        <w:numPr>
          <w:ilvl w:val="0"/>
          <w:numId w:val="3"/>
        </w:numPr>
        <w:spacing w:after="80"/>
      </w:pPr>
      <w:r>
        <w:rPr>
          <w:color w:val="576671"/>
          <w:sz w:val="22"/>
          <w:szCs w:val="22"/>
        </w:rPr>
        <w:t xml:space="preserve">The estimate simply looks wrong for a product you know well — verify that SKU’s dims (an old bad entry may be the cause) and regenerate; if it is still wrong, flag it to Steven with the SO number. Every estimate is stored with its full inputs, so it can be replayed exactly.</w:t>
      </w:r>
    </w:p>
    <w:p>
      <w:pPr>
        <w:pStyle w:val="Heading1"/>
      </w:pPr>
      <w:r>
        <w:t xml:space="preserve">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c>
          <w:tcPr>
            <w:tcW w:type="dxa" w:w="3700"/>
            <w:tcBorders>
              <w:top w:val="single" w:color="D6DEE3" w:sz="1"/>
              <w:left w:val="single" w:color="D6DEE3" w:sz="1"/>
              <w:bottom w:val="single" w:color="D6DEE3" w:sz="1"/>
              <w:right w:val="single" w:color="D6DEE3" w:sz="1"/>
            </w:tcBorders>
            <w:shd w:fill="1C3C6E" w:val="clear"/>
            <w:tcMar>
              <w:top w:type="dxa" w:w="100"/>
              <w:left w:type="dxa" w:w="140"/>
              <w:bottom w:type="dxa" w:w="100"/>
              <w:right w:type="dxa" w:w="140"/>
            </w:tcMar>
          </w:tcPr>
          <w:p>
            <w:r>
              <w:rPr>
                <w:b/>
                <w:bCs/>
                <w:color w:val="FFFFFF"/>
                <w:sz w:val="20"/>
                <w:szCs w:val="20"/>
              </w:rPr>
              <w:t xml:space="preserve">Question</w:t>
            </w:r>
          </w:p>
        </w:tc>
        <w:tc>
          <w:tcPr>
            <w:tcW w:type="dxa" w:w="5660"/>
            <w:tcBorders>
              <w:top w:val="single" w:color="D6DEE3" w:sz="1"/>
              <w:left w:val="single" w:color="D6DEE3" w:sz="1"/>
              <w:bottom w:val="single" w:color="D6DEE3" w:sz="1"/>
              <w:right w:val="single" w:color="D6DEE3" w:sz="1"/>
            </w:tcBorders>
            <w:shd w:fill="1C3C6E" w:val="clear"/>
            <w:tcMar>
              <w:top w:type="dxa" w:w="100"/>
              <w:left w:type="dxa" w:w="140"/>
              <w:bottom w:type="dxa" w:w="100"/>
              <w:right w:type="dxa" w:w="140"/>
            </w:tcMar>
          </w:tcPr>
          <w:p>
            <w:r>
              <w:rPr>
                <w:b/>
                <w:bCs/>
                <w:color w:val="FFFFFF"/>
                <w:sz w:val="20"/>
                <w:szCs w:val="20"/>
              </w:rPr>
              <w:t xml:space="preserve">Answer</w:t>
            </w:r>
          </w:p>
        </w:tc>
      </w:tr>
      <w:tr>
        <w:tc>
          <w:tcPr>
            <w:tcW w:type="dxa" w:w="3700"/>
            <w:tcBorders>
              <w:top w:val="single" w:color="D6DEE3" w:sz="1"/>
              <w:left w:val="single" w:color="D6DEE3" w:sz="1"/>
              <w:bottom w:val="single" w:color="D6DEE3" w:sz="1"/>
              <w:right w:val="single" w:color="D6DEE3" w:sz="1"/>
            </w:tcBorders>
            <w:tcMar>
              <w:top w:type="dxa" w:w="100"/>
              <w:left w:type="dxa" w:w="140"/>
              <w:bottom w:type="dxa" w:w="100"/>
              <w:right w:type="dxa" w:w="140"/>
            </w:tcMar>
          </w:tcPr>
          <w:p>
            <w:r>
              <w:rPr>
                <w:b/>
                <w:bCs/>
                <w:color w:val="1C3C6E"/>
                <w:sz w:val="20"/>
                <w:szCs w:val="20"/>
              </w:rPr>
              <w:t xml:space="preserve">Do I have to verify every item before generating?</w:t>
            </w:r>
          </w:p>
        </w:tc>
        <w:tc>
          <w:tcPr>
            <w:tcW w:type="dxa" w:w="5660"/>
            <w:tcBorders>
              <w:top w:val="single" w:color="D6DEE3" w:sz="1"/>
              <w:left w:val="single" w:color="D6DEE3" w:sz="1"/>
              <w:bottom w:val="single" w:color="D6DEE3" w:sz="1"/>
              <w:right w:val="single" w:color="D6DEE3" w:sz="1"/>
            </w:tcBorders>
            <w:tcMar>
              <w:top w:type="dxa" w:w="100"/>
              <w:left w:type="dxa" w:w="140"/>
              <w:bottom w:type="dxa" w:w="100"/>
              <w:right w:type="dxa" w:w="140"/>
            </w:tcMar>
          </w:tcPr>
          <w:p>
            <w:r>
              <w:rPr>
                <w:color w:val="576671"/>
                <w:sz w:val="20"/>
                <w:szCs w:val="20"/>
              </w:rPr>
              <w:t xml:space="preserve">No. You can generate immediately — unverified items just lower the confidence score. Verify the big items first; they move confidence the most.</w:t>
            </w:r>
          </w:p>
        </w:tc>
      </w:tr>
      <w:tr>
        <w:tc>
          <w:tcPr>
            <w:tcW w:type="dxa" w:w="3700"/>
            <w:tcBorders>
              <w:top w:val="single" w:color="D6DEE3" w:sz="1"/>
              <w:left w:val="single" w:color="D6DEE3" w:sz="1"/>
              <w:bottom w:val="single" w:color="D6DEE3" w:sz="1"/>
              <w:right w:val="single" w:color="D6DEE3" w:sz="1"/>
            </w:tcBorders>
            <w:tcMar>
              <w:top w:type="dxa" w:w="100"/>
              <w:left w:type="dxa" w:w="140"/>
              <w:bottom w:type="dxa" w:w="100"/>
              <w:right w:type="dxa" w:w="140"/>
            </w:tcMar>
          </w:tcPr>
          <w:p>
            <w:r>
              <w:rPr>
                <w:b/>
                <w:bCs/>
                <w:color w:val="1C3C6E"/>
                <w:sz w:val="20"/>
                <w:szCs w:val="20"/>
              </w:rPr>
              <w:t xml:space="preserve">Why is billable weight higher than the scale weight?</w:t>
            </w:r>
          </w:p>
        </w:tc>
        <w:tc>
          <w:tcPr>
            <w:tcW w:type="dxa" w:w="5660"/>
            <w:tcBorders>
              <w:top w:val="single" w:color="D6DEE3" w:sz="1"/>
              <w:left w:val="single" w:color="D6DEE3" w:sz="1"/>
              <w:bottom w:val="single" w:color="D6DEE3" w:sz="1"/>
              <w:right w:val="single" w:color="D6DEE3" w:sz="1"/>
            </w:tcBorders>
            <w:tcMar>
              <w:top w:type="dxa" w:w="100"/>
              <w:left w:type="dxa" w:w="140"/>
              <w:bottom w:type="dxa" w:w="100"/>
              <w:right w:type="dxa" w:w="140"/>
            </w:tcMar>
          </w:tcPr>
          <w:p>
            <w:r>
              <w:rPr>
                <w:color w:val="576671"/>
                <w:sz w:val="20"/>
                <w:szCs w:val="20"/>
              </w:rPr>
              <w:t xml:space="preserve">Carriers charge dimensional weight (L×W×H ÷ 139) when a box is light for its size. The estimator always shows both and bills the larger.</w:t>
            </w:r>
          </w:p>
        </w:tc>
      </w:tr>
      <w:tr>
        <w:tc>
          <w:tcPr>
            <w:tcW w:type="dxa" w:w="3700"/>
            <w:tcBorders>
              <w:top w:val="single" w:color="D6DEE3" w:sz="1"/>
              <w:left w:val="single" w:color="D6DEE3" w:sz="1"/>
              <w:bottom w:val="single" w:color="D6DEE3" w:sz="1"/>
              <w:right w:val="single" w:color="D6DEE3" w:sz="1"/>
            </w:tcBorders>
            <w:tcMar>
              <w:top w:type="dxa" w:w="100"/>
              <w:left w:type="dxa" w:w="140"/>
              <w:bottom w:type="dxa" w:w="100"/>
              <w:right w:type="dxa" w:w="140"/>
            </w:tcMar>
          </w:tcPr>
          <w:p>
            <w:r>
              <w:rPr>
                <w:b/>
                <w:bCs/>
                <w:color w:val="1C3C6E"/>
                <w:sz w:val="20"/>
                <w:szCs w:val="20"/>
              </w:rPr>
              <w:t xml:space="preserve">Two identical runs gave the same answer — is that expected?</w:t>
            </w:r>
          </w:p>
        </w:tc>
        <w:tc>
          <w:tcPr>
            <w:tcW w:type="dxa" w:w="5660"/>
            <w:tcBorders>
              <w:top w:val="single" w:color="D6DEE3" w:sz="1"/>
              <w:left w:val="single" w:color="D6DEE3" w:sz="1"/>
              <w:bottom w:val="single" w:color="D6DEE3" w:sz="1"/>
              <w:right w:val="single" w:color="D6DEE3" w:sz="1"/>
            </w:tcBorders>
            <w:tcMar>
              <w:top w:type="dxa" w:w="100"/>
              <w:left w:type="dxa" w:w="140"/>
              <w:bottom w:type="dxa" w:w="100"/>
              <w:right w:type="dxa" w:w="140"/>
            </w:tcMar>
          </w:tcPr>
          <w:p>
            <w:r>
              <w:rPr>
                <w:color w:val="576671"/>
                <w:sz w:val="20"/>
                <w:szCs w:val="20"/>
              </w:rPr>
              <w:t xml:space="preserve">Yes. The packing math is fully deterministic: same order, same verified dims, same result. AI is only used for suggestions and warnings, never for the numbers.</w:t>
            </w:r>
          </w:p>
        </w:tc>
      </w:tr>
      <w:tr>
        <w:tc>
          <w:tcPr>
            <w:tcW w:type="dxa" w:w="3700"/>
            <w:tcBorders>
              <w:top w:val="single" w:color="D6DEE3" w:sz="1"/>
              <w:left w:val="single" w:color="D6DEE3" w:sz="1"/>
              <w:bottom w:val="single" w:color="D6DEE3" w:sz="1"/>
              <w:right w:val="single" w:color="D6DEE3" w:sz="1"/>
            </w:tcBorders>
            <w:tcMar>
              <w:top w:type="dxa" w:w="100"/>
              <w:left w:type="dxa" w:w="140"/>
              <w:bottom w:type="dxa" w:w="100"/>
              <w:right w:type="dxa" w:w="140"/>
            </w:tcMar>
          </w:tcPr>
          <w:p>
            <w:r>
              <w:rPr>
                <w:b/>
                <w:bCs/>
                <w:color w:val="1C3C6E"/>
                <w:sz w:val="20"/>
                <w:szCs w:val="20"/>
              </w:rPr>
              <w:t xml:space="preserve">The AI suggestion looks wrong.</w:t>
            </w:r>
          </w:p>
        </w:tc>
        <w:tc>
          <w:tcPr>
            <w:tcW w:type="dxa" w:w="5660"/>
            <w:tcBorders>
              <w:top w:val="single" w:color="D6DEE3" w:sz="1"/>
              <w:left w:val="single" w:color="D6DEE3" w:sz="1"/>
              <w:bottom w:val="single" w:color="D6DEE3" w:sz="1"/>
              <w:right w:val="single" w:color="D6DEE3" w:sz="1"/>
            </w:tcBorders>
            <w:tcMar>
              <w:top w:type="dxa" w:w="100"/>
              <w:left w:type="dxa" w:w="140"/>
              <w:bottom w:type="dxa" w:w="100"/>
              <w:right w:type="dxa" w:w="140"/>
            </w:tcMar>
          </w:tcPr>
          <w:p>
            <w:r>
              <w:rPr>
                <w:color w:val="576671"/>
                <w:sz w:val="20"/>
                <w:szCs w:val="20"/>
              </w:rPr>
              <w:t xml:space="preserve">Correct the values before saving — you are the verification step. Nothing the AI proposes is used until a person saves it.</w:t>
            </w:r>
          </w:p>
        </w:tc>
      </w:tr>
      <w:tr>
        <w:tc>
          <w:tcPr>
            <w:tcW w:type="dxa" w:w="3700"/>
            <w:tcBorders>
              <w:top w:val="single" w:color="D6DEE3" w:sz="1"/>
              <w:left w:val="single" w:color="D6DEE3" w:sz="1"/>
              <w:bottom w:val="single" w:color="D6DEE3" w:sz="1"/>
              <w:right w:val="single" w:color="D6DEE3" w:sz="1"/>
            </w:tcBorders>
            <w:tcMar>
              <w:top w:type="dxa" w:w="100"/>
              <w:left w:type="dxa" w:w="140"/>
              <w:bottom w:type="dxa" w:w="100"/>
              <w:right w:type="dxa" w:w="140"/>
            </w:tcMar>
          </w:tcPr>
          <w:p>
            <w:r>
              <w:rPr>
                <w:b/>
                <w:bCs/>
                <w:color w:val="1C3C6E"/>
                <w:sz w:val="20"/>
                <w:szCs w:val="20"/>
              </w:rPr>
              <w:t xml:space="preserve">Who maintains box sizes and thresholds?</w:t>
            </w:r>
          </w:p>
        </w:tc>
        <w:tc>
          <w:tcPr>
            <w:tcW w:type="dxa" w:w="5660"/>
            <w:tcBorders>
              <w:top w:val="single" w:color="D6DEE3" w:sz="1"/>
              <w:left w:val="single" w:color="D6DEE3" w:sz="1"/>
              <w:bottom w:val="single" w:color="D6DEE3" w:sz="1"/>
              <w:right w:val="single" w:color="D6DEE3" w:sz="1"/>
            </w:tcBorders>
            <w:tcMar>
              <w:top w:type="dxa" w:w="100"/>
              <w:left w:type="dxa" w:w="140"/>
              <w:bottom w:type="dxa" w:w="100"/>
              <w:right w:type="dxa" w:w="140"/>
            </w:tcMar>
          </w:tcPr>
          <w:p>
            <w:r>
              <w:rPr>
                <w:color w:val="576671"/>
                <w:sz w:val="20"/>
                <w:szCs w:val="20"/>
              </w:rPr>
              <w:t xml:space="preserve">The Admin page (button next to the SO input) holds the standard boxes, all routing thresholds, and the verified-dims library. Changes there apply to the next estimate immediately — coordinate with Steven before editing.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76671"/>
        <w:sz w:val="18"/>
        <w:szCs w:val="18"/>
      </w:rPr>
      <w:t xml:space="preserve">Page </w:t>
    </w:r>
    <w:r>
      <w:rPr>
        <w:color w:val="57667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98D5" w:sz="6" w:space="4"/>
      </w:pBdr>
    </w:pPr>
    <w:r>
      <w:rPr>
        <w:b/>
        <w:bCs/>
        <w:color w:val="1C3C6E"/>
        <w:sz w:val="18"/>
        <w:szCs w:val="18"/>
      </w:rPr>
      <w:t xml:space="preserve">MEDICAL SHIPMENT</w:t>
    </w:r>
    <w:r>
      <w:rPr>
        <w:color w:val="576671"/>
        <w:sz w:val="18"/>
        <w:szCs w:val="18"/>
      </w:rPr>
      <w:t xml:space="preserve">   |   Zeus Packaging Estimator — Quotes Rep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C3C6E"/>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1E98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2026-07-02T19:04:11.859Z</dcterms:created>
  <dcterms:modified xsi:type="dcterms:W3CDTF">2026-07-02T19:04:11.861Z</dcterms:modified>
</cp:coreProperties>
</file>

<file path=docProps/custom.xml><?xml version="1.0" encoding="utf-8"?>
<Properties xmlns="http://schemas.openxmlformats.org/officeDocument/2006/custom-properties" xmlns:vt="http://schemas.openxmlformats.org/officeDocument/2006/docPropsVTypes"/>
</file>