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media/image1.png" ContentType="image/png"/>
  <Override PartName="/word/media/image5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footer2.xml.rels" ContentType="application/vnd.openxmlformats-package.relationships+xml"/>
  <Override PartName="/word/_rels/header3.xml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_rels/.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officedocument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mallCaps/>
          <w:color w:val="999999"/>
          <w:sz w:val="72"/>
          <w:szCs w:val="72"/>
        </w:rPr>
      </w:pPr>
      <w:r>
        <w:rPr>
          <w:b/>
          <w:smallCaps/>
          <w:color w:val="999999"/>
          <w:sz w:val="72"/>
          <w:szCs w:val="72"/>
        </w:rPr>
        <w:t>Especificação de Caso de Uso</w:t>
      </w:r>
    </w:p>
    <w:p>
      <w:pPr>
        <w:pStyle w:val="Normal"/>
        <w:rPr>
          <w:b/>
          <w:smallCaps/>
          <w:color w:val="999999"/>
          <w:sz w:val="72"/>
          <w:szCs w:val="72"/>
        </w:rPr>
      </w:pPr>
      <w:r>
        <w:rPr>
          <w:b/>
          <w:smallCaps/>
          <w:color w:val="999999"/>
          <w:sz w:val="72"/>
          <w:szCs w:val="7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858000" cy="342773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14" r="-5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E-COMMERCE DE LIVROS</w:t>
      </w:r>
    </w:p>
    <w:p>
      <w:pPr>
        <w:pStyle w:val="CapaTexto"/>
        <w:ind w:start="0" w:end="0"/>
        <w:rPr>
          <w:b/>
          <w:sz w:val="56"/>
          <w:szCs w:val="56"/>
          <w:lang w:val="pt-BR" w:eastAsia="en-US"/>
        </w:rPr>
      </w:pPr>
      <w:r>
        <w:rPr>
          <w:b/>
          <w:sz w:val="56"/>
          <w:szCs w:val="56"/>
          <w:lang w:val="pt-BR" w:eastAsia="en-US"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Laboratório de Engenharia de Software</w:t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headerReference w:type="first" r:id="rId4"/>
          <w:footerReference w:type="default" r:id="rId5"/>
          <w:footerReference w:type="first" r:id="rId6"/>
          <w:type w:val="nextPage"/>
          <w:pgSz w:w="11906" w:h="16838"/>
          <w:pgMar w:left="567" w:right="567" w:gutter="0" w:header="680" w:top="851" w:footer="1701" w:bottom="1757"/>
          <w:pgNumType w:start="1" w:fmt="decimal"/>
          <w:formProt w:val="false"/>
          <w:titlePg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Histórico de Versões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107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23"/>
        <w:gridCol w:w="35"/>
        <w:gridCol w:w="957"/>
        <w:gridCol w:w="35"/>
        <w:gridCol w:w="3651"/>
        <w:gridCol w:w="35"/>
        <w:gridCol w:w="2139"/>
        <w:gridCol w:w="35"/>
        <w:gridCol w:w="2591"/>
        <w:gridCol w:w="35"/>
      </w:tblGrid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Revisor</w:t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ind w:start="-108" w:end="0"/>
              <w:jc w:val="center"/>
              <w:rPr/>
            </w:pPr>
            <w:r>
              <w:rPr/>
              <w:t xml:space="preserve">30/09/26</w:t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1.0</w:t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Versão inicial da especificação do caso de uso Manter Cadastro de Fornecedores</w:t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Rodrigo Rocha Silva</w:t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/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  <w:r>
        <w:br w:type="page"/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end"/>
        <w:rPr>
          <w:b/>
          <w:bCs/>
          <w:color w:val="001C4E"/>
          <w:sz w:val="24"/>
          <w:szCs w:val="24"/>
        </w:rPr>
      </w:pPr>
      <w:r>
        <w:rPr>
          <w:b/>
          <w:bCs/>
          <w:color w:val="001C4E"/>
          <w:sz w:val="24"/>
          <w:szCs w:val="24"/>
        </w:rPr>
      </w:r>
    </w:p>
    <w:p>
      <w:pPr>
        <w:pStyle w:val="PSDS-CorpodeTexto"/>
        <w:jc w:val="both"/>
        <w:rPr>
          <w:b/>
          <w:bCs/>
          <w:color w:val="001C4E"/>
          <w:sz w:val="24"/>
          <w:szCs w:val="24"/>
        </w:rPr>
      </w:pPr>
      <w:r>
        <w:rPr>
          <w:b/>
          <w:bCs/>
          <w:color w:val="001C4E"/>
          <w:sz w:val="24"/>
          <w:szCs w:val="24"/>
        </w:rPr>
      </w:r>
    </w:p>
    <w:tbl>
      <w:tblPr>
        <w:tblW w:w="910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5"/>
        <w:gridCol w:w="7092"/>
      </w:tblGrid>
      <w:tr>
        <w:trPr>
          <w:trHeight w:val="375" w:hRule="atLeast"/>
        </w:trPr>
        <w:tc>
          <w:tcPr>
            <w:tcW w:w="2015" w:type="dxa"/>
            <w:tcBorders/>
          </w:tcPr>
          <w:p>
            <w:pPr>
              <w:pStyle w:val="Capa4"/>
              <w:ind w:start="0" w:end="0"/>
              <w:jc w:val="end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>Cliente</w:t>
            </w:r>
          </w:p>
        </w:tc>
        <w:tc>
          <w:tcPr>
            <w:tcW w:w="7092" w:type="dxa"/>
            <w:tcBorders/>
          </w:tcPr>
          <w:p>
            <w:pPr>
              <w:pStyle w:val="Capa4"/>
              <w:ind w:start="0" w:end="0"/>
              <w:jc w:val="star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FATEC  - Interno</w:t>
            </w:r>
          </w:p>
        </w:tc>
      </w:tr>
      <w:tr>
        <w:trPr>
          <w:trHeight w:val="375" w:hRule="atLeast"/>
        </w:trPr>
        <w:tc>
          <w:tcPr>
            <w:tcW w:w="2015" w:type="dxa"/>
            <w:tcBorders/>
          </w:tcPr>
          <w:p>
            <w:pPr>
              <w:pStyle w:val="Capa4"/>
              <w:ind w:start="0" w:end="0"/>
              <w:jc w:val="end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>Documento</w:t>
            </w:r>
          </w:p>
        </w:tc>
        <w:tc>
          <w:tcPr>
            <w:tcW w:w="7092" w:type="dxa"/>
            <w:tcBorders/>
          </w:tcPr>
          <w:p>
            <w:pPr>
              <w:pStyle w:val="Capa4"/>
              <w:ind w:start="0" w:end="0"/>
              <w:jc w:val="start"/>
              <w:rPr>
                <w:rFonts w:cs="Arial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Especificação de Caso de Uso: </w:t>
            </w:r>
            <w:r>
              <w:rPr>
                <w:sz w:val="22"/>
                <w:szCs w:val="22"/>
                <w:i/>
                <w:iCs/>
              </w:rPr>
              <w:t xml:space="preserve">Manter Cadastro de Fornecedores</w:t>
            </w:r>
          </w:p>
        </w:tc>
      </w:tr>
      <w:tr>
        <w:trPr>
          <w:trHeight w:val="375" w:hRule="atLeast"/>
        </w:trPr>
        <w:tc>
          <w:tcPr>
            <w:tcW w:w="2015" w:type="dxa"/>
            <w:tcBorders/>
          </w:tcPr>
          <w:p>
            <w:pPr>
              <w:pStyle w:val="Capa4"/>
              <w:ind w:start="0" w:end="0"/>
              <w:jc w:val="end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>Data</w:t>
            </w:r>
          </w:p>
        </w:tc>
        <w:tc>
          <w:tcPr>
            <w:tcW w:w="7092" w:type="dxa"/>
            <w:tcBorders/>
          </w:tcPr>
          <w:p>
            <w:pPr>
              <w:pStyle w:val="Capa4"/>
              <w:ind w:start="0" w:end="0"/>
              <w:jc w:val="start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30 de setembro de 2026</w:t>
            </w:r>
          </w:p>
        </w:tc>
      </w:tr>
      <w:tr>
        <w:trPr/>
        <w:tc>
          <w:tcPr>
            <w:tcW w:w="2015" w:type="dxa"/>
            <w:tcBorders/>
          </w:tcPr>
          <w:p>
            <w:pPr>
              <w:pStyle w:val="Capa4"/>
              <w:ind w:start="0" w:end="0"/>
              <w:jc w:val="end"/>
              <w:rPr>
                <w:rFonts w:cs="Arial"/>
                <w:b/>
                <w:bCs/>
                <w:sz w:val="24"/>
              </w:rPr>
            </w:pPr>
            <w:r>
              <w:rPr>
                <w:rFonts w:cs="Arial"/>
                <w:b/>
                <w:bCs/>
                <w:sz w:val="24"/>
              </w:rPr>
              <w:t>Autor(es)</w:t>
            </w:r>
          </w:p>
        </w:tc>
        <w:tc>
          <w:tcPr>
            <w:tcW w:w="7092" w:type="dxa"/>
            <w:tcBorders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Rodrigo Rocha Silva</w:t>
            </w:r>
          </w:p>
          <w:p>
            <w:pPr>
              <w:pStyle w:val="Normal"/>
              <w:rPr>
                <w:bCs/>
                <w:u w:val="single"/>
              </w:rPr>
            </w:pPr>
            <w:r>
              <w:rPr/>
              <w:t>rrochas@gmail.com</w:t>
            </w:r>
          </w:p>
        </w:tc>
      </w:tr>
    </w:tbl>
    <w:p>
      <w:pPr>
        <w:pStyle w:val="PSDS-CorpodeTexto"/>
        <w:jc w:val="both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Página de Assinaturas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/>
      </w:pPr>
      <w:r>
        <w:rPr/>
      </w:r>
    </w:p>
    <w:tbl>
      <w:tblPr>
        <w:tblW w:w="91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76"/>
        <w:gridCol w:w="5656"/>
        <w:gridCol w:w="1794"/>
      </w:tblGrid>
      <w:tr>
        <w:trPr/>
        <w:tc>
          <w:tcPr>
            <w:tcW w:w="1676" w:type="dxa"/>
            <w:tcBorders/>
            <w:vAlign w:val="bottom"/>
          </w:tcPr>
          <w:p>
            <w:pPr>
              <w:pStyle w:val="tabletext"/>
              <w:spacing w:before="0" w:after="120"/>
              <w:ind w:start="0" w:end="0"/>
              <w:jc w:val="start"/>
              <w:rPr>
                <w:szCs w:val="24"/>
              </w:rPr>
            </w:pPr>
            <w:r>
              <w:rPr>
                <w:szCs w:val="24"/>
              </w:rPr>
              <w:t>Revisado e Aprovado por:</w:t>
            </w:r>
          </w:p>
        </w:tc>
        <w:tc>
          <w:tcPr>
            <w:tcW w:w="5656" w:type="dxa"/>
            <w:tcBorders/>
          </w:tcPr>
          <w:p>
            <w:pPr>
              <w:pStyle w:val="Normal"/>
              <w:snapToGrid w:val="false"/>
              <w:spacing w:before="120" w:after="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94" w:type="dxa"/>
            <w:tcBorders/>
          </w:tcPr>
          <w:p>
            <w:pPr>
              <w:pStyle w:val="Normal"/>
              <w:snapToGrid w:val="false"/>
              <w:spacing w:before="120" w:after="0"/>
              <w:ind w:start="-108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76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656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1794" w:type="dxa"/>
            <w:tcBorders>
              <w:top w:val="single" w:sz="4" w:space="0" w:color="000000"/>
            </w:tcBorders>
          </w:tcPr>
          <w:p>
            <w:pPr>
              <w:pStyle w:val="Normal"/>
              <w:spacing w:before="120" w:after="0"/>
              <w:ind w:start="-108" w:end="0"/>
              <w:jc w:val="center"/>
              <w:rPr/>
            </w:pPr>
            <w:r>
              <w:rPr/>
              <w:t>dd.mm.aa</w:t>
            </w:r>
          </w:p>
          <w:p>
            <w:pPr>
              <w:pStyle w:val="Normal"/>
              <w:spacing w:before="120" w:after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76" w:type="dxa"/>
            <w:tcBorders/>
            <w:vAlign w:val="bottom"/>
          </w:tcPr>
          <w:p>
            <w:pPr>
              <w:pStyle w:val="tabletext"/>
              <w:spacing w:before="0" w:after="120"/>
              <w:ind w:start="0" w:end="0"/>
              <w:jc w:val="start"/>
              <w:rPr>
                <w:szCs w:val="24"/>
              </w:rPr>
            </w:pPr>
            <w:r>
              <w:rPr>
                <w:szCs w:val="24"/>
              </w:rPr>
              <w:t>Revisado e Aprovado por:</w:t>
            </w:r>
          </w:p>
        </w:tc>
        <w:tc>
          <w:tcPr>
            <w:tcW w:w="5656" w:type="dxa"/>
            <w:tcBorders/>
          </w:tcPr>
          <w:p>
            <w:pPr>
              <w:pStyle w:val="Normal"/>
              <w:snapToGrid w:val="false"/>
              <w:spacing w:before="120" w:after="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94" w:type="dxa"/>
            <w:tcBorders/>
          </w:tcPr>
          <w:p>
            <w:pPr>
              <w:pStyle w:val="Normal"/>
              <w:snapToGrid w:val="false"/>
              <w:spacing w:before="120" w:after="0"/>
              <w:ind w:start="-108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76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656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spacing w:before="120" w:after="0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94" w:type="dxa"/>
            <w:tcBorders>
              <w:top w:val="single" w:sz="4" w:space="0" w:color="000000"/>
            </w:tcBorders>
          </w:tcPr>
          <w:p>
            <w:pPr>
              <w:pStyle w:val="Normal"/>
              <w:spacing w:before="120" w:after="0"/>
              <w:ind w:start="-108" w:end="0"/>
              <w:jc w:val="center"/>
              <w:rPr/>
            </w:pPr>
            <w:r>
              <w:rPr/>
              <w:t>dd.mm.aa</w:t>
            </w:r>
          </w:p>
          <w:p>
            <w:pPr>
              <w:pStyle w:val="Normal"/>
              <w:spacing w:before="120" w:after="0"/>
              <w:ind w:start="-108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76" w:type="dxa"/>
            <w:tcBorders/>
            <w:vAlign w:val="bottom"/>
          </w:tcPr>
          <w:p>
            <w:pPr>
              <w:pStyle w:val="tabletext"/>
              <w:spacing w:before="0" w:after="120"/>
              <w:ind w:start="0" w:end="0"/>
              <w:jc w:val="start"/>
              <w:rPr>
                <w:szCs w:val="24"/>
              </w:rPr>
            </w:pPr>
            <w:r>
              <w:rPr>
                <w:szCs w:val="24"/>
              </w:rPr>
              <w:t>Revisado e Aprovado por:</w:t>
            </w:r>
          </w:p>
        </w:tc>
        <w:tc>
          <w:tcPr>
            <w:tcW w:w="5656" w:type="dxa"/>
            <w:tcBorders/>
          </w:tcPr>
          <w:p>
            <w:pPr>
              <w:pStyle w:val="Normal"/>
              <w:snapToGrid w:val="false"/>
              <w:spacing w:before="120" w:after="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94" w:type="dxa"/>
            <w:tcBorders/>
          </w:tcPr>
          <w:p>
            <w:pPr>
              <w:pStyle w:val="Normal"/>
              <w:snapToGrid w:val="false"/>
              <w:spacing w:before="120" w:after="0"/>
              <w:ind w:start="-108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76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656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spacing w:before="120" w:after="0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94" w:type="dxa"/>
            <w:tcBorders>
              <w:top w:val="single" w:sz="4" w:space="0" w:color="000000"/>
            </w:tcBorders>
          </w:tcPr>
          <w:p>
            <w:pPr>
              <w:pStyle w:val="Normal"/>
              <w:spacing w:before="120" w:after="0"/>
              <w:ind w:start="-108" w:end="0"/>
              <w:jc w:val="center"/>
              <w:rPr/>
            </w:pPr>
            <w:r>
              <w:rPr/>
              <w:t>dd.mm.aa</w:t>
            </w:r>
          </w:p>
          <w:p>
            <w:pPr>
              <w:pStyle w:val="Normal"/>
              <w:spacing w:before="120" w:after="0"/>
              <w:ind w:start="-108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76" w:type="dxa"/>
            <w:tcBorders/>
            <w:vAlign w:val="bottom"/>
          </w:tcPr>
          <w:p>
            <w:pPr>
              <w:pStyle w:val="tabletext"/>
              <w:spacing w:before="0" w:after="120"/>
              <w:ind w:start="0" w:end="0"/>
              <w:jc w:val="start"/>
              <w:rPr>
                <w:szCs w:val="24"/>
              </w:rPr>
            </w:pPr>
            <w:r>
              <w:rPr>
                <w:szCs w:val="24"/>
              </w:rPr>
              <w:t>Revisado e Aprovado por:</w:t>
            </w:r>
          </w:p>
        </w:tc>
        <w:tc>
          <w:tcPr>
            <w:tcW w:w="5656" w:type="dxa"/>
            <w:tcBorders/>
          </w:tcPr>
          <w:p>
            <w:pPr>
              <w:pStyle w:val="Normal"/>
              <w:snapToGrid w:val="false"/>
              <w:spacing w:before="120" w:after="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94" w:type="dxa"/>
            <w:tcBorders/>
          </w:tcPr>
          <w:p>
            <w:pPr>
              <w:pStyle w:val="Normal"/>
              <w:snapToGrid w:val="false"/>
              <w:spacing w:before="120" w:after="0"/>
              <w:ind w:start="-108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76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656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spacing w:before="120" w:after="0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94" w:type="dxa"/>
            <w:tcBorders>
              <w:top w:val="single" w:sz="4" w:space="0" w:color="000000"/>
            </w:tcBorders>
          </w:tcPr>
          <w:p>
            <w:pPr>
              <w:pStyle w:val="Normal"/>
              <w:spacing w:before="120" w:after="0"/>
              <w:ind w:start="-108" w:end="0"/>
              <w:jc w:val="center"/>
              <w:rPr/>
            </w:pPr>
            <w:r>
              <w:rPr/>
              <w:t>dd.mm.aa</w:t>
            </w:r>
          </w:p>
          <w:p>
            <w:pPr>
              <w:pStyle w:val="Normal"/>
              <w:spacing w:before="120" w:after="0"/>
              <w:ind w:start="-108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76" w:type="dxa"/>
            <w:tcBorders/>
            <w:vAlign w:val="bottom"/>
          </w:tcPr>
          <w:p>
            <w:pPr>
              <w:pStyle w:val="tabletext"/>
              <w:spacing w:before="0" w:after="120"/>
              <w:ind w:start="0" w:end="0"/>
              <w:jc w:val="start"/>
              <w:rPr>
                <w:szCs w:val="24"/>
              </w:rPr>
            </w:pPr>
            <w:r>
              <w:rPr>
                <w:szCs w:val="24"/>
              </w:rPr>
              <w:t>Revisado e Aprovado por:</w:t>
            </w:r>
          </w:p>
        </w:tc>
        <w:tc>
          <w:tcPr>
            <w:tcW w:w="5656" w:type="dxa"/>
            <w:tcBorders/>
          </w:tcPr>
          <w:p>
            <w:pPr>
              <w:pStyle w:val="Normal"/>
              <w:snapToGrid w:val="false"/>
              <w:spacing w:before="120" w:after="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794" w:type="dxa"/>
            <w:tcBorders/>
          </w:tcPr>
          <w:p>
            <w:pPr>
              <w:pStyle w:val="Normal"/>
              <w:snapToGrid w:val="false"/>
              <w:spacing w:before="120" w:after="0"/>
              <w:ind w:start="-108" w:end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676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656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spacing w:before="120" w:after="0"/>
              <w:rPr>
                <w:lang w:val="en-GB"/>
              </w:rPr>
            </w:pPr>
            <w:r>
              <w:rPr>
                <w:lang w:val="en-GB"/>
              </w:rPr>
            </w:r>
          </w:p>
          <w:p>
            <w:pPr>
              <w:pStyle w:val="Normal"/>
              <w:spacing w:before="120" w:after="0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1794" w:type="dxa"/>
            <w:tcBorders>
              <w:top w:val="single" w:sz="4" w:space="0" w:color="000000"/>
            </w:tcBorders>
          </w:tcPr>
          <w:p>
            <w:pPr>
              <w:pStyle w:val="Normal"/>
              <w:spacing w:before="120" w:after="0"/>
              <w:ind w:start="-108" w:end="0"/>
              <w:jc w:val="center"/>
              <w:rPr/>
            </w:pPr>
            <w:r>
              <w:rPr/>
              <w:t>dd.mm.aa</w:t>
            </w:r>
          </w:p>
          <w:p>
            <w:pPr>
              <w:pStyle w:val="Normal"/>
              <w:spacing w:before="120" w:after="0"/>
              <w:ind w:start="-108" w:end="0"/>
              <w:jc w:val="center"/>
              <w:rPr/>
            </w:pPr>
            <w:r>
              <w:rPr/>
            </w:r>
          </w:p>
        </w:tc>
      </w:tr>
    </w:tbl>
    <w:p>
      <w:pPr>
        <w:pStyle w:val="PSDS-CorpodeTexto"/>
        <w:jc w:val="both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Normal"/>
        <w:jc w:val="center"/>
        <w:rPr/>
      </w:pPr>
      <w:r>
        <w:rPr>
          <w:b/>
          <w:sz w:val="28"/>
          <w:szCs w:val="28"/>
        </w:rPr>
        <w:t>Histórico de Versões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107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23"/>
        <w:gridCol w:w="35"/>
        <w:gridCol w:w="957"/>
        <w:gridCol w:w="35"/>
        <w:gridCol w:w="3651"/>
        <w:gridCol w:w="35"/>
        <w:gridCol w:w="2139"/>
        <w:gridCol w:w="35"/>
        <w:gridCol w:w="2591"/>
        <w:gridCol w:w="35"/>
      </w:tblGrid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5E5E5" w:val="clear"/>
            <w:vAlign w:val="center"/>
          </w:tcPr>
          <w:p>
            <w:pPr>
              <w:pStyle w:val="PSDS-CorpodeTex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Revisor</w:t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120" w:after="0"/>
              <w:ind w:start="-108" w:end="0"/>
              <w:jc w:val="center"/>
              <w:rPr/>
            </w:pPr>
            <w:r>
              <w:rPr/>
              <w:t xml:space="preserve">30/09/26</w:t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1.0</w:t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Versão inicial da especificação do caso de uso Manter Cadastro de Fornecedores</w:t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Rodrigo Rocha Silva</w:t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jc w:val="center"/>
              <w:rPr/>
            </w:pPr>
            <w:r>
              <w:rPr>
                <w:rFonts w:cs="Arial"/>
              </w:rPr>
              <w:t xml:space="preserve"/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7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6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SDS-CorpodeTexto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35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br w:type="page"/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Índice</w:t>
      </w:r>
    </w:p>
    <w:p>
      <w:pPr>
        <w:pStyle w:val="Normal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fldChar w:fldCharType="begin"/>
          </w:r>
          <w:r>
            <w:rPr>
              <w:rStyle w:val="IndexLink"/>
            </w:rPr>
            <w:instrText xml:space="preserve"> TOC \h \z \t "PSDS - Marcadores Nivel 1;1;PSDS - Marcadores Nivel 2;2;PSDS - Marcadores Nivel 3;3" </w:instrText>
            <w:fldChar w:fldCharType="separate"/>
          </w:r>
          <w:r>
            <w:rPr>
              <w:rStyle w:val="IndexLink"/>
            </w:rPr>
            <w:t>1.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Nome do Caso de Uso</w:t>
            <w:tab/>
            <w:t>5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2.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Objetivo</w:t>
            <w:tab/>
            <w:t>5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3.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Descrição</w:t>
            <w:tab/>
            <w:t>5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4.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Requisitos Funcionais</w:t>
            <w:tab/>
            <w:t>5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5.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Tipo de Caso de Uso</w:t>
            <w:tab/>
            <w:t>5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6.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Atores</w:t>
            <w:tab/>
            <w:t>5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7.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Pré-condições</w:t>
            <w:tab/>
            <w:t>5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7.1.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Permissão de Usuário</w:t>
            <w:tab/>
            <w:t>5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7.2.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Domínios Cadastrados</w:t>
            <w:tab/>
            <w:t>6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8.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Fluxo Principal</w:t>
            <w:tab/>
            <w:t>6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9.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Fluxos Alternativos</w:t>
            <w:tab/>
            <w:t>7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10.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Fluxos de Exceção</w:t>
            <w:tab/>
            <w:t>8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11.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Protótipos de Tela</w:t>
            <w:tab/>
            <w:t>9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11.1.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Protótipo da Tela de Busca</w:t>
            <w:tab/>
            <w:t>9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11.2.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Protótipo da Tela de Resultado da Busca</w:t>
            <w:tab/>
            <w:t>10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11.3.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Protótipo da Tela de Cadastro de Fornecedor</w:t>
            <w:tab/>
            <w:t>11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11.4.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Protótipo da Tela de Inativação e Ativação</w:t>
            <w:tab/>
            <w:t>12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12.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Pós-condições</w:t>
            <w:tab/>
            <w:t>13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12.1.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Fornecedor Cadastrado ou Alterado</w:t>
            <w:tab/>
            <w:t>13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12.2.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Fornecedor Inativado ou Ativado</w:t>
            <w:tab/>
            <w:t>13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12.3.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Fornecedor Visualizado</w:t>
            <w:tab/>
            <w:t>13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13.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Requisitos Não-Funcionais</w:t>
            <w:tab/>
            <w:t>13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14.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Ponto de Extensão</w:t>
            <w:tab/>
            <w:t>13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15.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Critérios de Aceite</w:t>
            <w:tab/>
            <w:t>13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16.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Observações</w:t>
            <w:tab/>
            <w:t>14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16.1.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Prioridade de desenvolvimento</w:t>
            <w:tab/>
            <w:t>14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16.2.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Dependência com o controle de estoque</w:t>
            <w:tab/>
            <w:t>14</w:t>
          </w:r>
        </w:p>
        <w:p>
          <w:pPr>
            <w:pStyle w:val="TOC2"/>
            <w:rPr>
              <w:rFonts w:ascii="Times New Roman" w:hAnsi="Times New Roman" w:cs="Times New Roman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16.3.</w:t>
          </w:r>
          <w:r>
            <w:rPr>
              <w:rStyle w:val="IndexLink"/>
              <w:rFonts w:cs="Times New Roman" w:ascii="Times New Roman" w:hAnsi="Times New Roman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Regras de negócio aplicadas</w:t>
            <w:tab/>
            <w:t>14</w:t>
          </w:r>
        </w:p>
        <w:p>
          <w:pPr>
            <w:pStyle w:val="TOC1"/>
            <w:rPr>
              <w:rFonts w:ascii="Times New Roman" w:hAnsi="Times New Roman" w:cs="Times New Roman"/>
              <w:b w:val="false"/>
              <w:bCs w:val="false"/>
              <w:caps w:val="false"/>
              <w:smallCaps w:val="false"/>
              <w:sz w:val="24"/>
              <w:szCs w:val="24"/>
            </w:rPr>
          </w:pPr>
          <w:r>
            <w:rPr>
              <w:rStyle w:val="IndexLink"/>
            </w:rPr>
            <w:t>17.</w:t>
          </w:r>
          <w:r>
            <w:rPr>
              <w:rStyle w:val="IndexLink"/>
              <w:rFonts w:cs="Times New Roman" w:ascii="Times New Roman" w:hAnsi="Times New Roman"/>
              <w:b w:val="false"/>
              <w:bCs w:val="false"/>
              <w:caps w:val="false"/>
              <w:smallCaps w:val="false"/>
              <w:sz w:val="24"/>
              <w:szCs w:val="24"/>
            </w:rPr>
            <w:tab/>
          </w:r>
          <w:r>
            <w:rPr>
              <w:rStyle w:val="IndexLink"/>
            </w:rPr>
            <w:t>Referências</w:t>
            <w:tab/>
            <w:t>14</w:t>
          </w:r>
          <w:r>
            <w:rPr>
              <w:rStyle w:val="IndexLink"/>
              <w:smallCaps w:val="false"/>
              <w:caps w:val="false"/>
              <w:b w:val="false"/>
              <w:bCs w:val="false"/>
            </w:rPr>
            <w:fldChar w:fldCharType="end"/>
          </w:r>
        </w:p>
      </w:sdtContent>
    </w:sdt>
    <w:p>
      <w:pPr>
        <w:pStyle w:val="Normal"/>
        <w:jc w:val="center"/>
        <w:rPr>
          <w:rFonts w:ascii="Times New Roman" w:hAnsi="Times New Roman" w:cs="Times New Roman"/>
          <w:b/>
          <w:bCs/>
          <w:caps/>
          <w:sz w:val="32"/>
          <w:szCs w:val="32"/>
        </w:rPr>
      </w:pPr>
      <w:r>
        <w:rPr>
          <w:rFonts w:cs="Times New Roman" w:ascii="Times New Roman" w:hAnsi="Times New Roman"/>
          <w:b/>
          <w:bCs/>
          <w:caps/>
          <w:sz w:val="32"/>
          <w:szCs w:val="32"/>
        </w:rPr>
      </w:r>
    </w:p>
    <w:p>
      <w:pPr>
        <w:pStyle w:val="Normal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br w:type="page"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Nome do Caso de Uso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>
          <w:lang w:val="en-US" w:eastAsia="en-US"/>
        </w:rPr>
      </w:pPr>
      <w:r>
        <w:rPr>
          <w:lang w:val="en-US" w:eastAsia="en-US"/>
        </w:rPr>
        <w:t xml:space="preserve">CDU01 – Manter Cadastro de Fornecedores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Objetivo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Este caso de uso tem como objetivo prover uma solução computacional capaz de manter o cadastro de fornecedores do e-commerce de livros, incluindo as funcionalidades de inserção (fluxo principal), consulta, visualização, alteração, inativação e ativação de fornecedores.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Descrição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Através do cadastro de fornecedores é possível manter as informações das empresas que fornecem os livros comercializados pelo e-commerce. O fornecedor é a origem dos itens que entram no estoque da livraria, sendo informação obrigatória em toda entrada em estoque (RN0050).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No cadastro de fornecedores é possível informar a razão social, o nome fantasia, o CNPJ, o e-mail, o telefone e o endereço de cada fornecedor. Todo fornecedor recebe um código único gerado pelo sistema, e não é permitido o cadastro de dois fornecedores com o mesmo CNPJ.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É possível incluir, consultar, visualizar, alterar, inativar e ativar fornecedores. O fornecedor não é excluído da base: quando deixa de fornecer para a livraria, ele é inativado mediante categoria e justificativa, preservando o histórico das entradas em estoque já realizadas, e deixa de estar disponível para novas entradas em estoque.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Requisitos Funcionais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RF0081 – Cadastrar fornecedor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RF0082 – Alterar cadastro de fornecedor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RF0083 – Inativar cadastro de fornecedor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RF0084 – Ativar cadastro de fornecedor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RF0085 – Consulta de fornecedores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Tipo de Caso de Uso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tbl>
      <w:tblPr>
        <w:tblW w:w="10268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8"/>
        <w:gridCol w:w="9440"/>
      </w:tblGrid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CorpodeTexto"/>
              <w:ind w:start="180" w:end="0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X</w:t>
            </w:r>
          </w:p>
        </w:tc>
        <w:tc>
          <w:tcPr>
            <w:tcW w:w="9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CorpodeTexto"/>
              <w:jc w:val="both"/>
              <w:rPr/>
            </w:pPr>
            <w:r>
              <w:rPr>
                <w:b/>
                <w:bCs/>
                <w:lang w:val="en-US" w:eastAsia="en-US"/>
              </w:rPr>
              <w:t>Concreto</w:t>
            </w:r>
            <w:r>
              <w:rPr>
                <w:lang w:val="en-US" w:eastAsia="en-US"/>
              </w:rPr>
              <w:t xml:space="preserve"> (Iniciado diretamente por um Ator)</w:t>
            </w:r>
          </w:p>
        </w:tc>
      </w:tr>
      <w:tr>
        <w:trPr>
          <w:trHeight w:val="70" w:hRule="atLeast"/>
        </w:trPr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CorpodeTexto"/>
              <w:snapToGrid w:val="false"/>
              <w:ind w:start="624" w:end="0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</w:r>
          </w:p>
        </w:tc>
        <w:tc>
          <w:tcPr>
            <w:tcW w:w="9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CorpodeTexto"/>
              <w:jc w:val="both"/>
              <w:rPr/>
            </w:pPr>
            <w:r>
              <w:rPr>
                <w:b/>
                <w:bCs/>
                <w:lang w:val="en-US" w:eastAsia="en-US"/>
              </w:rPr>
              <w:t>Abstrato</w:t>
            </w:r>
            <w:r>
              <w:rPr>
                <w:lang w:val="en-US" w:eastAsia="en-US"/>
              </w:rPr>
              <w:t xml:space="preserve"> (Não iniciado diretamente por um Ator. Geralmente relacionado a outro Caso de Uso)</w:t>
            </w:r>
          </w:p>
        </w:tc>
      </w:tr>
    </w:tbl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Atores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tbl>
      <w:tblPr>
        <w:tblpPr w:vertAnchor="text" w:horzAnchor="text" w:leftFromText="141" w:rightFromText="141" w:tblpX="667" w:tblpY="1"/>
        <w:tblOverlap w:val="never"/>
        <w:tblW w:w="1033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768"/>
        <w:gridCol w:w="1844"/>
        <w:gridCol w:w="3718"/>
      </w:tblGrid>
      <w:tr>
        <w:trPr>
          <w:trHeight w:val="113" w:hRule="atLeast"/>
          <w:cantSplit w:val="true"/>
        </w:trPr>
        <w:tc>
          <w:tcPr>
            <w:tcW w:w="47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bottom"/>
          </w:tcPr>
          <w:p>
            <w:pPr>
              <w:pStyle w:val="PSDS-CorpodeTex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Nome Ator</w:t>
            </w:r>
          </w:p>
        </w:tc>
        <w:tc>
          <w:tcPr>
            <w:tcW w:w="55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PSDS-CorpodeTex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>
        <w:trPr>
          <w:trHeight w:val="112" w:hRule="atLeast"/>
          <w:cantSplit w:val="true"/>
        </w:trPr>
        <w:tc>
          <w:tcPr>
            <w:tcW w:w="47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bottom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PSDS-CorpodeTex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Primário</w:t>
            </w:r>
          </w:p>
        </w:tc>
        <w:tc>
          <w:tcPr>
            <w:tcW w:w="3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PSDS-CorpodeTex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Secundário</w:t>
            </w:r>
          </w:p>
        </w:tc>
      </w:tr>
      <w:tr>
        <w:trPr>
          <w:cantSplit w:val="true"/>
        </w:trPr>
        <w:tc>
          <w:tcPr>
            <w:tcW w:w="47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CorpodeTexto"/>
              <w:jc w:val="both"/>
              <w:rPr/>
            </w:pPr>
            <w:r>
              <w:rPr/>
              <w:t xml:space="preserve">Administrador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CorpodeTexto"/>
              <w:jc w:val="both"/>
              <w:rPr/>
            </w:pPr>
            <w:r>
              <w:rPr/>
              <w:t>X</w:t>
            </w:r>
          </w:p>
        </w:tc>
        <w:tc>
          <w:tcPr>
            <w:tcW w:w="3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CorpodeTexto"/>
              <w:snapToGrid w:val="false"/>
              <w:jc w:val="both"/>
              <w:rPr/>
            </w:pPr>
            <w:r>
              <w:rPr/>
            </w:r>
          </w:p>
        </w:tc>
      </w:tr>
    </w:tbl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Pré-condições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ind w:hanging="0" w:start="0"/>
        <w:rPr/>
      </w:pPr>
      <w:r>
        <w:rPr/>
        <w:t xml:space="preserve">Permissão de Usuário</w:t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O usuário deve estar autenticado no sistema com perfil de administrador e ter permissão para executar as operações.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ind w:hanging="0" w:start="0"/>
        <w:rPr/>
      </w:pPr>
      <w:r>
        <w:rPr/>
        <w:t xml:space="preserve">Domínios Cadastrados</w:t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As categorias de inativação e de ativação de fornecedores, os tipos de telefone, os tipos de logradouro, os estados e os países devem estar previamente cadastrados por meio do script de implantação de domínios (RNF0013).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Fluxo Principal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P1.  Iniciação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P1.1.</w:t>
      </w:r>
      <w:r>
        <w:rPr>
          <w:b w:val="false"/>
          <w:bCs w:val="false"/>
        </w:rPr>
        <w:t xml:space="preserve"> O sistema oferece uma interface de busca ao usuário, com os campos código, razão social, nome fantasia, CNPJ, cidade, estado e status (Ativo, Inativo ou Todos) como parâmetros. Os parâmetros podem ser utilizados de forma combinada ou isolada (RF0085).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P1.2.</w:t>
      </w:r>
      <w:r>
        <w:rPr>
          <w:b w:val="false"/>
          <w:bCs w:val="false"/>
        </w:rPr>
        <w:t xml:space="preserve"> O usuário solicita a busca com base nos parâmetros informados. O sistema deve responder à consulta em no máximo 1 segundo (RNF0011).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P1.3.</w:t>
      </w:r>
      <w:r>
        <w:rPr>
          <w:b w:val="false"/>
          <w:bCs w:val="false"/>
        </w:rPr>
        <w:t xml:space="preserve"> O sistema exibe uma lista de fornecedores e, para cada registro retornado na busca: o código, a razão social, o nome fantasia, o CNPJ, a cidade, o estado e o status. (E3)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O usuário pode selecionar somente um fornecedor listado.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Após a consulta o sistema habilita a opção “Novo”, que permite ao usuário preencher um novo cadastro de fornecedor, caso os registros retornados não o satisfaçam. Caso o CNPJ tenha sido utilizado como parâmetro da consulta, ele será recuperado no preenchimento do novo cadastro.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No caso de o usuário modificar os parâmetros da consulta, não será permitido inserir um novo fornecedor até que seja realizada uma nova busca.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P2. Preparar operação de manutenção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Para o fornecedor selecionado no passo anterior, são apresentadas as opções abaixo.</w:t>
      </w:r>
    </w:p>
    <w:p>
      <w:pPr>
        <w:pStyle w:val="PSDS-CorpodeTexto"/>
        <w:numPr>
          <w:ilvl w:val="0"/>
          <w:numId w:val="100"/>
        </w:numPr>
        <w:spacing w:before="60" w:after="0"/>
        <w:ind w:hanging="357" w:start="1809" w:end="0"/>
        <w:jc w:val="both"/>
        <w:rPr>
          <w:bCs/>
        </w:rPr>
      </w:pPr>
      <w:r>
        <w:rPr/>
        <w:t xml:space="preserve">Caso a opção escolhida seja Novo, segue P3.</w:t>
      </w:r>
    </w:p>
    <w:p>
      <w:pPr>
        <w:pStyle w:val="PSDS-CorpodeTexto"/>
        <w:numPr>
          <w:ilvl w:val="0"/>
          <w:numId w:val="100"/>
        </w:numPr>
        <w:spacing w:before="60" w:after="0"/>
        <w:ind w:hanging="357" w:start="1809" w:end="0"/>
        <w:jc w:val="both"/>
        <w:rPr>
          <w:bCs/>
        </w:rPr>
      </w:pPr>
      <w:r>
        <w:rPr/>
        <w:t xml:space="preserve">Caso a opção escolhida seja Visualizar, segue A2 e em seguida A1.</w:t>
      </w:r>
    </w:p>
    <w:p>
      <w:pPr>
        <w:pStyle w:val="PSDS-CorpodeTexto"/>
        <w:numPr>
          <w:ilvl w:val="0"/>
          <w:numId w:val="100"/>
        </w:numPr>
        <w:spacing w:before="60" w:after="0"/>
        <w:ind w:hanging="357" w:start="1809" w:end="0"/>
        <w:jc w:val="both"/>
        <w:rPr>
          <w:bCs/>
        </w:rPr>
      </w:pPr>
      <w:r>
        <w:rPr/>
        <w:t xml:space="preserve">Caso a opção escolhida seja Alterar, segue A2 e em seguida A3.</w:t>
      </w:r>
    </w:p>
    <w:p>
      <w:pPr>
        <w:pStyle w:val="PSDS-CorpodeTexto"/>
        <w:numPr>
          <w:ilvl w:val="0"/>
          <w:numId w:val="100"/>
        </w:numPr>
        <w:spacing w:before="60" w:after="0"/>
        <w:ind w:hanging="357" w:start="1809" w:end="0"/>
        <w:jc w:val="both"/>
        <w:rPr>
          <w:bCs/>
        </w:rPr>
      </w:pPr>
      <w:r>
        <w:rPr/>
        <w:t xml:space="preserve">Caso a opção escolhida seja Inativar, segue A2 e em seguida A4.</w:t>
      </w:r>
    </w:p>
    <w:p>
      <w:pPr>
        <w:pStyle w:val="PSDS-CorpodeTexto"/>
        <w:numPr>
          <w:ilvl w:val="0"/>
          <w:numId w:val="100"/>
        </w:numPr>
        <w:spacing w:before="60" w:after="0"/>
        <w:ind w:hanging="357" w:start="1809" w:end="0"/>
        <w:jc w:val="both"/>
        <w:rPr>
          <w:bCs/>
        </w:rPr>
      </w:pPr>
      <w:r>
        <w:rPr/>
        <w:t xml:space="preserve">Caso a opção escolhida seja Ativar, segue A2 e em seguida A5.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A opção “Novo” somente é habilitada após a realização da consulta. As opções “Visualizar” e “Alterar” somente são habilitadas quando um fornecedor for selecionado. A opção “Inativar” somente é habilitada para fornecedores com status ATIVO, e a opção “Ativar” somente para fornecedores com status INATIVO.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P3.  Exibir identificação do usuário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São exibidas, em todas as telas do cadastro, as informações do usuário autenticado que está realizando a operação.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P4. Exibir campos de dados cadastrais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P4.1.</w:t>
      </w:r>
      <w:r>
        <w:rPr>
          <w:b w:val="false"/>
          <w:bCs w:val="false"/>
        </w:rPr>
        <w:t xml:space="preserve"> O sistema oferece o campo não editável Código do Fornecedor, gerado pelo sistema no momento da persistência (RNF0081), e os campos razão social, nome fantasia, CNPJ e e-mail. Caso o CNPJ tenha sido informado na consulta, o campo é preenchido com o valor utilizado.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P4.2.</w:t>
      </w:r>
      <w:r>
        <w:rPr>
          <w:b w:val="false"/>
          <w:bCs w:val="false"/>
        </w:rPr>
        <w:t xml:space="preserve"> O sistema oferece um conjunto de campos de telefone: tipo, DDD e número (RN0081).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P4.3.</w:t>
      </w:r>
      <w:r>
        <w:rPr>
          <w:b w:val="false"/>
          <w:bCs w:val="false"/>
        </w:rPr>
        <w:t xml:space="preserve"> O sistema oferece um conjunto de campos de endereço: tipo de logradouro, logradouro, número, complemento, bairro, CEP, cidade, estado e país (RN0082).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Todos os campos, com exceção de complemento, são considerados de preenchimento obrigatório.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P5.  Concluir inserção do fornecedor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O sistema exibe as opções:</w:t>
      </w:r>
    </w:p>
    <w:p>
      <w:pPr>
        <w:pStyle w:val="PSDS-CorpodeTexto"/>
        <w:numPr>
          <w:ilvl w:val="0"/>
          <w:numId w:val="101"/>
        </w:numPr>
        <w:spacing w:before="60" w:after="0"/>
        <w:ind w:hanging="357" w:start="1809" w:end="0"/>
        <w:jc w:val="both"/>
        <w:rPr>
          <w:bCs/>
        </w:rPr>
      </w:pPr>
      <w:r>
        <w:rPr/>
        <w:t xml:space="preserve">Salvar,</w:t>
      </w:r>
    </w:p>
    <w:p>
      <w:pPr>
        <w:pStyle w:val="PSDS-CorpodeTexto"/>
        <w:numPr>
          <w:ilvl w:val="0"/>
          <w:numId w:val="101"/>
        </w:numPr>
        <w:spacing w:before="60" w:after="0"/>
        <w:ind w:hanging="357" w:start="1809" w:end="0"/>
        <w:jc w:val="both"/>
        <w:rPr>
          <w:bCs/>
        </w:rPr>
      </w:pPr>
      <w:r>
        <w:rPr/>
        <w:t xml:space="preserve">Cancelar.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Caso seja escolhida a opção ‘a’, segue P6.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Caso seja escolhida a opção ‘b’, os dados informados são descartados e o fluxo volta a P1.2.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P6.  Verificar dados obrigatórios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O sistema verifica se todas as informações obrigatórias foram preenchidas, conforme RN0081 e RN0082.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Caso a verificação retorne que não houve nenhum erro, segue P7. (E1)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P7.  Verificar unicidade do CNPJ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O sistema verifica se já existe outro fornecedor cadastrado com o mesmo CNPJ, independentemente do seu status (RN0083).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Caso não exista, segue P8. (E2)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P8. Persistir dados do fornecedor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P8.1.</w:t>
      </w:r>
      <w:r>
        <w:rPr>
          <w:b w:val="false"/>
          <w:bCs w:val="false"/>
        </w:rPr>
        <w:t xml:space="preserve"> O sistema persiste os dados cadastrais do fornecedor. Caso seja um novo cadastro, é gerado um novo Código do Fornecedor, persistido juntamente com o fornecedor (RNF0081). O sistema exibe ao usuário este código e a mensagem de operação efetuada com sucesso.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P8.2.</w:t>
      </w:r>
      <w:r>
        <w:rPr>
          <w:b w:val="false"/>
          <w:bCs w:val="false"/>
        </w:rPr>
        <w:t xml:space="preserve"> Caso seja um novo cadastro, o sistema atribui o status ATIVO ao fornecedor. Na alteração de um fornecedor já cadastrado, o status atual é mantido.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P8.3.</w:t>
      </w:r>
      <w:r>
        <w:rPr>
          <w:b w:val="false"/>
          <w:bCs w:val="false"/>
        </w:rPr>
        <w:t xml:space="preserve"> O sistema registra a data, a hora e o usuário responsável pela operação, mantendo os dados alterados (RNF0012).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P8.4.</w:t>
      </w:r>
      <w:r>
        <w:rPr>
          <w:b w:val="false"/>
          <w:bCs w:val="false"/>
        </w:rPr>
        <w:t xml:space="preserve"> Volta a P1.2.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Fluxos Alternativos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A1.  Visualizar Fornecedor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Este passo é executado a partir do passo P2 quando escolhida a opção ‘b’.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A1.1.</w:t>
      </w:r>
      <w:r>
        <w:rPr>
          <w:b w:val="false"/>
          <w:bCs w:val="false"/>
        </w:rPr>
        <w:t xml:space="preserve"> O sistema exibe os dados recuperados no passo A2, utilizando os campos descritos em P4, além do status do fornecedor. Todos os campos são exibidos no modo “somente leitura”.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A1.2.</w:t>
      </w:r>
      <w:r>
        <w:rPr>
          <w:b w:val="false"/>
          <w:bCs w:val="false"/>
        </w:rPr>
        <w:t xml:space="preserve"> Volta a P1.2.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A2. Consultar fornecedor pontual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Este passo é executado a partir do passo P2 quando escolhida a opção ‘b’, ‘c’, ‘d’ ou ‘e’.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A2.1.</w:t>
      </w:r>
      <w:r>
        <w:rPr>
          <w:b w:val="false"/>
          <w:bCs w:val="false"/>
        </w:rPr>
        <w:t xml:space="preserve"> O sistema executa uma consulta pontual do fornecedor selecionado no passo P1.3, trazendo todos os dados deste fornecedor. Segue para o fluxo determinado em P2.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A3.  Alterar Fornecedor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Este passo é executado a partir do passo P2 quando escolhida a opção ‘c’.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A3.1.</w:t>
      </w:r>
      <w:r>
        <w:rPr>
          <w:b w:val="false"/>
          <w:bCs w:val="false"/>
        </w:rPr>
        <w:t xml:space="preserve"> O sistema exibe para edição os dados recuperados no passo A2, utilizando os campos descritos em P4. O Código do Fornecedor permanece não editável.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A3.2.</w:t>
      </w:r>
      <w:r>
        <w:rPr>
          <w:b w:val="false"/>
          <w:bCs w:val="false"/>
        </w:rPr>
        <w:t xml:space="preserve"> O sistema permite as seguintes opções ao usuário:</w:t>
      </w:r>
    </w:p>
    <w:p>
      <w:pPr>
        <w:pStyle w:val="PSDS-CorpodeTexto"/>
        <w:numPr>
          <w:ilvl w:val="0"/>
          <w:numId w:val="102"/>
        </w:numPr>
        <w:spacing w:before="60" w:after="0"/>
        <w:ind w:hanging="357" w:start="1809" w:end="0"/>
        <w:jc w:val="both"/>
        <w:rPr>
          <w:bCs/>
        </w:rPr>
      </w:pPr>
      <w:r>
        <w:rPr/>
        <w:t xml:space="preserve">Salvar,</w:t>
      </w:r>
    </w:p>
    <w:p>
      <w:pPr>
        <w:pStyle w:val="PSDS-CorpodeTexto"/>
        <w:numPr>
          <w:ilvl w:val="0"/>
          <w:numId w:val="102"/>
        </w:numPr>
        <w:spacing w:before="60" w:after="0"/>
        <w:ind w:hanging="357" w:start="1809" w:end="0"/>
        <w:jc w:val="both"/>
        <w:rPr>
          <w:bCs/>
        </w:rPr>
      </w:pPr>
      <w:r>
        <w:rPr/>
        <w:t xml:space="preserve">Cancelar.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Caso seja escolhida a opção ‘a’, vai para o passo P6. Na verificação do passo P7, o próprio fornecedor em alteração é desconsiderado.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Caso seja escolhida a opção ‘b’, as alterações são descartadas e o fluxo volta a P1.2.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A4.  Inativar Fornecedor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Este passo é executado a partir do passo P2 quando escolhida a opção ‘d’, somente para fornecedores com status ATIVO.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A4.1.</w:t>
      </w:r>
      <w:r>
        <w:rPr>
          <w:b w:val="false"/>
          <w:bCs w:val="false"/>
        </w:rPr>
        <w:t xml:space="preserve"> O sistema solicita ao usuário a categoria de inativação e a justificativa da inativação (RN0084).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A4.2.</w:t>
      </w:r>
      <w:r>
        <w:rPr>
          <w:b w:val="false"/>
          <w:bCs w:val="false"/>
        </w:rPr>
        <w:t xml:space="preserve"> O sistema exibe as opções Confirmar e Cancelar. Caso o usuário escolha Cancelar, volta a P1.2. Caso escolha Confirmar, segue A4.3.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A4.3.</w:t>
      </w:r>
      <w:r>
        <w:rPr>
          <w:b w:val="false"/>
          <w:bCs w:val="false"/>
        </w:rPr>
        <w:t xml:space="preserve"> O sistema verifica se a categoria e a justificativa foram informadas. (E4)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A4.4.</w:t>
      </w:r>
      <w:r>
        <w:rPr>
          <w:b w:val="false"/>
          <w:bCs w:val="false"/>
        </w:rPr>
        <w:t xml:space="preserve"> O sistema altera o status do fornecedor para INATIVO, persiste a categoria e a justificativa informadas e registra a data, a hora e o usuário responsável (RNF0012). A partir deste momento, o fornecedor não pode ser informado em novas entradas em estoque (RN0086).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A4.5.</w:t>
      </w:r>
      <w:r>
        <w:rPr>
          <w:b w:val="false"/>
          <w:bCs w:val="false"/>
        </w:rPr>
        <w:t xml:space="preserve"> O sistema emite mensagem de operação efetuada com sucesso e volta a P1.2.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A5.  Ativar Fornecedor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Este passo é executado a partir do passo P2 quando escolhida a opção ‘e’, somente para fornecedores com status INATIVO.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A5.1.</w:t>
      </w:r>
      <w:r>
        <w:rPr>
          <w:b w:val="false"/>
          <w:bCs w:val="false"/>
        </w:rPr>
        <w:t xml:space="preserve"> O sistema solicita ao usuário a categoria de ativação e a justificativa da ativação (RN0085).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A5.2.</w:t>
      </w:r>
      <w:r>
        <w:rPr>
          <w:b w:val="false"/>
          <w:bCs w:val="false"/>
        </w:rPr>
        <w:t xml:space="preserve"> O sistema exibe as opções Confirmar e Cancelar. Caso o usuário escolha Cancelar, volta a P1.2. Caso escolha Confirmar, segue A5.3.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A5.3.</w:t>
      </w:r>
      <w:r>
        <w:rPr>
          <w:b w:val="false"/>
          <w:bCs w:val="false"/>
        </w:rPr>
        <w:t xml:space="preserve"> O sistema verifica se a categoria e a justificativa foram informadas. (E4)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A5.4.</w:t>
      </w:r>
      <w:r>
        <w:rPr>
          <w:b w:val="false"/>
          <w:bCs w:val="false"/>
        </w:rPr>
        <w:t xml:space="preserve"> O sistema altera o status do fornecedor para ATIVO, persiste a categoria e a justificativa informadas e registra a data, a hora e o usuário responsável (RNF0012). A partir deste momento, o fornecedor volta a poder ser informado em entradas em estoque (RN0086).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A5.5.</w:t>
      </w:r>
      <w:r>
        <w:rPr>
          <w:b w:val="false"/>
          <w:bCs w:val="false"/>
        </w:rPr>
        <w:t xml:space="preserve"> O sistema emite mensagem de operação efetuada com sucesso e volta a P1.2.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Fluxos de Exceção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E1. Dados Obrigatórios não Preenchidos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Este fluxo é executado a partir do passo P6. O sistema exibe os campos obrigatórios não preenchidos e retorna ao passo P4, ou ao passo A3.1 no caso de alteração, mantendo os dados já digitados.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E2. CNPJ já Cadastrado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Este fluxo é executado a partir do passo P7. O sistema exibe mensagem informando que o CNPJ já está cadastrado, indicando o código do fornecedor existente, e retorna ao passo P4, ou ao passo A3.1 no caso de alteração, mantendo os dados já digitados.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E3. Nenhum Fornecedor Encontrado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Este fluxo é executado a partir do passo P1.3, quando nenhum fornecedor satisfaz os parâmetros informados. O sistema exibe, na própria tela de pesquisa, mensagem informando que não foram encontrados fornecedores e habilita a opção “Novo”, conforme descrito em P1.3.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keepNext/>
        <w:ind w:start="702" w:end="0"/>
        <w:jc w:val="both"/>
        <w:rPr>
          <w:bCs/>
        </w:rPr>
      </w:pPr>
      <w:r>
        <w:rPr>
          <w:b/>
          <w:bCs/>
        </w:rPr>
        <w:t xml:space="preserve">E4. Categoria ou Justificativa não Informada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 w:val="false"/>
          <w:bCs w:val="false"/>
        </w:rPr>
        <w:t xml:space="preserve">Este fluxo é executado a partir do passo A4.3 ou A5.3. O sistema exibe mensagem indicando o campo não informado e retorna ao passo A4.1 ou A5.1, conforme o fluxo de origem.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Protótipos de Tela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ind w:hanging="0" w:start="0"/>
        <w:rPr/>
      </w:pPr>
      <w:r>
        <w:rPr/>
        <w:t xml:space="preserve">Protótipo da Tela de Busca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MarcadoresNivel2"/>
        <w:numPr>
          <w:ilvl w:val="0"/>
          <w:numId w:val="0"/>
        </w:numPr>
        <w:ind w:hanging="0" w:start="792" w:end="0"/>
        <w:jc w:val="center"/>
        <w:rPr>
          <w:rStyle w:val="Emphasis"/>
          <w:i w:val="false"/>
          <w:i w:val="false"/>
          <w:iCs w:val="false"/>
        </w:rPr>
      </w:pPr>
      <w:r>
        <w:rPr>
          <w:rStyle w:val="Emphasis"/>
          <w:i w:val="false"/>
          <w:iCs w:val="false"/>
        </w:rPr>
        <w:drawing>
          <wp:inline distT="0" distB="0" distL="0" distR="0">
            <wp:extent cx="4206240" cy="2704011"/>
            <wp:effectExtent l="0" t="0" r="0" b="0"/>
            <wp:docPr id="201" name="Fornecedor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ornecedor1" descr="" title=""/>
                    <pic:cNvPicPr>
                      <a:picLocks noChangeAspect="1" noChangeArrowheads="1"/>
                    </pic:cNvPicPr>
                  </pic:nvPicPr>
                  <pic:blipFill>
                    <a:blip r:embed="rIdFor1"/>
                    <a:srcRect l="-8" t="-13" r="-8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70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Através da tela de pesquisa de fornecedores é possível verificar se um fornecedor já possui cadastro no sistema antes de realizar um novo cadastro.</w:t>
      </w:r>
    </w:p>
    <w:p>
      <w:pPr>
        <w:pStyle w:val="PSDS-CorpodeTexto"/>
        <w:ind w:start="624" w:end="0"/>
        <w:jc w:val="both"/>
        <w:rPr/>
      </w:pPr>
      <w:r>
        <w:rPr/>
      </w:r>
    </w:p>
    <w:tbl>
      <w:tblPr>
        <w:tblW w:w="1062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20"/>
        <w:gridCol w:w="1800"/>
        <w:gridCol w:w="1620"/>
        <w:gridCol w:w="720"/>
        <w:gridCol w:w="3968"/>
      </w:tblGrid>
      <w:tr>
        <w:trPr>
          <w:tblHeader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Elemento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Tipo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Status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Tam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Comportamento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Código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Opcional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10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Filtra os fornecedores pelo código informado (P1.1).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Razão Social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Opcional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100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Filtra os fornecedores pela razão social informada (P1.1).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Nome Fantasia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Opcional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60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Filtra os fornecedores pelo nome fantasia informado (P1.1).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CNPJ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Opcional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18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Filtra os fornecedores pelo CNPJ informado. Quando informado, é recuperado no preenchimento de um novo cadastro (P1.3).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Cidade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Opcional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60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Filtra os fornecedores pela cidade do endereço (P1.1).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Estado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Combobox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Opcional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Filtra os fornecedores pelo estado do endereço. Assume os dados da tabela de estados.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Status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Combobox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Opções Ativo, Inativo e Todos. Valor padrão: Todos.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Buscar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Botão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Default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Corresponde ao fluxo P1.2. Permissão de Acesso: FORNECEDOR_CONSULTAR</w:t>
            </w:r>
          </w:p>
        </w:tc>
      </w:tr>
    </w:tbl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ind w:hanging="0" w:start="0"/>
        <w:rPr/>
      </w:pPr>
      <w:r>
        <w:rPr/>
        <w:t xml:space="preserve">Protótipo da Tela de Resultado da Busca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MarcadoresNivel2"/>
        <w:numPr>
          <w:ilvl w:val="0"/>
          <w:numId w:val="0"/>
        </w:numPr>
        <w:ind w:hanging="0" w:start="792" w:end="0"/>
        <w:jc w:val="center"/>
        <w:rPr>
          <w:rStyle w:val="Emphasis"/>
          <w:i w:val="false"/>
          <w:i w:val="false"/>
          <w:iCs w:val="false"/>
        </w:rPr>
      </w:pPr>
      <w:r>
        <w:rPr>
          <w:rStyle w:val="Emphasis"/>
          <w:i w:val="false"/>
          <w:iCs w:val="false"/>
        </w:rPr>
        <w:drawing>
          <wp:inline distT="0" distB="0" distL="0" distR="0">
            <wp:extent cx="5486400" cy="3031957"/>
            <wp:effectExtent l="0" t="0" r="0" b="0"/>
            <wp:docPr id="202" name="Fornecedor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Fornecedor2" descr="" title=""/>
                    <pic:cNvPicPr>
                      <a:picLocks noChangeAspect="1" noChangeArrowheads="1"/>
                    </pic:cNvPicPr>
                  </pic:nvPicPr>
                  <pic:blipFill>
                    <a:blip r:embed="rIdFor2"/>
                    <a:srcRect l="-8" t="-13" r="-8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Nesta pesquisa o resultado é exibido em uma estrutura de tabela, onde para selecionar um fornecedor basta selecionar o seu registro.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As opções Novo, Visualizar, Alterar, Inativar e Ativar são exibidas acima da tabela com o resultado. A opção Novo é habilitada após a realização da consulta. As opções Visualizar e Alterar são habilitadas apenas quando um registro for selecionado. A opção Inativar é habilitada apenas para registros com status Ativo, e a opção Ativar apenas para registros com status Inativo, sempre de acordo com a permissão de acesso do usuário.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Quando não forem encontrados fornecedores que satisfaçam os critérios de pesquisa informados, é exibida uma mensagem na própria tela de pesquisa informando ao usuário que não foram encontrados fornecedores (E3).</w:t>
      </w:r>
    </w:p>
    <w:p>
      <w:pPr>
        <w:pStyle w:val="PSDS-CorpodeTexto"/>
        <w:ind w:start="624" w:end="0"/>
        <w:jc w:val="both"/>
        <w:rPr/>
      </w:pPr>
      <w:r>
        <w:rPr/>
      </w:r>
    </w:p>
    <w:tbl>
      <w:tblPr>
        <w:tblW w:w="1062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20"/>
        <w:gridCol w:w="1800"/>
        <w:gridCol w:w="1620"/>
        <w:gridCol w:w="720"/>
        <w:gridCol w:w="3968"/>
      </w:tblGrid>
      <w:tr>
        <w:trPr>
          <w:tblHeader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Elemento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Tipo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Status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Tam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Comportamento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Resultado da Busca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Tabela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Exibe código, razão social, nome fantasia, CNPJ, cidade, estado e status de cada fornecedor retornado. Permite a seleção de somente um registro (P1.3).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Novo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Botão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Condicional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Corresponde ao passo P2, opção ‘a’. Permissão de Acesso: FORNECEDOR_INCLUIR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Visualizar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Botão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Condicional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Corresponde ao passo P2, opção ‘b’. Permissão de Acesso: FORNECEDOR_CONSULTAR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Alterar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Botão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Condicional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Corresponde ao passo P2, opção ‘c’. Permissão de Acesso: FORNECEDOR_ALTERAR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Inativar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Botão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Condicional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Corresponde ao passo P2, opção ‘d’. Permissão de Acesso: FORNECEDOR_INATIVAR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Ativar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Botão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Condicional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Corresponde ao passo P2, opção ‘e’. Permissão de Acesso: FORNECEDOR_ATIVAR</w:t>
            </w:r>
          </w:p>
        </w:tc>
      </w:tr>
    </w:tbl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ind w:hanging="0" w:start="0"/>
        <w:rPr/>
      </w:pPr>
      <w:r>
        <w:rPr/>
        <w:t xml:space="preserve">Protótipo da Tela de Cadastro de Fornecedor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MarcadoresNivel2"/>
        <w:numPr>
          <w:ilvl w:val="0"/>
          <w:numId w:val="0"/>
        </w:numPr>
        <w:ind w:hanging="0" w:start="792" w:end="0"/>
        <w:jc w:val="center"/>
        <w:rPr>
          <w:rStyle w:val="Emphasis"/>
          <w:i w:val="false"/>
          <w:i w:val="false"/>
          <w:iCs w:val="false"/>
        </w:rPr>
      </w:pPr>
      <w:r>
        <w:rPr>
          <w:rStyle w:val="Emphasis"/>
          <w:i w:val="false"/>
          <w:iCs w:val="false"/>
        </w:rPr>
        <w:drawing>
          <wp:inline distT="0" distB="0" distL="0" distR="0">
            <wp:extent cx="5486400" cy="4042610"/>
            <wp:effectExtent l="0" t="0" r="0" b="0"/>
            <wp:docPr id="203" name="Fornecedor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Fornecedor3" descr="" title=""/>
                    <pic:cNvPicPr>
                      <a:picLocks noChangeAspect="1" noChangeArrowheads="1"/>
                    </pic:cNvPicPr>
                  </pic:nvPicPr>
                  <pic:blipFill>
                    <a:blip r:embed="rIdFor3"/>
                    <a:srcRect l="-8" t="-13" r="-8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A tela de cadastro é utilizada na inclusão (P4) e na alteração (A3) de fornecedores. Na visualização (A1), os mesmos campos são exibidos no modo somente leitura.</w:t>
      </w:r>
    </w:p>
    <w:p>
      <w:pPr>
        <w:pStyle w:val="PSDS-CorpodeTexto"/>
        <w:ind w:start="624" w:end="0"/>
        <w:jc w:val="both"/>
        <w:rPr/>
      </w:pPr>
      <w:r>
        <w:rPr/>
      </w:r>
    </w:p>
    <w:tbl>
      <w:tblPr>
        <w:tblW w:w="1062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20"/>
        <w:gridCol w:w="1800"/>
        <w:gridCol w:w="1620"/>
        <w:gridCol w:w="720"/>
        <w:gridCol w:w="3968"/>
      </w:tblGrid>
      <w:tr>
        <w:trPr>
          <w:tblHeader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Elemento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Tipo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Status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Tam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Comportamento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Código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Não editável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10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Gerado pelo sistema na persistência de um novo fornecedor (P8.1, RNF0081).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Razão Social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100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Razão social do fornecedor (RN0081).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Nome Fantasia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60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Nome fantasia do fornecedor (RN0081).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CNPJ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18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Não pode repetir o CNPJ de outro fornecedor (P7, RN0083). Preenchido com o valor da consulta, quando informado.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E-mail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100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E-mail do fornecedor (RN0081).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Tipo de Telefone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Combobox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Assume os dados da tabela de tipos de telefone (RN0081).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DDD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2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DDD do telefone (RN0081).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Número do Telefone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9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Número do telefone (RN0081).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Tipo de Logradouro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Combobox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Assume os dados da tabela de tipos de logradouro (RN0082).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Logradouro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100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Logradouro do endereço (RN0082).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Número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10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Número do endereço (RN0082).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Complemento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Opcional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60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Complemento do endereço (RN0082).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Bairro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60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Bairro do endereço (RN0082).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CEP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8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CEP do endereço (RN0082).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Cidade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Alfanumérico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60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Cidade do endereço (RN0082).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Estado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Combobox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Assume os dados da tabela de estados (RN0082).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País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Combobox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Assume os dados da tabela de países (RN0082).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Salvar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Botão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Default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Corresponde ao passo P5, opção ‘a’, ou A3.2, opção ‘a’. Permissão de Acesso: FORNECEDOR_INCLUIR ou FORNECEDOR_ALTERAR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Cancelar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Botão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Corresponde ao passo P5, opção ‘b’, ou A3.2, opção ‘b’.</w:t>
            </w:r>
          </w:p>
        </w:tc>
      </w:tr>
    </w:tbl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ind w:hanging="0" w:start="0"/>
        <w:rPr/>
      </w:pPr>
      <w:r>
        <w:rPr/>
        <w:t xml:space="preserve">Protótipo da Tela de Inativação e Ativação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MarcadoresNivel2"/>
        <w:numPr>
          <w:ilvl w:val="0"/>
          <w:numId w:val="0"/>
        </w:numPr>
        <w:ind w:hanging="0" w:start="792" w:end="0"/>
        <w:jc w:val="center"/>
        <w:rPr>
          <w:rStyle w:val="Emphasis"/>
          <w:i w:val="false"/>
          <w:i w:val="false"/>
          <w:iCs w:val="false"/>
        </w:rPr>
      </w:pPr>
      <w:r>
        <w:rPr>
          <w:rStyle w:val="Emphasis"/>
          <w:i w:val="false"/>
          <w:iCs w:val="false"/>
        </w:rPr>
        <w:drawing>
          <wp:inline distT="0" distB="0" distL="0" distR="0">
            <wp:extent cx="4206240" cy="2478677"/>
            <wp:effectExtent l="0" t="0" r="0" b="0"/>
            <wp:docPr id="204" name="Fornecedor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Fornecedor4" descr="" title=""/>
                    <pic:cNvPicPr>
                      <a:picLocks noChangeAspect="1" noChangeArrowheads="1"/>
                    </pic:cNvPicPr>
                  </pic:nvPicPr>
                  <pic:blipFill>
                    <a:blip r:embed="rIdFor4"/>
                    <a:srcRect l="-8" t="-13" r="-8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47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A mesma tela é utilizada na inativação (A4) e na ativação (A5) de fornecedores, alterando o título e as categorias disponíveis conforme a operação.</w:t>
      </w:r>
    </w:p>
    <w:p>
      <w:pPr>
        <w:pStyle w:val="PSDS-CorpodeTexto"/>
        <w:ind w:start="624" w:end="0"/>
        <w:jc w:val="both"/>
        <w:rPr/>
      </w:pPr>
      <w:r>
        <w:rPr/>
      </w:r>
    </w:p>
    <w:tbl>
      <w:tblPr>
        <w:tblW w:w="1062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20"/>
        <w:gridCol w:w="1800"/>
        <w:gridCol w:w="1620"/>
        <w:gridCol w:w="720"/>
        <w:gridCol w:w="3968"/>
      </w:tblGrid>
      <w:tr>
        <w:trPr>
          <w:tblHeader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Elemento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Tipo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Status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Tam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jc w:val="center"/>
              <w:rPr>
                <w:b w:val="false"/>
                <w:bCs/>
                <w:color w:val="FFFFFF"/>
              </w:rPr>
            </w:pPr>
            <w:r>
              <w:rPr>
                <w:b w:val="false"/>
                <w:bCs/>
                <w:color w:val="FFFFFF"/>
                <w:szCs w:val="24"/>
              </w:rPr>
              <w:t>Comportamento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Categoria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Combobox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Categorias de inativação (A4.1, RN0084) ou de ativação (A5.1, RN0085), carregadas como domínio (RNF0013).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Justificativa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Texto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Obrigatório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255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Justificativa da inativação (RN0084) ou da ativação (RN0085).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Confirmar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Botão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Default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Corresponde ao passo A4.2 ou A5.2. Permissão de Acesso: FORNECEDOR_INATIVAR ou FORNECEDOR_ATIVAR</w:t>
            </w:r>
          </w:p>
        </w:tc>
      </w:tr>
      <w:tr>
        <w:trPr>
          <w:cantSplit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Cancelar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Botão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SDS-MarcadoresNivel2"/>
              <w:numPr>
                <w:ilvl w:val="0"/>
                <w:numId w:val="0"/>
              </w:numPr>
              <w:ind w:hanging="0" w:start="0"/>
              <w:rPr>
                <w:b w:val="false"/>
                <w:bCs/>
                <w:sz w:val="22"/>
                <w:szCs w:val="22"/>
              </w:rPr>
            </w:pPr>
            <w:r>
              <w:rPr>
                <w:sz w:val="22"/>
                <w:szCs w:val="22"/>
                <w:b w:val="false"/>
                <w:bCs w:val="false"/>
              </w:rPr>
              <w:t xml:space="preserve">-</w:t>
            </w:r>
          </w:p>
        </w:tc>
        <w:tc>
          <w:tcPr>
            <w:tcW w:w="3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bCs/>
              </w:rPr>
            </w:pPr>
            <w:r>
              <w:rPr/>
              <w:t xml:space="preserve">Corresponde ao passo A4.2 ou A5.2. Volta a P1.2.</w:t>
            </w:r>
          </w:p>
        </w:tc>
      </w:tr>
    </w:tbl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Pós-condições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tabs>
          <w:tab w:val="clear" w:pos="708"/>
          <w:tab w:val="left" w:pos="360" w:leader="none"/>
        </w:tabs>
        <w:ind w:hanging="180" w:start="540" w:end="0"/>
        <w:rPr>
          <w:bCs/>
        </w:rPr>
      </w:pPr>
      <w:r>
        <w:rPr/>
        <w:t xml:space="preserve">Fornecedor Cadastrado ou Alterado</w:t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O fornecedor terá sido cadastrado com código único e status ATIVO, ou terá seus dados cadastrais alterados, com o registro da operação em log.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tabs>
          <w:tab w:val="clear" w:pos="708"/>
          <w:tab w:val="left" w:pos="360" w:leader="none"/>
        </w:tabs>
        <w:ind w:hanging="180" w:start="540" w:end="0"/>
        <w:rPr>
          <w:bCs/>
        </w:rPr>
      </w:pPr>
      <w:r>
        <w:rPr/>
        <w:t xml:space="preserve">Fornecedor Inativado ou Ativado</w:t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O fornecedor terá seu status alterado para INATIVO ou ATIVO, com a categoria e a justificativa da operação registradas.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tabs>
          <w:tab w:val="clear" w:pos="708"/>
          <w:tab w:val="left" w:pos="360" w:leader="none"/>
        </w:tabs>
        <w:ind w:hanging="180" w:start="540" w:end="0"/>
        <w:rPr>
          <w:bCs/>
        </w:rPr>
      </w:pPr>
      <w:r>
        <w:rPr/>
        <w:t xml:space="preserve">Fornecedor Visualizado</w:t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O fornecedor terá sido visualizado, sem nenhuma alteração em seus dados.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Requisitos Não-Funcionais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RNF0011 – Tempo de resposta para consultas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RNF0012 – Log de transação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RNF0013 – Cadastro de domínios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RNF0081 – Código de fornecedor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Ponto de Extensão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Não há pontos de extensão para este caso de uso.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Critérios de Aceite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CA01.</w:t>
      </w:r>
      <w:r>
        <w:rPr>
          <w:b w:val="false"/>
          <w:bCs w:val="false"/>
        </w:rPr>
        <w:t xml:space="preserve"> Um novo fornecedor com todos os dados obrigatórios preenchidos é persistido com código único e status ATIVO (P8.1, P8.2).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CA02.</w:t>
      </w:r>
      <w:r>
        <w:rPr>
          <w:b w:val="false"/>
          <w:bCs w:val="false"/>
        </w:rPr>
        <w:t xml:space="preserve"> Um fornecedor com algum dado obrigatório não preenchido não é persistido, e o sistema indica os campos pendentes (E1).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CA03.</w:t>
      </w:r>
      <w:r>
        <w:rPr>
          <w:b w:val="false"/>
          <w:bCs w:val="false"/>
        </w:rPr>
        <w:t xml:space="preserve"> O sistema não permite a inclusão nem a alteração de um fornecedor com CNPJ já utilizado por outro fornecedor, ativo ou inativo (E2).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CA04.</w:t>
      </w:r>
      <w:r>
        <w:rPr>
          <w:b w:val="false"/>
          <w:bCs w:val="false"/>
        </w:rPr>
        <w:t xml:space="preserve"> A consulta aceita qualquer parâmetro de forma isolada ou combinada e responde em no máximo 1 segundo (P1.1, P1.2).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CA05.</w:t>
      </w:r>
      <w:r>
        <w:rPr>
          <w:b w:val="false"/>
          <w:bCs w:val="false"/>
        </w:rPr>
        <w:t xml:space="preserve"> A opção Novo somente é habilitada após a realização de uma consulta e é desabilitada quando os parâmetros são modificados (P1.3).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CA06.</w:t>
      </w:r>
      <w:r>
        <w:rPr>
          <w:b w:val="false"/>
          <w:bCs w:val="false"/>
        </w:rPr>
        <w:t xml:space="preserve"> A inativação e a ativação somente são concluídas com a categoria e a justificativa informadas (A4, A5, E4).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CA07.</w:t>
      </w:r>
      <w:r>
        <w:rPr>
          <w:b w:val="false"/>
          <w:bCs w:val="false"/>
        </w:rPr>
        <w:t xml:space="preserve"> Um fornecedor com status INATIVO não pode ser informado em uma entrada em estoque (A4.4).</w:t>
      </w:r>
    </w:p>
    <w:p>
      <w:pPr>
        <w:pStyle w:val="PSDS-CorpodeTexto"/>
        <w:spacing w:before="60" w:after="0"/>
        <w:ind w:firstLine="11" w:start="1077" w:end="0"/>
        <w:jc w:val="both"/>
        <w:rPr/>
      </w:pPr>
      <w:r>
        <w:rPr>
          <w:b/>
          <w:bCs/>
        </w:rPr>
        <w:t xml:space="preserve">CA08.</w:t>
      </w:r>
      <w:r>
        <w:rPr>
          <w:b w:val="false"/>
          <w:bCs w:val="false"/>
        </w:rPr>
        <w:t xml:space="preserve"> Toda inclusão, alteração, inativação e ativação registra data, hora, usuário responsável e dados alterados (P8.3, A4.4, A5.4).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Observações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ind w:hanging="0" w:start="0"/>
        <w:rPr/>
      </w:pPr>
      <w:r>
        <w:rPr/>
        <w:t xml:space="preserve">Prioridade de desenvolvimento</w:t>
      </w:r>
    </w:p>
    <w:p>
      <w:pPr>
        <w:pStyle w:val="PSDS-CorpodeTexto"/>
        <w:numPr>
          <w:ilvl w:val="0"/>
          <w:numId w:val="7"/>
        </w:numPr>
        <w:jc w:val="both"/>
        <w:rPr/>
      </w:pPr>
      <w:r>
        <w:rPr/>
        <w:t xml:space="preserve">Alta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ind w:hanging="0" w:start="0"/>
        <w:rPr/>
      </w:pPr>
      <w:r>
        <w:rPr/>
        <w:t xml:space="preserve">Dependência com o controle de estoque</w:t>
      </w:r>
    </w:p>
    <w:p>
      <w:pPr>
        <w:pStyle w:val="PSDS-CorpodeTexto"/>
        <w:ind w:start="624" w:end="0"/>
        <w:jc w:val="both"/>
        <w:rPr/>
      </w:pPr>
      <w:r>
        <w:rPr>
          <w:lang w:val="en-US" w:eastAsia="en-US"/>
        </w:rPr>
        <w:t xml:space="preserve">O cadastro de fornecedores é pré-requisito para a entrada em estoque, que exige a indicação do fornecedor (RN0050). Somente fornecedores com status ATIVO podem ser informados nessa operação (RN0086).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2"/>
        <w:keepNext/>
        <w:numPr>
          <w:ilvl w:val="1"/>
          <w:numId w:val="8"/>
        </w:numPr>
        <w:ind w:hanging="0" w:start="0"/>
        <w:rPr/>
      </w:pPr>
      <w:r>
        <w:rPr/>
        <w:t xml:space="preserve">Regras de negócio aplicadas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RN0081 – Dados obrigatórios para o cadastro de um fornecedor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RN0082 – Composição do endereço de fornecedor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RN0083 – CNPJ único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RN0084 – Associar motivo de inativação de fornecedor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RN0085 – Associar motivo de ativação de fornecedor</w:t>
      </w:r>
    </w:p>
    <w:p>
      <w:pPr>
        <w:pStyle w:val="PSDS-MarcadoresNivel2"/>
        <w:numPr>
          <w:ilvl w:val="0"/>
          <w:numId w:val="0"/>
        </w:numPr>
        <w:ind w:hanging="432" w:start="1056" w:end="0"/>
        <w:rPr>
          <w:b w:val="false"/>
          <w:bCs/>
          <w:sz w:val="20"/>
        </w:rPr>
      </w:pPr>
      <w:r>
        <w:rPr>
          <w:sz w:val="20"/>
          <w:b w:val="false"/>
          <w:bCs w:val="false"/>
        </w:rPr>
        <w:t xml:space="preserve">RN0086 – Fornecedor ativo para entrada em estoque</w:t>
      </w:r>
    </w:p>
    <w:p>
      <w:pPr>
        <w:pStyle w:val="PSDS-CorpodeTexto"/>
        <w:ind w:start="624" w:end="0"/>
        <w:jc w:val="both"/>
        <w:rPr/>
      </w:pPr>
      <w:r>
        <w:rPr/>
      </w:r>
    </w:p>
    <w:p>
      <w:pPr>
        <w:pStyle w:val="PSDS-MarcadoresNivel1"/>
        <w:keepNext/>
        <w:numPr>
          <w:ilvl w:val="0"/>
          <w:numId w:val="8"/>
        </w:numPr>
        <w:ind w:hanging="0" w:start="0"/>
        <w:jc w:val="both"/>
        <w:rPr/>
      </w:pPr>
      <w:r>
        <w:rPr/>
        <w:t xml:space="preserve">Referências</w:t>
      </w:r>
    </w:p>
    <w:p>
      <w:pPr>
        <w:pStyle w:val="PSDS-CorpodeTexto"/>
        <w:keepNext/>
        <w:ind w:start="624" w:end="0"/>
        <w:jc w:val="both"/>
        <w:rPr/>
      </w:pPr>
      <w:r>
        <w:rPr/>
      </w:r>
    </w:p>
    <w:p>
      <w:pPr>
        <w:pStyle w:val="PSDS-CorpodeTexto"/>
        <w:numPr>
          <w:ilvl w:val="0"/>
          <w:numId w:val="7"/>
        </w:numPr>
        <w:jc w:val="both"/>
        <w:rPr/>
      </w:pPr>
      <w:r>
        <w:rPr/>
        <w:t xml:space="preserve">Documento de Requisitos de Software do E-commerce de Livros (DRS_LES_2_2026): grupos Geral, Cadastro de Fornecedores e Controle de estoque.</w:t>
      </w:r>
    </w:p>
    <w:p>
      <w:pPr>
        <w:pStyle w:val="PSDS-CorpodeTexto"/>
        <w:numPr>
          <w:ilvl w:val="0"/>
          <w:numId w:val="7"/>
        </w:numPr>
        <w:jc w:val="both"/>
        <w:rPr/>
      </w:pPr>
      <w:r>
        <w:rPr/>
        <w:t xml:space="preserve">Template de Especificação de Caso de Uso da FATEC (UC_FATEC).</w:t>
      </w:r>
    </w:p>
    <w:p>
      <w:pPr>
        <w:pStyle w:val="PSDS-CorpodeTexto"/>
        <w:ind w:start="624" w:end="0"/>
        <w:jc w:val="both"/>
        <w:rPr/>
      </w:pPr>
      <w:r>
        <w:rPr/>
      </w:r>
    </w:p>
    <w:sectPr>
      <w:headerReference w:type="default" r:id="rId9"/>
      <w:headerReference w:type="first" r:id="rId10"/>
      <w:footerReference w:type="default" r:id="rId11"/>
      <w:footerReference w:type="first" r:id="rId12"/>
      <w:type w:val="nextPage"/>
      <w:pgSz w:w="11906" w:h="16838"/>
      <w:pgMar w:left="567" w:right="567" w:gutter="0" w:header="680" w:top="736" w:footer="851" w:bottom="90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8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0188"/>
      <w:gridCol w:w="497"/>
    </w:tblGrid>
    <w:tr>
      <w:trPr>
        <w:trHeight w:val="170" w:hRule="atLeast"/>
      </w:trPr>
      <w:tc>
        <w:tcPr>
          <w:tcW w:w="10188" w:type="dxa"/>
          <w:tcBorders>
            <w:top w:val="single" w:sz="6" w:space="0" w:color="000000"/>
            <w:start w:val="single" w:sz="6" w:space="0" w:color="000000"/>
            <w:bottom w:val="single" w:sz="6" w:space="0" w:color="000000"/>
          </w:tcBorders>
          <w:shd w:fill="632423" w:val="clear"/>
        </w:tcPr>
        <w:p>
          <w:pPr>
            <w:pStyle w:val="Footer"/>
            <w:snapToGrid w:val="false"/>
            <w:ind w:end="360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</w:r>
        </w:p>
      </w:tc>
      <w:tc>
        <w:tcPr>
          <w:tcW w:w="497" w:type="dxa"/>
          <w:tcBorders>
            <w:top w:val="single" w:sz="6" w:space="0" w:color="000000"/>
            <w:bottom w:val="single" w:sz="6" w:space="0" w:color="000000"/>
            <w:end w:val="single" w:sz="6" w:space="0" w:color="000000"/>
          </w:tcBorders>
          <w:shd w:fill="DDDDDD" w:val="clear"/>
          <w:vAlign w:val="center"/>
        </w:tcPr>
        <w:p>
          <w:pPr>
            <w:pStyle w:val="Footer"/>
            <w:jc w:val="center"/>
            <w:rPr>
              <w:b/>
              <w:sz w:val="16"/>
              <w:szCs w:val="16"/>
            </w:rPr>
          </w:pPr>
          <w:r>
            <w:rPr>
              <w:rStyle w:val="PageNumber"/>
              <w:b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b/>
              <w:szCs w:val="16"/>
            </w:rPr>
            <w:instrText xml:space="preserve"> PAGE </w:instrText>
          </w:r>
          <w:r>
            <w:rPr>
              <w:rStyle w:val="PageNumber"/>
              <w:sz w:val="16"/>
              <w:b/>
              <w:szCs w:val="16"/>
            </w:rPr>
            <w:fldChar w:fldCharType="separate"/>
          </w:r>
          <w:r>
            <w:rPr>
              <w:rStyle w:val="PageNumber"/>
              <w:sz w:val="16"/>
              <w:b/>
              <w:szCs w:val="16"/>
            </w:rPr>
            <w:t>0</w:t>
          </w:r>
          <w:r>
            <w:rPr>
              <w:rStyle w:val="PageNumber"/>
              <w:sz w:val="16"/>
              <w:b/>
              <w:szCs w:val="16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olor w:val="999999"/>
        <w:sz w:val="18"/>
        <w:szCs w:val="18"/>
      </w:rPr>
    </w:pPr>
    <w:r>
      <w:rPr>
        <w:color w:val="999999"/>
        <w:sz w:val="18"/>
        <w:szCs w:val="18"/>
      </w:rPr>
      <w:drawing>
        <wp:inline distT="0" distB="0" distL="0" distR="0">
          <wp:extent cx="2857500" cy="666750"/>
          <wp:effectExtent l="0" t="0" r="0" b="0"/>
          <wp:docPr id="2" name="Image4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3" t="-54" r="-13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Footer"/>
      <w:jc w:val="center"/>
      <w:rPr/>
    </w:pPr>
    <w:r>
      <w:rPr>
        <w:color w:val="999999"/>
        <w:sz w:val="18"/>
        <w:szCs w:val="18"/>
      </w:rPr>
      <w:t>Tecnologia em Análise e Desenvolvimento de Sistemas | Tecnologia em Agronegócio |</w:t>
    </w:r>
    <w:r>
      <w:rPr/>
      <w:t xml:space="preserve"> </w:t>
    </w:r>
    <w:r>
      <w:rPr>
        <w:color w:val="999999"/>
        <w:sz w:val="18"/>
        <w:szCs w:val="18"/>
      </w:rPr>
      <w:t>Tecnologia em Recursos Humanos</w:t>
    </w:r>
  </w:p>
  <w:p>
    <w:pPr>
      <w:pStyle w:val="Footer"/>
      <w:rPr>
        <w:color w:val="999999"/>
        <w:sz w:val="18"/>
        <w:szCs w:val="18"/>
      </w:rPr>
    </w:pPr>
    <w:r>
      <w:rPr>
        <w:color w:val="999999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8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0188"/>
      <w:gridCol w:w="497"/>
    </w:tblGrid>
    <w:tr>
      <w:trPr>
        <w:trHeight w:val="170" w:hRule="atLeast"/>
      </w:trPr>
      <w:tc>
        <w:tcPr>
          <w:tcW w:w="10188" w:type="dxa"/>
          <w:tcBorders>
            <w:top w:val="single" w:sz="6" w:space="0" w:color="000000"/>
            <w:start w:val="single" w:sz="6" w:space="0" w:color="000000"/>
            <w:bottom w:val="single" w:sz="6" w:space="0" w:color="000000"/>
          </w:tcBorders>
          <w:shd w:fill="632423" w:val="clear"/>
        </w:tcPr>
        <w:p>
          <w:pPr>
            <w:pStyle w:val="Footer"/>
            <w:snapToGrid w:val="false"/>
            <w:ind w:end="360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</w:r>
        </w:p>
      </w:tc>
      <w:tc>
        <w:tcPr>
          <w:tcW w:w="497" w:type="dxa"/>
          <w:tcBorders>
            <w:top w:val="single" w:sz="6" w:space="0" w:color="000000"/>
            <w:bottom w:val="single" w:sz="6" w:space="0" w:color="000000"/>
            <w:end w:val="single" w:sz="6" w:space="0" w:color="000000"/>
          </w:tcBorders>
          <w:shd w:fill="DDDDDD" w:val="clear"/>
          <w:vAlign w:val="center"/>
        </w:tcPr>
        <w:p>
          <w:pPr>
            <w:pStyle w:val="Footer"/>
            <w:jc w:val="center"/>
            <w:rPr/>
          </w:pPr>
          <w:r>
            <w:rPr>
              <w:rStyle w:val="PageNumber"/>
              <w:b/>
              <w:sz w:val="16"/>
              <w:szCs w:val="16"/>
            </w:rPr>
            <w:fldChar w:fldCharType="begin"/>
          </w:r>
          <w:r>
            <w:rPr>
              <w:rStyle w:val="PageNumber"/>
              <w:sz w:val="16"/>
              <w:b/>
              <w:szCs w:val="16"/>
            </w:rPr>
            <w:instrText xml:space="preserve"> PAGE </w:instrText>
          </w:r>
          <w:r>
            <w:rPr>
              <w:rStyle w:val="PageNumber"/>
              <w:sz w:val="16"/>
              <w:b/>
              <w:szCs w:val="16"/>
            </w:rPr>
            <w:fldChar w:fldCharType="separate"/>
          </w:r>
          <w:r>
            <w:rPr>
              <w:rStyle w:val="PageNumber"/>
              <w:sz w:val="16"/>
              <w:b/>
              <w:szCs w:val="16"/>
            </w:rPr>
            <w:t>11</w:t>
          </w:r>
          <w:r>
            <w:rPr>
              <w:rStyle w:val="PageNumber"/>
              <w:sz w:val="16"/>
              <w:b/>
              <w:szCs w:val="16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835"/>
      <w:gridCol w:w="3825"/>
      <w:gridCol w:w="1620"/>
      <w:gridCol w:w="1080"/>
    </w:tblGrid>
    <w:tr>
      <w:trPr>
        <w:cantSplit w:val="true"/>
      </w:trPr>
      <w:tc>
        <w:tcPr>
          <w:tcW w:w="2835" w:type="dxa"/>
          <w:vMerge w:val="restart"/>
          <w:tcBorders>
            <w:end w:val="single" w:sz="4" w:space="0" w:color="000000"/>
          </w:tcBorders>
        </w:tcPr>
        <w:p>
          <w:pPr>
            <w:pStyle w:val="Header"/>
            <w:snapToGrid w:val="false"/>
            <w:jc w:val="center"/>
            <w:rPr>
              <w:rFonts w:cs="Tahoma"/>
              <w:b/>
              <w:bCs/>
              <w:sz w:val="16"/>
            </w:rPr>
          </w:pPr>
          <w:r>
            <w:rPr>
              <w:rFonts w:cs="Tahoma"/>
              <w:b/>
              <w:bCs/>
              <w:sz w:val="16"/>
            </w:rPr>
          </w:r>
        </w:p>
      </w:tc>
      <w:tc>
        <w:tcPr>
          <w:tcW w:w="3825" w:type="dxa"/>
          <w:tcBorders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cs="Tahoma"/>
              <w:b/>
              <w:bCs/>
              <w:sz w:val="16"/>
            </w:rPr>
          </w:pPr>
          <w:r>
            <w:rPr>
              <w:rFonts w:cs="Tahoma"/>
              <w:b/>
              <w:bCs/>
              <w:sz w:val="16"/>
            </w:rPr>
          </w:r>
        </w:p>
      </w:tc>
      <w:tc>
        <w:tcPr>
          <w:tcW w:w="1620" w:type="dxa"/>
          <w:tcBorders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bCs/>
              <w:color w:val="FF0000"/>
              <w:sz w:val="16"/>
            </w:rPr>
          </w:pPr>
          <w:r>
            <w:rPr>
              <w:b/>
              <w:bCs/>
              <w:color w:val="FF0000"/>
              <w:sz w:val="16"/>
            </w:rPr>
          </w:r>
        </w:p>
      </w:tc>
      <w:tc>
        <w:tcPr>
          <w:tcW w:w="1080" w:type="dxa"/>
          <w:tcBorders>
            <w:bottom w:val="single" w:sz="4" w:space="0" w:color="000000"/>
          </w:tcBorders>
          <w:vAlign w:val="center"/>
        </w:tcPr>
        <w:p>
          <w:pPr>
            <w:pStyle w:val="Header"/>
            <w:snapToGrid w:val="false"/>
            <w:jc w:val="end"/>
            <w:rPr>
              <w:b/>
              <w:bCs/>
              <w:color w:val="FF0000"/>
              <w:sz w:val="16"/>
            </w:rPr>
          </w:pPr>
          <w:r>
            <w:rPr>
              <w:b/>
              <w:bCs/>
              <w:color w:val="FF0000"/>
              <w:sz w:val="16"/>
            </w:rPr>
          </w:r>
        </w:p>
      </w:tc>
    </w:tr>
    <w:tr>
      <w:trPr>
        <w:cantSplit w:val="true"/>
      </w:trPr>
      <w:tc>
        <w:tcPr>
          <w:tcW w:w="2835" w:type="dxa"/>
          <w:vMerge w:val="continue"/>
          <w:tcBorders>
            <w:end w:val="single" w:sz="4" w:space="0" w:color="000000"/>
          </w:tcBorders>
        </w:tcPr>
        <w:p>
          <w:pPr>
            <w:pStyle w:val="Header"/>
            <w:snapToGrid w:val="false"/>
            <w:rPr>
              <w:rFonts w:cs="Tahoma"/>
              <w:sz w:val="16"/>
            </w:rPr>
          </w:pPr>
          <w:r>
            <w:rPr>
              <w:rFonts w:cs="Tahoma"/>
              <w:sz w:val="16"/>
            </w:rPr>
          </w:r>
        </w:p>
      </w:tc>
      <w:tc>
        <w:tcPr>
          <w:tcW w:w="6525" w:type="dxa"/>
          <w:gridSpan w:val="3"/>
          <w:tcBorders>
            <w:star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cs="Tahoma"/>
              <w:sz w:val="16"/>
              <w:lang w:val="en-US"/>
            </w:rPr>
          </w:pPr>
          <w:r>
            <w:rPr>
              <w:rFonts w:cs="Tahoma"/>
              <w:sz w:val="16"/>
              <w:lang w:val="en-US"/>
            </w:rPr>
          </w:r>
        </w:p>
      </w:tc>
    </w:tr>
  </w:tbl>
  <w:p>
    <w:pPr>
      <w:pStyle w:val="Header"/>
      <w:rPr>
        <w:lang w:val="en-US"/>
      </w:rPr>
    </w:pPr>
    <w:r>
      <w:rPr>
        <w:lang w:val="en-US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80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908"/>
      <w:gridCol w:w="6192"/>
      <w:gridCol w:w="2700"/>
    </w:tblGrid>
    <w:tr>
      <w:trPr/>
      <w:tc>
        <w:tcPr>
          <w:tcW w:w="1908" w:type="dxa"/>
          <w:tcBorders>
            <w:top w:val="single" w:sz="6" w:space="0" w:color="000000"/>
            <w:start w:val="single" w:sz="6" w:space="0" w:color="000000"/>
          </w:tcBorders>
          <w:shd w:fill="632423" w:val="clear"/>
        </w:tcPr>
        <w:p>
          <w:pPr>
            <w:pStyle w:val="Header"/>
            <w:snapToGrid w:val="false"/>
            <w:rPr>
              <w:sz w:val="12"/>
              <w:szCs w:val="12"/>
            </w:rPr>
          </w:pPr>
          <w:r>
            <w:rPr>
              <w:sz w:val="12"/>
              <w:szCs w:val="12"/>
            </w:rPr>
          </w:r>
        </w:p>
      </w:tc>
      <w:tc>
        <w:tcPr>
          <w:tcW w:w="6192" w:type="dxa"/>
          <w:tcBorders>
            <w:top w:val="single" w:sz="6" w:space="0" w:color="000000"/>
          </w:tcBorders>
          <w:shd w:fill="632423" w:val="clear"/>
        </w:tcPr>
        <w:p>
          <w:pPr>
            <w:pStyle w:val="Header"/>
            <w:snapToGrid w:val="false"/>
            <w:rPr>
              <w:sz w:val="12"/>
              <w:szCs w:val="12"/>
            </w:rPr>
          </w:pPr>
          <w:r>
            <w:rPr>
              <w:sz w:val="12"/>
              <w:szCs w:val="12"/>
            </w:rPr>
          </w:r>
        </w:p>
      </w:tc>
      <w:tc>
        <w:tcPr>
          <w:tcW w:w="2700" w:type="dxa"/>
          <w:tcBorders>
            <w:top w:val="single" w:sz="6" w:space="0" w:color="000000"/>
            <w:end w:val="single" w:sz="6" w:space="0" w:color="000000"/>
          </w:tcBorders>
          <w:shd w:fill="632423" w:val="clear"/>
        </w:tcPr>
        <w:p>
          <w:pPr>
            <w:pStyle w:val="Header"/>
            <w:snapToGrid w:val="false"/>
            <w:rPr>
              <w:sz w:val="12"/>
              <w:szCs w:val="12"/>
            </w:rPr>
          </w:pPr>
          <w:r>
            <w:rPr>
              <w:sz w:val="12"/>
              <w:szCs w:val="12"/>
            </w:rPr>
          </w:r>
        </w:p>
      </w:tc>
    </w:tr>
    <w:tr>
      <w:trPr/>
      <w:tc>
        <w:tcPr>
          <w:tcW w:w="1908" w:type="dxa"/>
          <w:tcBorders>
            <w:start w:val="single" w:sz="6" w:space="0" w:color="000000"/>
          </w:tcBorders>
          <w:shd w:fill="D9D9D9" w:val="clear"/>
        </w:tcPr>
        <w:p>
          <w:pPr>
            <w:pStyle w:val="Header"/>
            <w:snapToGrid w:val="false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6192" w:type="dxa"/>
          <w:tcBorders/>
          <w:shd w:fill="DDDDDD" w:val="clear"/>
        </w:tcPr>
        <w:p>
          <w:pPr>
            <w:pStyle w:val="Header"/>
            <w:snapToGrid w:val="false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2700" w:type="dxa"/>
          <w:tcBorders>
            <w:end w:val="single" w:sz="6" w:space="0" w:color="000000"/>
          </w:tcBorders>
          <w:shd w:fill="DDDDDD" w:val="clear"/>
        </w:tcPr>
        <w:p>
          <w:pPr>
            <w:pStyle w:val="Header"/>
            <w:snapToGrid w:val="false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</w:tr>
    <w:tr>
      <w:trPr>
        <w:trHeight w:val="226" w:hRule="atLeast"/>
      </w:trPr>
      <w:tc>
        <w:tcPr>
          <w:tcW w:w="1908" w:type="dxa"/>
          <w:tcBorders>
            <w:start w:val="single" w:sz="6" w:space="0" w:color="000000"/>
            <w:bottom w:val="single" w:sz="6" w:space="0" w:color="000000"/>
          </w:tcBorders>
        </w:tcPr>
        <w:p>
          <w:pPr>
            <w:pStyle w:val="Header"/>
            <w:snapToGrid w:val="false"/>
            <w:jc w:val="center"/>
            <w:rPr>
              <w:sz w:val="4"/>
              <w:szCs w:val="4"/>
            </w:rPr>
          </w:pPr>
          <w:r>
            <w:rPr>
              <w:sz w:val="4"/>
              <w:szCs w:val="4"/>
            </w:rPr>
          </w:r>
        </w:p>
        <w:p>
          <w:pPr>
            <w:pStyle w:val="Header"/>
            <w:jc w:val="center"/>
            <w:rPr>
              <w:sz w:val="4"/>
              <w:szCs w:val="4"/>
            </w:rPr>
          </w:pPr>
          <w:r>
            <w:rPr>
              <w:sz w:val="4"/>
              <w:szCs w:val="4"/>
            </w:rPr>
            <w:drawing>
              <wp:inline distT="0" distB="0" distL="0" distR="0">
                <wp:extent cx="1173480" cy="617220"/>
                <wp:effectExtent l="0" t="0" r="0" b="0"/>
                <wp:docPr id="5" name="Image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" t="-8" r="-5" b="-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3480" cy="617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92" w:type="dxa"/>
          <w:tcBorders>
            <w:bottom w:val="single" w:sz="6" w:space="0" w:color="000000"/>
          </w:tcBorders>
          <w:shd w:fill="F3F3F3" w:val="clear"/>
          <w:vAlign w:val="center"/>
        </w:tcPr>
        <w:p>
          <w:pPr>
            <w:pStyle w:val="Header"/>
            <w:jc w:val="center"/>
            <w:rPr>
              <w:i/>
              <w:i/>
              <w:iCs/>
              <w:sz w:val="20"/>
              <w:szCs w:val="20"/>
            </w:rPr>
          </w:pPr>
          <w:r>
            <w:rPr>
              <w:i/>
              <w:iCs/>
              <w:sz w:val="20"/>
              <w:szCs w:val="20"/>
            </w:rPr>
            <w:t>Especificação de Caso de Uso</w:t>
          </w:r>
        </w:p>
        <w:p>
          <w:pPr>
            <w:pStyle w:val="Header"/>
            <w:jc w:val="center"/>
            <w:rPr>
              <w:i/>
              <w:i/>
              <w:iCs/>
              <w:sz w:val="20"/>
              <w:szCs w:val="20"/>
            </w:rPr>
          </w:pPr>
          <w:r>
            <w:rPr>
              <w:i/>
              <w:iCs/>
              <w:sz w:val="20"/>
              <w:szCs w:val="20"/>
            </w:rPr>
            <w:t>E-commerce de Livros</w:t>
          </w:r>
        </w:p>
      </w:tc>
      <w:tc>
        <w:tcPr>
          <w:tcW w:w="2700" w:type="dxa"/>
          <w:tcBorders>
            <w:bottom w:val="single" w:sz="6" w:space="0" w:color="000000"/>
            <w:end w:val="single" w:sz="6" w:space="0" w:color="000000"/>
          </w:tcBorders>
          <w:shd w:fill="F3F3F3" w:val="clear"/>
          <w:tcMar>
            <w:start w:w="0" w:type="dxa"/>
            <w:end w:w="0" w:type="dxa"/>
          </w:tcMar>
        </w:tcPr>
        <w:p>
          <w:pPr>
            <w:pStyle w:val="Header"/>
            <w:jc w:val="center"/>
            <w:rPr/>
          </w:pPr>
          <w:r>
            <w:rPr/>
            <w:drawing>
              <wp:inline distT="0" distB="0" distL="0" distR="0">
                <wp:extent cx="1684020" cy="702945"/>
                <wp:effectExtent l="0" t="0" r="0" b="0"/>
                <wp:docPr id="6" name="Image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9" t="-13" r="-9" b="-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4020" cy="702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eastAsia="Arial"/>
            </w:rPr>
            <w:t xml:space="preserve">        </w:t>
          </w:r>
        </w:p>
      </w:tc>
    </w:tr>
  </w:tbl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</w:abstractNum>
  <w:abstractNum w:abstractNumId="3">
    <w:lvl w:ilvl="0">
      <w:start w:val="1"/>
      <w:numFmt w:val="lowerLetter"/>
      <w:lvlText w:val="%1."/>
      <w:lvlJc w:val="start"/>
      <w:pPr>
        <w:tabs>
          <w:tab w:val="num" w:pos="1530"/>
        </w:tabs>
        <w:ind w:start="1530" w:hanging="360"/>
      </w:pPr>
      <w:rPr/>
    </w:lvl>
  </w:abstractNum>
  <w:abstractNum w:abstractNumId="4">
    <w:lvl w:ilvl="0">
      <w:start w:val="1"/>
      <w:numFmt w:val="lowerLetter"/>
      <w:lvlText w:val="%1."/>
      <w:lvlJc w:val="start"/>
      <w:pPr>
        <w:tabs>
          <w:tab w:val="num" w:pos="1812"/>
        </w:tabs>
        <w:ind w:start="1812" w:hanging="360"/>
      </w:pPr>
      <w:rPr>
        <w:sz w:val="20"/>
        <w:i w:val="false"/>
        <w:b/>
        <w:rFonts w:ascii="Arial" w:hAnsi="Arial" w:cs="Arial"/>
      </w:rPr>
    </w:lvl>
  </w:abstractNum>
  <w:abstractNum w:abstractNumId="5">
    <w:lvl w:ilvl="0">
      <w:start w:val="1"/>
      <w:numFmt w:val="lowerLetter"/>
      <w:lvlText w:val="%1."/>
      <w:lvlJc w:val="start"/>
      <w:pPr>
        <w:tabs>
          <w:tab w:val="num" w:pos="708"/>
        </w:tabs>
        <w:ind w:start="1647" w:hanging="555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907"/>
        </w:tabs>
        <w:ind w:start="907" w:hanging="907"/>
      </w:pPr>
      <w:rPr>
        <w:sz w:val="28"/>
        <w:i w:val="false"/>
        <w:u w:val="none"/>
        <w:b/>
        <w:szCs w:val="28"/>
        <w:rFonts w:ascii="Arial" w:hAnsi="Arial" w:cs="Arial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134"/>
        </w:tabs>
        <w:ind w:start="1134" w:hanging="567"/>
      </w:pPr>
      <w:rPr>
        <w:sz w:val="24"/>
        <w:i w:val="false"/>
        <w:u w:val="none"/>
        <w:b/>
        <w:szCs w:val="24"/>
        <w:rFonts w:ascii="Arial" w:hAnsi="Arial" w:cs="Arial"/>
        <w:color w:val="000000"/>
      </w:rPr>
    </w:lvl>
    <w:lvl w:ilvl="2">
      <w:start w:val="1"/>
      <w:numFmt w:val="decimal"/>
      <w:lvlText w:val="%1.%2.%3."/>
      <w:lvlJc w:val="start"/>
      <w:pPr>
        <w:tabs>
          <w:tab w:val="num" w:pos="1814"/>
        </w:tabs>
        <w:ind w:start="1814" w:hanging="737"/>
      </w:pPr>
      <w:rPr>
        <w:sz w:val="22"/>
        <w:i/>
        <w:b/>
        <w:szCs w:val="22"/>
        <w:rFonts w:ascii="Arial" w:hAnsi="Arial" w:cs="Arial"/>
      </w:rPr>
    </w:lvl>
    <w:lvl w:ilvl="3">
      <w:start w:val="1"/>
      <w:numFmt w:val="decimal"/>
      <w:lvlText w:val="%1.%2.%3.%4."/>
      <w:lvlJc w:val="start"/>
      <w:pPr>
        <w:tabs>
          <w:tab w:val="num" w:pos="4712"/>
        </w:tabs>
        <w:ind w:start="3560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5432"/>
        </w:tabs>
        <w:ind w:start="4064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6152"/>
        </w:tabs>
        <w:ind w:start="4568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6872"/>
        </w:tabs>
        <w:ind w:start="5072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7592"/>
        </w:tabs>
        <w:ind w:start="5576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8312"/>
        </w:tabs>
        <w:ind w:start="6152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2136"/>
        </w:tabs>
        <w:ind w:start="2136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792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1224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2160"/>
        </w:tabs>
        <w:ind w:start="1728" w:hanging="648"/>
      </w:pPr>
      <w:rPr>
        <w:sz w:val="24"/>
        <w:i w:val="false"/>
        <w:b/>
        <w:rFonts w:ascii="Arial" w:hAnsi="Arial" w:cs="Arial"/>
        <w:color w:val="000000"/>
      </w:rPr>
    </w:lvl>
    <w:lvl w:ilvl="4">
      <w:start w:val="1"/>
      <w:numFmt w:val="decimal"/>
      <w:lvlText w:val="%1.%2.%3.%4.%5."/>
      <w:lvlJc w:val="start"/>
      <w:pPr>
        <w:tabs>
          <w:tab w:val="num" w:pos="2232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2736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324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3744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4320"/>
        </w:tabs>
        <w:ind w:start="4320" w:hanging="144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708"/>
        </w:tabs>
        <w:ind w:start="1647" w:hanging="55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4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5"/>
    <w:lvlOverride w:ilvl="0">
      <w:startOverride w:val="1"/>
    </w:lvlOverride>
  </w:num>
  <w:num w:numId="100">
    <w:abstractNumId w:val="4"/>
    <w:lvlOverride w:ilvl="0">
      <w:startOverride w:val="1"/>
    </w:lvlOverride>
  </w:num>
  <w:num w:numId="101">
    <w:abstractNumId w:val="4"/>
    <w:lvlOverride w:ilvl="0">
      <w:startOverride w:val="1"/>
    </w:lvlOverride>
  </w:num>
  <w:num w:numId="102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2"/>
      <w:szCs w:val="22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240"/>
      <w:outlineLvl w:val="0"/>
    </w:pPr>
    <w:rPr>
      <w:b/>
      <w:smallCaps/>
      <w:sz w:val="28"/>
      <w:szCs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8"/>
        <w:tab w:val="left" w:pos="1134" w:leader="none"/>
      </w:tabs>
      <w:spacing w:before="240" w:after="240"/>
      <w:outlineLvl w:val="1"/>
    </w:pPr>
    <w:rPr>
      <w:b/>
      <w:bCs/>
      <w:iCs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1701" w:leader="none"/>
      </w:tabs>
      <w:spacing w:before="240" w:after="240"/>
      <w:outlineLvl w:val="2"/>
    </w:pPr>
    <w:rPr>
      <w:b/>
      <w:bCs/>
      <w:i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/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rial" w:hAnsi="Arial" w:cs="Arial"/>
      <w:b/>
      <w:i w:val="false"/>
      <w:color w:val="000000"/>
      <w:sz w:val="28"/>
      <w:szCs w:val="28"/>
      <w:u w:val="none"/>
    </w:rPr>
  </w:style>
  <w:style w:type="character" w:styleId="WW8Num5z1">
    <w:name w:val="WW8Num5z1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Arial" w:hAnsi="Arial" w:cs="Arial"/>
      <w:b/>
      <w:i w:val="false"/>
      <w:sz w:val="20"/>
    </w:rPr>
  </w:style>
  <w:style w:type="character" w:styleId="WW8Num8z1">
    <w:name w:val="WW8Num8z1"/>
    <w:qFormat/>
    <w:rPr>
      <w:rFonts w:ascii="Symbol" w:hAnsi="Symbol" w:cs="Symbol"/>
      <w:b/>
      <w:i w:val="false"/>
      <w:sz w:val="20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8z4">
    <w:name w:val="WW8Num8z4"/>
    <w:qFormat/>
    <w:rPr>
      <w:rFonts w:ascii="Courier New" w:hAnsi="Courier New" w:cs="Courier New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Arial" w:hAnsi="Arial" w:cs="Arial"/>
      <w:b/>
      <w:i w:val="false"/>
      <w:color w:val="000000"/>
      <w:sz w:val="28"/>
      <w:szCs w:val="28"/>
      <w:u w:val="none"/>
    </w:rPr>
  </w:style>
  <w:style w:type="character" w:styleId="WW8Num10z1">
    <w:name w:val="WW8Num10z1"/>
    <w:qFormat/>
    <w:rPr>
      <w:rFonts w:ascii="Arial" w:hAnsi="Arial" w:cs="Arial"/>
      <w:b/>
      <w:i w:val="false"/>
      <w:color w:val="000000"/>
      <w:sz w:val="24"/>
      <w:szCs w:val="24"/>
      <w:u w:val="none"/>
    </w:rPr>
  </w:style>
  <w:style w:type="character" w:styleId="WW8Num10z2">
    <w:name w:val="WW8Num10z2"/>
    <w:qFormat/>
    <w:rPr>
      <w:rFonts w:ascii="Arial" w:hAnsi="Arial" w:cs="Arial"/>
      <w:b w:val="false"/>
      <w:i w:val="false"/>
      <w:sz w:val="22"/>
      <w:szCs w:val="22"/>
    </w:rPr>
  </w:style>
  <w:style w:type="character" w:styleId="WW8Num10z3">
    <w:name w:val="WW8Num10z3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Arial" w:hAnsi="Arial" w:cs="Arial"/>
      <w:b/>
      <w:i w:val="false"/>
      <w:color w:val="000000"/>
      <w:sz w:val="28"/>
      <w:szCs w:val="28"/>
      <w:u w:val="none"/>
    </w:rPr>
  </w:style>
  <w:style w:type="character" w:styleId="WW8Num12z1">
    <w:name w:val="WW8Num12z1"/>
    <w:qFormat/>
    <w:rPr>
      <w:rFonts w:ascii="Arial" w:hAnsi="Arial" w:cs="Arial"/>
      <w:b/>
      <w:i w:val="false"/>
      <w:color w:val="000000"/>
      <w:sz w:val="24"/>
      <w:szCs w:val="24"/>
      <w:u w:val="none"/>
    </w:rPr>
  </w:style>
  <w:style w:type="character" w:styleId="WW8Num12z2">
    <w:name w:val="WW8Num12z2"/>
    <w:qFormat/>
    <w:rPr>
      <w:rFonts w:ascii="Arial" w:hAnsi="Arial" w:cs="Arial"/>
      <w:b/>
      <w:i/>
      <w:sz w:val="22"/>
      <w:szCs w:val="22"/>
    </w:rPr>
  </w:style>
  <w:style w:type="character" w:styleId="WW8Num12z3">
    <w:name w:val="WW8Num12z3"/>
    <w:qFormat/>
    <w:rPr/>
  </w:style>
  <w:style w:type="character" w:styleId="WW8Num13z0">
    <w:name w:val="WW8Num13z0"/>
    <w:qFormat/>
    <w:rPr>
      <w:rFonts w:ascii="Arial" w:hAnsi="Arial" w:cs="Arial"/>
      <w:b/>
      <w:i w:val="false"/>
      <w:color w:val="000000"/>
      <w:sz w:val="28"/>
      <w:szCs w:val="28"/>
      <w:u w:val="none"/>
    </w:rPr>
  </w:style>
  <w:style w:type="character" w:styleId="WW8Num13z1">
    <w:name w:val="WW8Num13z1"/>
    <w:qFormat/>
    <w:rPr>
      <w:rFonts w:ascii="Arial" w:hAnsi="Arial" w:cs="Arial"/>
      <w:b/>
      <w:i w:val="false"/>
      <w:color w:val="000000"/>
      <w:sz w:val="24"/>
      <w:szCs w:val="24"/>
      <w:u w:val="none"/>
    </w:rPr>
  </w:style>
  <w:style w:type="character" w:styleId="WW8Num13z2">
    <w:name w:val="WW8Num13z2"/>
    <w:qFormat/>
    <w:rPr>
      <w:rFonts w:ascii="Arial" w:hAnsi="Arial" w:cs="Arial"/>
      <w:b w:val="false"/>
      <w:i w:val="false"/>
      <w:sz w:val="22"/>
      <w:szCs w:val="22"/>
    </w:rPr>
  </w:style>
  <w:style w:type="character" w:styleId="WW8Num13z3">
    <w:name w:val="WW8Num13z3"/>
    <w:qFormat/>
    <w:rPr/>
  </w:style>
  <w:style w:type="character" w:styleId="WW8Num14z0">
    <w:name w:val="WW8Num14z0"/>
    <w:qFormat/>
    <w:rPr>
      <w:rFonts w:ascii="Arial" w:hAnsi="Arial" w:cs="Arial"/>
      <w:b/>
      <w:i w:val="false"/>
      <w:color w:val="000000"/>
      <w:sz w:val="28"/>
      <w:szCs w:val="28"/>
      <w:u w:val="none"/>
    </w:rPr>
  </w:style>
  <w:style w:type="character" w:styleId="WW8Num14z1">
    <w:name w:val="WW8Num14z1"/>
    <w:qFormat/>
    <w:rPr>
      <w:rFonts w:ascii="Arial" w:hAnsi="Arial" w:cs="Arial"/>
      <w:b/>
      <w:i w:val="false"/>
      <w:color w:val="000000"/>
      <w:sz w:val="24"/>
      <w:szCs w:val="24"/>
      <w:u w:val="none"/>
    </w:rPr>
  </w:style>
  <w:style w:type="character" w:styleId="WW8Num14z2">
    <w:name w:val="WW8Num14z2"/>
    <w:qFormat/>
    <w:rPr>
      <w:rFonts w:ascii="Arial" w:hAnsi="Arial" w:cs="Arial"/>
      <w:b w:val="false"/>
      <w:i w:val="false"/>
      <w:sz w:val="22"/>
      <w:szCs w:val="22"/>
    </w:rPr>
  </w:style>
  <w:style w:type="character" w:styleId="WW8Num14z3">
    <w:name w:val="WW8Num14z3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Arial" w:hAnsi="Arial" w:cs="Arial"/>
      <w:b/>
      <w:i w:val="false"/>
      <w:color w:val="000000"/>
      <w:sz w:val="28"/>
      <w:szCs w:val="28"/>
      <w:u w:val="none"/>
    </w:rPr>
  </w:style>
  <w:style w:type="character" w:styleId="WW8Num17z1">
    <w:name w:val="WW8Num17z1"/>
    <w:qFormat/>
    <w:rPr>
      <w:rFonts w:ascii="Arial" w:hAnsi="Arial" w:cs="Arial"/>
      <w:b/>
      <w:i w:val="false"/>
      <w:color w:val="000000"/>
      <w:sz w:val="24"/>
      <w:szCs w:val="24"/>
      <w:u w:val="none"/>
    </w:rPr>
  </w:style>
  <w:style w:type="character" w:styleId="WW8Num17z2">
    <w:name w:val="WW8Num17z2"/>
    <w:qFormat/>
    <w:rPr>
      <w:rFonts w:ascii="Arial" w:hAnsi="Arial" w:cs="Arial"/>
      <w:b/>
      <w:i/>
      <w:sz w:val="22"/>
      <w:szCs w:val="22"/>
    </w:rPr>
  </w:style>
  <w:style w:type="character" w:styleId="WW8Num17z3">
    <w:name w:val="WW8Num17z3"/>
    <w:qFormat/>
    <w:rPr/>
  </w:style>
  <w:style w:type="character" w:styleId="WW8Num18z0">
    <w:name w:val="WW8Num18z0"/>
    <w:qFormat/>
    <w:rPr>
      <w:rFonts w:ascii="Arial" w:hAnsi="Arial" w:cs="Arial"/>
      <w:b/>
      <w:i w:val="false"/>
      <w:color w:val="000000"/>
      <w:sz w:val="28"/>
      <w:szCs w:val="28"/>
      <w:u w:val="none"/>
    </w:rPr>
  </w:style>
  <w:style w:type="character" w:styleId="WW8Num18z1">
    <w:name w:val="WW8Num18z1"/>
    <w:qFormat/>
    <w:rPr>
      <w:rFonts w:ascii="Arial" w:hAnsi="Arial" w:cs="Arial"/>
      <w:b w:val="false"/>
      <w:i w:val="false"/>
      <w:color w:val="000000"/>
      <w:sz w:val="24"/>
      <w:szCs w:val="24"/>
      <w:u w:val="none"/>
    </w:rPr>
  </w:style>
  <w:style w:type="character" w:styleId="WW8Num18z2">
    <w:name w:val="WW8Num18z2"/>
    <w:qFormat/>
    <w:rPr>
      <w:rFonts w:ascii="Arial" w:hAnsi="Arial" w:cs="Arial"/>
      <w:b w:val="false"/>
      <w:i w:val="false"/>
      <w:sz w:val="22"/>
      <w:szCs w:val="22"/>
    </w:rPr>
  </w:style>
  <w:style w:type="character" w:styleId="WW8Num18z3">
    <w:name w:val="WW8Num18z3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rial" w:hAnsi="Arial" w:cs="Arial"/>
      <w:b/>
      <w:i w:val="false"/>
      <w:color w:val="000000"/>
      <w:sz w:val="28"/>
      <w:szCs w:val="28"/>
      <w:u w:val="none"/>
    </w:rPr>
  </w:style>
  <w:style w:type="character" w:styleId="WW8Num21z1">
    <w:name w:val="WW8Num21z1"/>
    <w:qFormat/>
    <w:rPr>
      <w:rFonts w:ascii="Arial" w:hAnsi="Arial" w:cs="Arial"/>
      <w:b/>
      <w:i w:val="false"/>
      <w:color w:val="000000"/>
      <w:sz w:val="24"/>
      <w:szCs w:val="24"/>
      <w:u w:val="none"/>
    </w:rPr>
  </w:style>
  <w:style w:type="character" w:styleId="WW8Num21z2">
    <w:name w:val="WW8Num21z2"/>
    <w:qFormat/>
    <w:rPr>
      <w:rFonts w:ascii="Arial" w:hAnsi="Arial" w:cs="Arial"/>
      <w:b w:val="false"/>
      <w:i w:val="false"/>
      <w:sz w:val="22"/>
      <w:szCs w:val="22"/>
    </w:rPr>
  </w:style>
  <w:style w:type="character" w:styleId="WW8Num21z3">
    <w:name w:val="WW8Num21z3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/>
  </w:style>
  <w:style w:type="character" w:styleId="WW8Num26z3">
    <w:name w:val="WW8Num26z3"/>
    <w:qFormat/>
    <w:rPr>
      <w:rFonts w:ascii="Arial" w:hAnsi="Arial" w:cs="Arial"/>
      <w:b/>
      <w:i w:val="false"/>
      <w:color w:val="000000"/>
      <w:sz w:val="24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Arial" w:hAnsi="Arial" w:cs="Arial"/>
      <w:b/>
      <w:i w:val="false"/>
      <w:color w:val="000000"/>
      <w:sz w:val="28"/>
      <w:szCs w:val="28"/>
      <w:u w:val="none"/>
    </w:rPr>
  </w:style>
  <w:style w:type="character" w:styleId="WW8Num28z1">
    <w:name w:val="WW8Num28z1"/>
    <w:qFormat/>
    <w:rPr>
      <w:rFonts w:ascii="Arial" w:hAnsi="Arial" w:cs="Arial"/>
      <w:b/>
      <w:i w:val="false"/>
      <w:color w:val="000000"/>
      <w:sz w:val="24"/>
      <w:szCs w:val="24"/>
      <w:u w:val="none"/>
    </w:rPr>
  </w:style>
  <w:style w:type="character" w:styleId="WW8Num28z2">
    <w:name w:val="WW8Num28z2"/>
    <w:qFormat/>
    <w:rPr>
      <w:rFonts w:ascii="Arial" w:hAnsi="Arial" w:cs="Arial"/>
      <w:b w:val="false"/>
      <w:i w:val="false"/>
      <w:sz w:val="22"/>
      <w:szCs w:val="22"/>
    </w:rPr>
  </w:style>
  <w:style w:type="character" w:styleId="WW8Num28z3">
    <w:name w:val="WW8Num28z3"/>
    <w:qFormat/>
    <w:rPr/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Fontepargpadro">
    <w:name w:val="Fonte parág. padrão"/>
    <w:qFormat/>
    <w:rPr/>
  </w:style>
  <w:style w:type="character" w:styleId="PageNumber">
    <w:name w:val="Page Number"/>
    <w:basedOn w:val="Fontepargpadro"/>
    <w:rPr/>
  </w:style>
  <w:style w:type="character" w:styleId="Hyperlink">
    <w:name w:val="Hyperlink"/>
    <w:basedOn w:val="Fontepargpadro"/>
    <w:rPr>
      <w:color w:val="0000FF"/>
      <w:u w:val="single"/>
    </w:rPr>
  </w:style>
  <w:style w:type="character" w:styleId="subtitulo">
    <w:name w:val="subtitulo"/>
    <w:basedOn w:val="Fontepargpadro"/>
    <w:qFormat/>
    <w:rPr/>
  </w:style>
  <w:style w:type="character" w:styleId="Emphasis">
    <w:name w:val="Emphasis"/>
    <w:basedOn w:val="Fontepargpadro"/>
    <w:qFormat/>
    <w:rPr>
      <w:i/>
      <w:iCs/>
    </w:rPr>
  </w:style>
  <w:style w:type="character" w:styleId="RodapChar">
    <w:name w:val="Rodapé Char"/>
    <w:basedOn w:val="Fontepargpadro"/>
    <w:qFormat/>
    <w:rPr>
      <w:rFonts w:ascii="Arial" w:hAnsi="Arial" w:cs="Arial"/>
      <w:sz w:val="22"/>
      <w:szCs w:val="22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Normal"/>
    <w:qFormat/>
    <w:pPr>
      <w:widowControl w:val="false"/>
      <w:autoSpaceDE w:val="false"/>
      <w:jc w:val="center"/>
    </w:pPr>
    <w:rPr>
      <w:rFonts w:cs="Times New Roman"/>
      <w:b/>
      <w:bCs/>
      <w:sz w:val="36"/>
      <w:szCs w:val="36"/>
      <w:lang w:val="en-US"/>
    </w:rPr>
  </w:style>
  <w:style w:type="paragraph" w:styleId="BodyText">
    <w:name w:val="Body Text"/>
    <w:basedOn w:val="Normal"/>
    <w:pPr>
      <w:spacing w:lineRule="atLeast" w:line="240" w:before="0" w:after="120"/>
      <w:ind w:hanging="0" w:start="720" w:end="0"/>
    </w:pPr>
    <w:rPr>
      <w:rFonts w:cs="Times New Roman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EstiloTtulo1esquerda063cm">
    <w:name w:val="Estilo Título 1 + À esquerda:  063 cm"/>
    <w:basedOn w:val="Heading1"/>
    <w:qFormat/>
    <w:pPr>
      <w:numPr>
        <w:ilvl w:val="0"/>
        <w:numId w:val="2"/>
      </w:numPr>
      <w:outlineLvl w:val="9"/>
    </w:pPr>
    <w:rPr>
      <w:bCs/>
      <w:sz w:val="24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OC1">
    <w:name w:val="TOC 1"/>
    <w:basedOn w:val="Normal"/>
    <w:next w:val="Normal"/>
    <w:pPr>
      <w:tabs>
        <w:tab w:val="clear" w:pos="708"/>
        <w:tab w:val="left" w:pos="440" w:leader="none"/>
        <w:tab w:val="right" w:pos="10762" w:leader="dot"/>
      </w:tabs>
      <w:spacing w:before="120" w:after="120"/>
    </w:pPr>
    <w:rPr>
      <w:rFonts w:cs="Times New Roman"/>
      <w:b/>
      <w:bCs/>
      <w:caps/>
      <w:sz w:val="20"/>
      <w:szCs w:val="20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08"/>
        <w:tab w:val="left" w:pos="880" w:leader="none"/>
        <w:tab w:val="right" w:pos="10762" w:leader="dot"/>
      </w:tabs>
      <w:ind w:hanging="0" w:start="220" w:end="0"/>
    </w:pPr>
    <w:rPr>
      <w:rFonts w:cs="Times New Roman"/>
      <w:smallCaps/>
      <w:sz w:val="20"/>
      <w:szCs w:val="20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08"/>
        <w:tab w:val="left" w:pos="1320" w:leader="none"/>
        <w:tab w:val="right" w:pos="10762" w:leader="dot"/>
      </w:tabs>
      <w:ind w:hanging="0" w:start="440" w:end="0"/>
    </w:pPr>
    <w:rPr>
      <w:rFonts w:cs="Times New Roman"/>
      <w:i/>
      <w:iCs/>
      <w:sz w:val="20"/>
      <w:szCs w:val="20"/>
      <w:lang w:val="en-US" w:eastAsia="en-US"/>
    </w:rPr>
  </w:style>
  <w:style w:type="paragraph" w:styleId="TOC4">
    <w:name w:val="TOC 4"/>
    <w:basedOn w:val="Normal"/>
    <w:next w:val="Normal"/>
    <w:pPr>
      <w:ind w:hanging="0" w:start="660" w:end="0"/>
    </w:pPr>
    <w:rPr>
      <w:rFonts w:ascii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pPr>
      <w:ind w:hanging="0" w:start="880" w:end="0"/>
    </w:pPr>
    <w:rPr>
      <w:rFonts w:ascii="Times New Roman" w:hAnsi="Times New Roman" w:cs="Times New Roman"/>
      <w:sz w:val="18"/>
      <w:szCs w:val="18"/>
    </w:rPr>
  </w:style>
  <w:style w:type="paragraph" w:styleId="TOC6">
    <w:name w:val="TOC 6"/>
    <w:basedOn w:val="Normal"/>
    <w:next w:val="Normal"/>
    <w:pPr>
      <w:ind w:hanging="0" w:start="1100" w:end="0"/>
    </w:pPr>
    <w:rPr>
      <w:rFonts w:ascii="Times New Roman" w:hAnsi="Times New Roman" w:cs="Times New Roman"/>
      <w:sz w:val="18"/>
      <w:szCs w:val="18"/>
    </w:rPr>
  </w:style>
  <w:style w:type="paragraph" w:styleId="TOC7">
    <w:name w:val="TOC 7"/>
    <w:basedOn w:val="Normal"/>
    <w:next w:val="Normal"/>
    <w:pPr>
      <w:ind w:hanging="0" w:start="1320" w:end="0"/>
    </w:pPr>
    <w:rPr>
      <w:rFonts w:ascii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pPr>
      <w:ind w:hanging="0" w:start="1540" w:end="0"/>
    </w:pPr>
    <w:rPr>
      <w:rFonts w:ascii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pPr>
      <w:ind w:hanging="0" w:start="1760" w:end="0"/>
    </w:pPr>
    <w:rPr>
      <w:rFonts w:ascii="Times New Roman" w:hAnsi="Times New Roman" w:cs="Times New Roman"/>
      <w:sz w:val="18"/>
      <w:szCs w:val="18"/>
    </w:rPr>
  </w:style>
  <w:style w:type="paragraph" w:styleId="tabletext">
    <w:name w:val="tabletext"/>
    <w:basedOn w:val="Normal"/>
    <w:qFormat/>
    <w:pPr>
      <w:spacing w:lineRule="atLeast" w:line="240" w:before="0" w:after="120"/>
      <w:ind w:hanging="0" w:start="708" w:end="0"/>
      <w:jc w:val="both"/>
    </w:pPr>
    <w:rPr>
      <w:szCs w:val="20"/>
    </w:rPr>
  </w:style>
  <w:style w:type="paragraph" w:styleId="DefinitionDfinition">
    <w:name w:val="DefinitionDéfinition"/>
    <w:basedOn w:val="Normal"/>
    <w:next w:val="Normal"/>
    <w:qFormat/>
    <w:pPr>
      <w:tabs>
        <w:tab w:val="clear" w:pos="708"/>
        <w:tab w:val="left" w:pos="900" w:leader="none"/>
      </w:tabs>
      <w:spacing w:before="0" w:after="240"/>
    </w:pPr>
    <w:rPr>
      <w:rFonts w:ascii="Times New Roman" w:hAnsi="Times New Roman" w:cs="Times New Roman"/>
      <w:sz w:val="24"/>
      <w:szCs w:val="20"/>
      <w:lang w:val="fr-CA"/>
    </w:rPr>
  </w:style>
  <w:style w:type="paragraph" w:styleId="BodyTextIndent">
    <w:name w:val="Body Text Indent"/>
    <w:basedOn w:val="Normal"/>
    <w:pPr>
      <w:ind w:hanging="0" w:start="360" w:end="0"/>
    </w:pPr>
    <w:rPr>
      <w:rFonts w:cs="Times New Roman"/>
      <w:sz w:val="20"/>
      <w:szCs w:val="24"/>
      <w:lang w:val="pt-PT"/>
    </w:rPr>
  </w:style>
  <w:style w:type="paragraph" w:styleId="EstiloTtulo1Justificado">
    <w:name w:val="Estilo Título 1 + Justificado"/>
    <w:basedOn w:val="Heading1"/>
    <w:qFormat/>
    <w:pPr>
      <w:numPr>
        <w:ilvl w:val="0"/>
        <w:numId w:val="0"/>
      </w:numPr>
      <w:jc w:val="both"/>
      <w:outlineLvl w:val="9"/>
    </w:pPr>
    <w:rPr>
      <w:rFonts w:cs="Times New Roman"/>
      <w:bCs/>
      <w:sz w:val="28"/>
      <w:szCs w:val="20"/>
    </w:rPr>
  </w:style>
  <w:style w:type="paragraph" w:styleId="Capa4">
    <w:name w:val="Capa4"/>
    <w:basedOn w:val="Normal"/>
    <w:qFormat/>
    <w:pPr>
      <w:ind w:hanging="0" w:start="708" w:end="0"/>
      <w:jc w:val="both"/>
    </w:pPr>
    <w:rPr>
      <w:rFonts w:cs="Times New Roman"/>
      <w:sz w:val="28"/>
      <w:szCs w:val="24"/>
    </w:rPr>
  </w:style>
  <w:style w:type="paragraph" w:styleId="Capa2">
    <w:name w:val="Capa2"/>
    <w:basedOn w:val="Heading2"/>
    <w:qFormat/>
    <w:pPr>
      <w:numPr>
        <w:ilvl w:val="0"/>
        <w:numId w:val="0"/>
      </w:numPr>
      <w:spacing w:lineRule="auto" w:line="240"/>
      <w:ind w:hanging="0" w:start="708" w:end="0"/>
      <w:jc w:val="center"/>
      <w:outlineLvl w:val="9"/>
    </w:pPr>
    <w:rPr>
      <w:rFonts w:cs="Times New Roman"/>
      <w:iCs w:val="false"/>
      <w:sz w:val="56"/>
      <w:szCs w:val="24"/>
    </w:rPr>
  </w:style>
  <w:style w:type="paragraph" w:styleId="Capa1">
    <w:name w:val="Capa1"/>
    <w:basedOn w:val="Heading3"/>
    <w:qFormat/>
    <w:pPr>
      <w:numPr>
        <w:ilvl w:val="0"/>
        <w:numId w:val="0"/>
      </w:numPr>
      <w:spacing w:lineRule="auto" w:line="240" w:before="0" w:after="0"/>
      <w:ind w:hanging="0" w:start="708" w:end="0"/>
      <w:jc w:val="center"/>
      <w:outlineLvl w:val="9"/>
    </w:pPr>
    <w:rPr>
      <w:rFonts w:cs="Times New Roman"/>
      <w:i w:val="false"/>
      <w:sz w:val="32"/>
      <w:szCs w:val="24"/>
    </w:rPr>
  </w:style>
  <w:style w:type="paragraph" w:styleId="CapaTexto">
    <w:name w:val="CapaTexto"/>
    <w:basedOn w:val="Normal"/>
    <w:qFormat/>
    <w:pPr>
      <w:ind w:hanging="0" w:start="708" w:end="0"/>
      <w:jc w:val="both"/>
    </w:pPr>
    <w:rPr>
      <w:rFonts w:cs="Times New Roman"/>
      <w:szCs w:val="24"/>
      <w:lang w:val="en-US" w:eastAsia="en-US"/>
    </w:rPr>
  </w:style>
  <w:style w:type="paragraph" w:styleId="BoldCronTtulo1">
    <w:name w:val="BoldCron Título 1"/>
    <w:basedOn w:val="Heading1"/>
    <w:qFormat/>
    <w:pPr>
      <w:numPr>
        <w:ilvl w:val="0"/>
        <w:numId w:val="6"/>
      </w:numPr>
      <w:tabs>
        <w:tab w:val="clear" w:pos="708"/>
        <w:tab w:val="left" w:pos="567" w:leader="none"/>
        <w:tab w:val="left" w:pos="851" w:leader="none"/>
        <w:tab w:val="left" w:pos="1134" w:leader="none"/>
        <w:tab w:val="left" w:pos="1418" w:leader="none"/>
      </w:tabs>
      <w:outlineLvl w:val="9"/>
    </w:pPr>
    <w:rPr>
      <w:szCs w:val="28"/>
    </w:rPr>
  </w:style>
  <w:style w:type="paragraph" w:styleId="BoldCronTtulo2">
    <w:name w:val="BoldCron Título 2"/>
    <w:basedOn w:val="Heading2"/>
    <w:qFormat/>
    <w:pPr>
      <w:numPr>
        <w:ilvl w:val="0"/>
        <w:numId w:val="6"/>
      </w:numPr>
      <w:outlineLvl w:val="9"/>
    </w:pPr>
    <w:rPr>
      <w:szCs w:val="26"/>
    </w:rPr>
  </w:style>
  <w:style w:type="paragraph" w:styleId="BoldCronTtulo3">
    <w:name w:val="BoldCron Título 3"/>
    <w:basedOn w:val="Heading3"/>
    <w:qFormat/>
    <w:pPr>
      <w:numPr>
        <w:ilvl w:val="0"/>
        <w:numId w:val="6"/>
      </w:numPr>
      <w:tabs>
        <w:tab w:val="clear" w:pos="1701"/>
        <w:tab w:val="left" w:pos="2268" w:leader="none"/>
      </w:tabs>
      <w:outlineLvl w:val="9"/>
    </w:pPr>
    <w:rPr>
      <w:szCs w:val="22"/>
    </w:rPr>
  </w:style>
  <w:style w:type="paragraph" w:styleId="BoldCronTtulo4">
    <w:name w:val="BoldCron Título 4"/>
    <w:basedOn w:val="Heading4"/>
    <w:qFormat/>
    <w:pPr>
      <w:numPr>
        <w:ilvl w:val="0"/>
        <w:numId w:val="6"/>
      </w:numPr>
      <w:tabs>
        <w:tab w:val="clear" w:pos="708"/>
        <w:tab w:val="left" w:pos="2552" w:leader="none"/>
        <w:tab w:val="left" w:pos="2835" w:leader="none"/>
        <w:tab w:val="left" w:pos="3119" w:leader="none"/>
      </w:tabs>
      <w:spacing w:before="240" w:after="240"/>
      <w:jc w:val="both"/>
      <w:outlineLvl w:val="9"/>
    </w:pPr>
    <w:rPr>
      <w:rFonts w:ascii="Arial" w:hAnsi="Arial" w:cs="Arial"/>
      <w:i/>
      <w:sz w:val="22"/>
      <w:szCs w:val="22"/>
    </w:rPr>
  </w:style>
  <w:style w:type="paragraph" w:styleId="BoldCronTtulo5">
    <w:name w:val="BoldCron Título 5"/>
    <w:basedOn w:val="Heading5"/>
    <w:qFormat/>
    <w:pPr>
      <w:numPr>
        <w:ilvl w:val="0"/>
        <w:numId w:val="6"/>
      </w:numPr>
      <w:tabs>
        <w:tab w:val="clear" w:pos="708"/>
        <w:tab w:val="left" w:pos="2835" w:leader="none"/>
        <w:tab w:val="left" w:pos="3119" w:leader="none"/>
        <w:tab w:val="left" w:pos="3402" w:leader="none"/>
      </w:tabs>
      <w:spacing w:before="240" w:after="240"/>
      <w:jc w:val="both"/>
      <w:outlineLvl w:val="9"/>
    </w:pPr>
    <w:rPr>
      <w:sz w:val="22"/>
      <w:szCs w:val="22"/>
    </w:rPr>
  </w:style>
  <w:style w:type="paragraph" w:styleId="Recuodecorpodetexto3">
    <w:name w:val="Recuo de corpo de texto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Bullet1">
    <w:name w:val="Bullet 1"/>
    <w:basedOn w:val="Normal"/>
    <w:qFormat/>
    <w:pPr>
      <w:numPr>
        <w:ilvl w:val="0"/>
        <w:numId w:val="9"/>
      </w:numPr>
      <w:spacing w:before="60" w:after="60"/>
      <w:jc w:val="both"/>
    </w:pPr>
    <w:rPr>
      <w:rFonts w:cs="Times New Roman"/>
      <w:sz w:val="20"/>
      <w:szCs w:val="20"/>
    </w:rPr>
  </w:style>
  <w:style w:type="paragraph" w:styleId="Bullet2">
    <w:name w:val="Bullet 2"/>
    <w:basedOn w:val="Bullet1"/>
    <w:qFormat/>
    <w:pPr>
      <w:numPr>
        <w:ilvl w:val="0"/>
        <w:numId w:val="9"/>
      </w:numPr>
    </w:pPr>
    <w:rPr/>
  </w:style>
  <w:style w:type="paragraph" w:styleId="Bullet3">
    <w:name w:val="Bullet 3"/>
    <w:basedOn w:val="Bullet2"/>
    <w:qFormat/>
    <w:pPr>
      <w:numPr>
        <w:ilvl w:val="0"/>
        <w:numId w:val="9"/>
      </w:numPr>
    </w:pPr>
    <w:rPr/>
  </w:style>
  <w:style w:type="paragraph" w:styleId="Recuodecorpodetexto2">
    <w:name w:val="Recuo de corpo de texto 2"/>
    <w:basedOn w:val="Normal"/>
    <w:qFormat/>
    <w:pPr>
      <w:spacing w:lineRule="auto" w:line="480" w:before="0" w:after="120"/>
      <w:ind w:hanging="0" w:start="283" w:end="0"/>
    </w:pPr>
    <w:rPr/>
  </w:style>
  <w:style w:type="paragraph" w:styleId="ndicedeilustraes">
    <w:name w:val="Índice de ilustrações"/>
    <w:basedOn w:val="Normal"/>
    <w:next w:val="Normal"/>
    <w:qFormat/>
    <w:pPr>
      <w:spacing w:before="60" w:after="60"/>
    </w:pPr>
    <w:rPr>
      <w:rFonts w:ascii="Times New Roman" w:hAnsi="Times New Roman" w:cs="Times New Roman"/>
      <w:i/>
      <w:iCs/>
      <w:sz w:val="20"/>
      <w:szCs w:val="24"/>
    </w:rPr>
  </w:style>
  <w:style w:type="paragraph" w:styleId="Corpodetexto3">
    <w:name w:val="Corpo de texto 3"/>
    <w:basedOn w:val="Normal"/>
    <w:qFormat/>
    <w:pPr>
      <w:spacing w:before="0" w:after="120"/>
    </w:pPr>
    <w:rPr>
      <w:sz w:val="16"/>
      <w:szCs w:val="16"/>
    </w:rPr>
  </w:style>
  <w:style w:type="paragraph" w:styleId="Legenda">
    <w:name w:val="Legenda"/>
    <w:basedOn w:val="Normal"/>
    <w:next w:val="Normal"/>
    <w:qFormat/>
    <w:pPr>
      <w:spacing w:before="120" w:after="120"/>
      <w:jc w:val="center"/>
    </w:pPr>
    <w:rPr>
      <w:rFonts w:cs="Times New Roman"/>
      <w:sz w:val="16"/>
      <w:szCs w:val="20"/>
    </w:rPr>
  </w:style>
  <w:style w:type="paragraph" w:styleId="MapadoDocumento">
    <w:name w:val="Mapa do Documento"/>
    <w:basedOn w:val="Normal"/>
    <w:qFormat/>
    <w:pPr>
      <w:shd w:fill="000080" w:val="clear"/>
    </w:pPr>
    <w:rPr>
      <w:rFonts w:ascii="Tahoma" w:hAnsi="Tahoma" w:cs="Tahoma"/>
    </w:rPr>
  </w:style>
  <w:style w:type="paragraph" w:styleId="Index1">
    <w:name w:val="Index 1"/>
    <w:basedOn w:val="Normal"/>
    <w:next w:val="Normal"/>
    <w:pPr>
      <w:ind w:hanging="220" w:start="220" w:end="0"/>
    </w:pPr>
    <w:rPr/>
  </w:style>
  <w:style w:type="paragraph" w:styleId="Paragraph1">
    <w:name w:val="Paragraph1"/>
    <w:basedOn w:val="Normal"/>
    <w:qFormat/>
    <w:pPr>
      <w:widowControl w:val="false"/>
      <w:autoSpaceDE w:val="false"/>
      <w:spacing w:before="80" w:after="0"/>
      <w:jc w:val="both"/>
    </w:pPr>
    <w:rPr>
      <w:rFonts w:ascii="Times New Roman" w:hAnsi="Times New Roman" w:cs="Times New Roman"/>
      <w:sz w:val="20"/>
      <w:szCs w:val="20"/>
      <w:lang w:val="en-US"/>
    </w:rPr>
  </w:style>
  <w:style w:type="paragraph" w:styleId="Noraml">
    <w:name w:val="Noraml"/>
    <w:basedOn w:val="Normal"/>
    <w:qFormat/>
    <w:pPr>
      <w:autoSpaceDE w:val="false"/>
    </w:pPr>
    <w:rPr>
      <w:rFonts w:ascii="Times New Roman" w:hAnsi="Times New Roman" w:cs="Times New Roman"/>
    </w:rPr>
  </w:style>
  <w:style w:type="paragraph" w:styleId="Corpodetexto2">
    <w:name w:val="Corpo de texto 2"/>
    <w:basedOn w:val="Normal"/>
    <w:qFormat/>
    <w:pPr>
      <w:spacing w:lineRule="auto" w:line="480" w:before="0" w:after="120"/>
    </w:pPr>
    <w:rPr/>
  </w:style>
  <w:style w:type="paragraph" w:styleId="PSDS-CorpodeTexto">
    <w:name w:val="PSDS - Corpo de Texto"/>
    <w:basedOn w:val="Normal"/>
    <w:qFormat/>
    <w:pPr/>
    <w:rPr>
      <w:rFonts w:cs="Times New Roman"/>
      <w:sz w:val="20"/>
      <w:szCs w:val="20"/>
    </w:rPr>
  </w:style>
  <w:style w:type="paragraph" w:styleId="PSDS-Marcadores">
    <w:name w:val="PSDS - Marcadores"/>
    <w:basedOn w:val="Normal"/>
    <w:qFormat/>
    <w:pPr>
      <w:numPr>
        <w:ilvl w:val="0"/>
        <w:numId w:val="8"/>
      </w:numPr>
      <w:spacing w:before="40" w:after="40"/>
    </w:pPr>
    <w:rPr>
      <w:rFonts w:cs="Times New Roman"/>
      <w:b/>
      <w:sz w:val="24"/>
      <w:szCs w:val="20"/>
    </w:rPr>
  </w:style>
  <w:style w:type="paragraph" w:styleId="PSDS-MarcadoresNivel1">
    <w:name w:val="PSDS - Marcadores Nivel 1"/>
    <w:basedOn w:val="PSDS-Marcadores"/>
    <w:next w:val="PSDS-MarcadoresNivel2"/>
    <w:qFormat/>
    <w:pPr/>
    <w:rPr/>
  </w:style>
  <w:style w:type="paragraph" w:styleId="PSDS-MarcadoresNivel2">
    <w:name w:val="PSDS - Marcadores Nivel 2"/>
    <w:basedOn w:val="Normal"/>
    <w:qFormat/>
    <w:pPr>
      <w:numPr>
        <w:ilvl w:val="0"/>
        <w:numId w:val="8"/>
      </w:numPr>
    </w:pPr>
    <w:rPr>
      <w:rFonts w:cs="Times New Roman"/>
      <w:b/>
      <w:sz w:val="24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>
      <w:suppressLineNumbers/>
      <w:tabs>
        <w:tab w:val="clear" w:pos="4252"/>
        <w:tab w:val="clear" w:pos="8504"/>
        <w:tab w:val="center" w:pos="5386" w:leader="none"/>
        <w:tab w:val="right" w:pos="10772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numbering" Target="numbering.xml"/><Relationship Id="rIdFor4" Type="http://schemas.openxmlformats.org/officeDocument/2006/relationships/image" Target="media/fornecedor4.png"/><Relationship Id="rId18" Type="http://schemas.openxmlformats.org/officeDocument/2006/relationships/customXml" Target="../customXml/item2.xml"/><Relationship Id="rId3" Type="http://schemas.openxmlformats.org/officeDocument/2006/relationships/header" Target="header1.xml"/><Relationship Id="rIdFor3" Type="http://schemas.openxmlformats.org/officeDocument/2006/relationships/image" Target="media/fornecedor3.png"/><Relationship Id="rId7" Type="http://schemas.openxmlformats.org/officeDocument/2006/relationships/image" Target="media/image3.png"/><Relationship Id="rId12" Type="http://schemas.openxmlformats.org/officeDocument/2006/relationships/footer" Target="footer4.xml"/><Relationship Id="rId17" Type="http://schemas.openxmlformats.org/officeDocument/2006/relationships/customXml" Target="../customXml/item1.xml"/><Relationship Id="rId2" Type="http://schemas.openxmlformats.org/officeDocument/2006/relationships/image" Target="media/image1.png"/><Relationship Id="rId16" Type="http://schemas.openxmlformats.org/officeDocument/2006/relationships/theme" Target="theme/theme1.xml"/><Relationship Id="rIdFor2" Type="http://schemas.openxmlformats.org/officeDocument/2006/relationships/image" Target="media/fornecedor2.png"/><Relationship Id="rId1" Type="http://schemas.openxmlformats.org/officeDocument/2006/relationships/styles" Target="styles.xml"/><Relationship Id="rId6" Type="http://schemas.openxmlformats.org/officeDocument/2006/relationships/footer" Target="footer2.xml"/><Relationship Id="rId11" Type="http://schemas.openxmlformats.org/officeDocument/2006/relationships/footer" Target="footer3.xml"/><Relationship Id="rId5" Type="http://schemas.openxmlformats.org/officeDocument/2006/relationships/footer" Target="footer1.xml"/><Relationship Id="rId15" Type="http://schemas.openxmlformats.org/officeDocument/2006/relationships/settings" Target="settings.xml"/><Relationship Id="rIdFor1" Type="http://schemas.openxmlformats.org/officeDocument/2006/relationships/image" Target="media/fornecedor1.png"/><Relationship Id="rId10" Type="http://schemas.openxmlformats.org/officeDocument/2006/relationships/header" Target="header4.xml"/><Relationship Id="rId19" Type="http://schemas.openxmlformats.org/officeDocument/2006/relationships/customXml" Target="../customXml/item3.xml"/><Relationship Id="rId4" Type="http://schemas.openxmlformats.org/officeDocument/2006/relationships/header" Target="header2.xml"/><Relationship Id="rId9" Type="http://schemas.openxmlformats.org/officeDocument/2006/relationships/header" Target="header3.xml"/><Relationship Id="rId14" Type="http://schemas.openxmlformats.org/officeDocument/2006/relationships/fontTable" Target="fontTable.xml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62EE5AD61A904CA2D27BEB19C6432E" ma:contentTypeVersion="4" ma:contentTypeDescription="Crie um novo documento." ma:contentTypeScope="" ma:versionID="07dfec19174e3a851a222811b6907fd9">
  <xsd:schema xmlns:xsd="http://www.w3.org/2001/XMLSchema" xmlns:xs="http://www.w3.org/2001/XMLSchema" xmlns:p="http://schemas.microsoft.com/office/2006/metadata/properties" xmlns:ns2="85548cdb-5e85-47fd-b0ad-f756d80bf5c1" targetNamespace="http://schemas.microsoft.com/office/2006/metadata/properties" ma:root="true" ma:fieldsID="2d054d26156b843aafe6db01bfb9ac50" ns2:_="">
    <xsd:import namespace="85548cdb-5e85-47fd-b0ad-f756d80bf5c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48cdb-5e85-47fd-b0ad-f756d80bf5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5548cdb-5e85-47fd-b0ad-f756d80bf5c1" xsi:nil="true"/>
  </documentManagement>
</p:properties>
</file>

<file path=customXml/itemProps1.xml><?xml version="1.0" encoding="utf-8"?>
<ds:datastoreItem xmlns:ds="http://schemas.openxmlformats.org/officeDocument/2006/customXml" ds:itemID="{735551E9-7A4E-410E-BFDA-DAF492308E07}"/>
</file>

<file path=customXml/itemProps2.xml><?xml version="1.0" encoding="utf-8"?>
<ds:datastoreItem xmlns:ds="http://schemas.openxmlformats.org/officeDocument/2006/customXml" ds:itemID="{3C76FB8A-EA58-4DF4-B04E-2A484D218A7E}"/>
</file>

<file path=customXml/itemProps3.xml><?xml version="1.0" encoding="utf-8"?>
<ds:datastoreItem xmlns:ds="http://schemas.openxmlformats.org/officeDocument/2006/customXml" ds:itemID="{1ADA82DC-938F-4FBC-B834-143B324673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2010-05-14T20:50:00Z</dcterms:created>
  <dc:creator>Marcos Arruda</dc:creator>
  <dc:description/>
  <cp:keywords/>
  <dc:language>en-US</dc:language>
  <cp:lastModifiedBy>Rodrigo</cp:lastModifiedBy>
  <cp:lastPrinted>2005-05-05T18:18:00Z</cp:lastPrinted>
  <dcterms:modified xsi:type="dcterms:W3CDTF">2012-03-01T07:01:00Z</dcterms:modified>
  <cp:revision>8</cp:revision>
  <dc:subject/>
  <dc:title>CAPA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0x0101000162EE5AD61A904CA2D27BEB19C6432E</vt:lpwstr>
  </property>
</Properties>
</file>