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4"/>
          <w:szCs w:val="44"/>
        </w:rPr>
        <w:t xml:space="preserve">밀폐공간 환기량 산정 및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4"/>
          <w:szCs w:val="44"/>
        </w:rPr>
        <w:t xml:space="preserve">송배풍기 매칭 도구</w:t>
      </w:r>
    </w:p>
    <w:p>
      <w:pPr>
        <w:spacing w:after="1200"/>
        <w:jc w:val="center"/>
      </w:pPr>
      <w:r>
        <w:rPr>
          <w:rFonts w:ascii="맑은 고딕" w:cs="맑은 고딕" w:eastAsia="맑은 고딕" w:hAnsi="맑은 고딕"/>
          <w:color w:val="595959"/>
          <w:sz w:val="26"/>
          <w:szCs w:val="26"/>
        </w:rPr>
        <w:t xml:space="preserve">기 획 안 (초안)</w:t>
      </w:r>
    </w:p>
    <w:p>
      <w:pPr>
        <w:spacing w:before="2000"/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작성일 : 2026. 7. 25.</w:t>
      </w:r>
    </w:p>
    <w:p>
      <w:pPr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버전 : v0.1 (검토용 초안)</w:t>
      </w:r>
    </w:p>
    <w:p>
      <w:r>
        <w:br w:type="page"/>
      </w:r>
    </w:p>
    <w:p>
      <w:pPr>
        <w:pStyle w:val="Heading1"/>
        <w:pBdr>
          <w:bottom w:val="single" w:color="1F3864" w:sz="6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1. 목적 및 배경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밀폐공간 작업 프로그램 수립 시, 안전담당자가 작업 전·중 필요환기량을 신속하고 일관된 기준으로 산정하고, 사업장이 보유한 송배풍기로 해당 환기량을 충족할 수 있는지를 즉시 확인할 수 있도록 지원하는 계산 도구를 제작한다.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현재는 담당자별로 환기량 산정 기준과 방식이 상이하거나 수기 계산에 의존하는 경우가 많아, 산정 근거가 명확하지 않거나 과소·과대 산정될 위험이 있다. 본 도구는 계산 근거(적용 법령·지침)를 함께 제시하여 작업허가서에 첨부 가능한 형태의 결과물을 제공하는 것을 목표로 한다.</w:t>
      </w:r>
    </w:p>
    <w:p>
      <w:pPr>
        <w:pBdr>
          <w:left w:val="single" w:color="BF8F00" w:sz="24"/>
        </w:pBdr>
        <w:shd w:fill="FFF2CC" w:val="clear"/>
        <w:spacing w:after="160" w:before="80"/>
        <w:ind w:left="120"/>
      </w:pPr>
      <w:r>
        <w:rPr>
          <w:rFonts w:ascii="맑은 고딕" w:cs="맑은 고딕" w:eastAsia="맑은 고딕" w:hAnsi="맑은 고딕"/>
          <w:i/>
          <w:iCs/>
          <w:color w:val="7F6000"/>
          <w:sz w:val="20"/>
          <w:szCs w:val="20"/>
        </w:rPr>
        <w:t xml:space="preserve">※ 본 도구의 산출값은 설계·계획 단계의 참고용이며, 실제 근로자 출입 전·중의 산소·유해가스 농도 확인은 「산업안전보건기준에 관한 규칙」 제619조에 따라 반드시 실측으로 이루어져야 한다. 이 원칙은 문서 전반에 걸쳐 반복 고지한다.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1-1. 기대 효과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환기량 산정 기준의 표준화 (담당자 간 편차 감소)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계산 근거의 문서화 → 작업허가서 첨부 자료로 활용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보유 장비 재고를 활용한 즉시적 의사결정 지원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법령·지침 개정 시 설정값만 수정하여 대응 가능한 구조</w:t>
      </w:r>
    </w:p>
    <w:p>
      <w:pPr>
        <w:pStyle w:val="Heading1"/>
        <w:pBdr>
          <w:bottom w:val="single" w:color="1F3864" w:sz="6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2. 전체 프로세스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도구는 아래 6단계 마법사(Wizard) 구조로 진행한다.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5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7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1F1F"/>
                <w:sz w:val="20"/>
                <w:szCs w:val="20"/>
              </w:rPr>
              <w:t xml:space="preserve">1단계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1F1F"/>
                <w:sz w:val="20"/>
                <w:szCs w:val="20"/>
              </w:rPr>
              <w:t xml:space="preserve">계산방식 선택 (체적배수법 / 오염물질 희석법)</w:t>
            </w:r>
          </w:p>
        </w:tc>
      </w:tr>
      <w:tr>
        <w:tc>
          <w:tcPr>
            <w:tcW w:type="dxa" w:w="16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1F1F"/>
                <w:sz w:val="20"/>
                <w:szCs w:val="20"/>
              </w:rPr>
              <w:t xml:space="preserve">2단계</w:t>
            </w:r>
          </w:p>
        </w:tc>
        <w:tc>
          <w:tcPr>
            <w:tcW w:type="dxa" w:w="7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1F1F"/>
                <w:sz w:val="20"/>
                <w:szCs w:val="20"/>
              </w:rPr>
              <w:t xml:space="preserve">공간 체적 산출 (직접입력 / 도형계산기)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1F1F"/>
                <w:sz w:val="20"/>
                <w:szCs w:val="20"/>
              </w:rPr>
              <w:t xml:space="preserve">3단계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1F1F"/>
                <w:sz w:val="20"/>
                <w:szCs w:val="20"/>
              </w:rPr>
              <w:t xml:space="preserve">작업조건 입력 (인원, 방식별 세부값)</w:t>
            </w:r>
          </w:p>
        </w:tc>
      </w:tr>
      <w:tr>
        <w:tc>
          <w:tcPr>
            <w:tcW w:type="dxa" w:w="16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1F1F"/>
                <w:sz w:val="20"/>
                <w:szCs w:val="20"/>
              </w:rPr>
              <w:t xml:space="preserve">4단계</w:t>
            </w:r>
          </w:p>
        </w:tc>
        <w:tc>
          <w:tcPr>
            <w:tcW w:type="dxa" w:w="7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1F1F"/>
                <w:sz w:val="20"/>
                <w:szCs w:val="20"/>
              </w:rPr>
              <w:t xml:space="preserve">필요환기량 산출 (최초 급기량 + 유지 환기량)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1F1F"/>
                <w:sz w:val="20"/>
                <w:szCs w:val="20"/>
              </w:rPr>
              <w:t xml:space="preserve">5단계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1F1F"/>
                <w:sz w:val="20"/>
                <w:szCs w:val="20"/>
              </w:rPr>
              <w:t xml:space="preserve">보유 송배풍기 스펙 매칭 → 필요 대수 산출</w:t>
            </w:r>
          </w:p>
        </w:tc>
      </w:tr>
      <w:tr>
        <w:tc>
          <w:tcPr>
            <w:tcW w:type="dxa" w:w="16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1F1F"/>
                <w:sz w:val="20"/>
                <w:szCs w:val="20"/>
              </w:rPr>
              <w:t xml:space="preserve">6단계</w:t>
            </w:r>
          </w:p>
        </w:tc>
        <w:tc>
          <w:tcPr>
            <w:tcW w:type="dxa" w:w="7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1F1F"/>
                <w:sz w:val="20"/>
                <w:szCs w:val="20"/>
              </w:rPr>
              <w:t xml:space="preserve">결과 리포트 출력 (근거 명시, 인쇄용)</w:t>
            </w:r>
          </w:p>
        </w:tc>
      </w:tr>
    </w:tbl>
    <w:p>
      <w:pPr>
        <w:pStyle w:val="Heading1"/>
        <w:pBdr>
          <w:bottom w:val="single" w:color="1F3864" w:sz="6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3. 단계별 상세 기능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3-1. 계산방식 선택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체적배수법 : 발생량을 특정하기 어려운 일반 밀폐공간 (단순 산소결핍 우려)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오염물질 희석법 : 유해가스·유기화합물이 지속 발생하는 공간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　- 하위분기 A : 발생량(G)을 알고 있는 경우 → 직접 입력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　- 하위분기 B : 발생량을 모르는 경우 → 농도 측정 기반 역산 모듈 사용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3-2. 공간 체적 산출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460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입력방식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4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계산식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1F1F"/>
                <w:sz w:val="20"/>
                <w:szCs w:val="20"/>
              </w:rPr>
              <w:t xml:space="preserve">직접입력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1F1F"/>
                <w:sz w:val="20"/>
                <w:szCs w:val="20"/>
              </w:rPr>
              <w:t xml:space="preserve">체적을 이미 아는 경우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1F1F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9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1F1F"/>
                <w:sz w:val="20"/>
                <w:szCs w:val="20"/>
              </w:rPr>
              <w:t xml:space="preserve">사각기둥</w:t>
            </w:r>
          </w:p>
        </w:tc>
        <w:tc>
          <w:tcPr>
            <w:tcW w:type="dxa" w:w="26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1F1F"/>
                <w:sz w:val="20"/>
                <w:szCs w:val="20"/>
              </w:rPr>
              <w:t xml:space="preserve">맨홀, 피트 등</w:t>
            </w:r>
          </w:p>
        </w:tc>
        <w:tc>
          <w:tcPr>
            <w:tcW w:type="dxa" w:w="46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1F1F"/>
                <w:sz w:val="20"/>
                <w:szCs w:val="20"/>
              </w:rPr>
              <w:t xml:space="preserve">가로 × 세로 × 높이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1F1F"/>
                <w:sz w:val="20"/>
                <w:szCs w:val="20"/>
              </w:rPr>
              <w:t xml:space="preserve">원기둥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1F1F"/>
                <w:sz w:val="20"/>
                <w:szCs w:val="20"/>
              </w:rPr>
              <w:t xml:space="preserve">수직갱, 탱크 등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1F1F"/>
                <w:sz w:val="20"/>
                <w:szCs w:val="20"/>
              </w:rPr>
              <w:t xml:space="preserve">π × 반지름² × 높이</w:t>
            </w:r>
          </w:p>
        </w:tc>
      </w:tr>
      <w:tr>
        <w:tc>
          <w:tcPr>
            <w:tcW w:type="dxa" w:w="19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1F1F"/>
                <w:sz w:val="20"/>
                <w:szCs w:val="20"/>
              </w:rPr>
              <w:t xml:space="preserve">임의 다각형 단면</w:t>
            </w:r>
          </w:p>
        </w:tc>
        <w:tc>
          <w:tcPr>
            <w:tcW w:type="dxa" w:w="26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1F1F"/>
                <w:sz w:val="20"/>
                <w:szCs w:val="20"/>
              </w:rPr>
              <w:t xml:space="preserve">비정형 구조물</w:t>
            </w:r>
          </w:p>
        </w:tc>
        <w:tc>
          <w:tcPr>
            <w:tcW w:type="dxa" w:w="46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1F1F"/>
                <w:sz w:val="20"/>
                <w:szCs w:val="20"/>
              </w:rPr>
              <w:t xml:space="preserve">좌표 입력 → Shoelace 공식으로 단면적 산출 후 × 높이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1F1F"/>
                <w:sz w:val="20"/>
                <w:szCs w:val="20"/>
              </w:rPr>
              <w:t xml:space="preserve">복합형상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1F1F"/>
                <w:sz w:val="20"/>
                <w:szCs w:val="20"/>
              </w:rPr>
              <w:t xml:space="preserve">본체 + 부속 배관 등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1F1F"/>
                <w:sz w:val="20"/>
                <w:szCs w:val="20"/>
              </w:rPr>
              <w:t xml:space="preserve">개별 도형 체적의 합 또는 차</w:t>
            </w:r>
          </w:p>
        </w:tc>
      </w:tr>
    </w:tbl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3-3. 작업조건 입력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공통 : 작업 인원수, 예정 작업시간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체적배수법 : 최초 급기 배수(기본 5배), 유지 환기횟수(기본 20회/h) — 수정 가능한 설정값으로 처리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희석법 A : 물질정보(분자량·비중 또는 물질 프리셋), 시간당 사용량, 허용기준(TLV), 안전계수(K)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희석법 B(역산) : 현재 가동 풍량(Q), 초기농도(C0), 측정농도 C(t), 경과시간(t)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3-4. 필요환기량 산출 로직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E2E2E"/>
          <w:sz w:val="21"/>
          <w:szCs w:val="21"/>
        </w:rPr>
        <w:t xml:space="preserve">(1) 체적배수법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100" w:before="1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최초 급기량[㎥]   = 실내체적 × 급기배수
유지환기량[㎥/h] = 실내체적 × 환기횟수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E2E2E"/>
          <w:sz w:val="21"/>
          <w:szCs w:val="21"/>
        </w:rPr>
        <w:t xml:space="preserve">(2) 희석법 A — 발생량을 아는 경우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100" w:before="1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필요환기량[㎥/h] = 발생량(G) × 안전계수(K) / 허용기준(TLV 기반)</w:t>
      </w:r>
    </w:p>
    <w:p>
      <w:pPr>
        <w:pBdr>
          <w:left w:val="single" w:color="BF8F00" w:sz="24"/>
        </w:pBdr>
        <w:shd w:fill="FFF2CC" w:val="clear"/>
        <w:spacing w:after="160" w:before="80"/>
        <w:ind w:left="120"/>
      </w:pPr>
      <w:r>
        <w:rPr>
          <w:rFonts w:ascii="맑은 고딕" w:cs="맑은 고딕" w:eastAsia="맑은 고딕" w:hAnsi="맑은 고딕"/>
          <w:i/>
          <w:iCs/>
          <w:color w:val="7F6000"/>
          <w:sz w:val="20"/>
          <w:szCs w:val="20"/>
        </w:rPr>
        <w:t xml:space="preserve">※ 정확한 계수는 실제 구현 전 「산업안전보건기준에 관한 규칙」 제430조 원문 및 KOSHA 「산업환기설비에 관한 기술지침」으로 재검증이 필요하다.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2E2E2E"/>
          <w:sz w:val="21"/>
          <w:szCs w:val="21"/>
        </w:rPr>
        <w:t xml:space="preserve">(3) 희석법 B — 농도 측정 기반 역산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100" w:before="1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① 발생량 역산 : G = Q × C(t) / (1 − e^(−Q×t / V))
② 필요환기량   : Q_required = G × K / 허용기준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최소 측정시간 권장치(3V/Q 이상) 미달 시 '추정 신뢰도 낮음' 경고 표시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결과값은 '실측 대체 불가, 설계 참고용' 라벨을 고정 표시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측정은 근로자 진입 없이 원격 프로브/센서로 수행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3-5. 송배풍기 매칭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보유 장비 등록 : 장비명, 정격풍량(CMH), 정압, 방폭 여부, 소음 등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유효율 계수 적용 (덕트 손실 등 고려, 기본 70~80%, 수정 가능)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필요 대수 = 필요환기량 ÷ 장비 실질풍량 (올림 처리)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장비 조합 시 총 풍량 대비 여유율(%) 표시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3-6. 결과 리포트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선택 방식, 적용 법령/지침, 입력값, 산출 근거 전체 요약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인쇄 / PDF 출력 → 밀폐공간 작업허가서 첨부용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고정 경고 문구 : '본 결과는 설계·계획 참고용이며, 실제 출입 전·중에는 안전보건규칙 제619조에 따라 산소·유해가스 농도를 반드시 실측하여 확인해야 함'</w:t>
      </w:r>
    </w:p>
    <w:p>
      <w:pPr>
        <w:pStyle w:val="Heading1"/>
        <w:pBdr>
          <w:bottom w:val="single" w:color="1F3864" w:sz="6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4. 데이터 흐름 요약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100" w:before="1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[체적 산출] → [작업조건 / 방식별 입력] → [필요환기량 계산]
                                             │
                        [보유 송배풍기 목록] → [매칭 · 필요대수 산출]
                                             │
                                      [결과 리포트]</w:t>
      </w:r>
    </w:p>
    <w:p>
      <w:pPr>
        <w:pStyle w:val="Heading1"/>
        <w:pBdr>
          <w:bottom w:val="single" w:color="1F3864" w:sz="6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5. 기술 구현 방안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제안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1F1F"/>
                <w:sz w:val="20"/>
                <w:szCs w:val="20"/>
              </w:rPr>
              <w:t xml:space="preserve">형태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1F1F"/>
                <w:sz w:val="20"/>
                <w:szCs w:val="20"/>
              </w:rPr>
              <w:t xml:space="preserve">단일 HTML 파일 (JS 내장), 오프라인 브라우저 실행</w:t>
            </w:r>
          </w:p>
        </w:tc>
      </w:tr>
      <w:tr>
        <w:tc>
          <w:tcPr>
            <w:tcW w:type="dxa" w:w="24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1F1F"/>
                <w:sz w:val="20"/>
                <w:szCs w:val="20"/>
              </w:rPr>
              <w:t xml:space="preserve">EXE화</w:t>
            </w:r>
          </w:p>
        </w:tc>
        <w:tc>
          <w:tcPr>
            <w:tcW w:type="dxa" w:w="67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1F1F"/>
                <w:sz w:val="20"/>
                <w:szCs w:val="20"/>
              </w:rPr>
              <w:t xml:space="preserve">필요 시 Electron 패키징 검토 (필수 아님, HTML 실행으로 대체 가능)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1F1F"/>
                <w:sz w:val="20"/>
                <w:szCs w:val="20"/>
              </w:rPr>
              <w:t xml:space="preserve">장비 데이터 저장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1F1F"/>
                <w:sz w:val="20"/>
                <w:szCs w:val="20"/>
              </w:rPr>
              <w:t xml:space="preserve">JSON / CSV 내보내기·불러오기 지원 (재사용 가능)</w:t>
            </w:r>
          </w:p>
        </w:tc>
      </w:tr>
      <w:tr>
        <w:tc>
          <w:tcPr>
            <w:tcW w:type="dxa" w:w="24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1F1F"/>
                <w:sz w:val="20"/>
                <w:szCs w:val="20"/>
              </w:rPr>
              <w:t xml:space="preserve">계산 설정값</w:t>
            </w:r>
          </w:p>
        </w:tc>
        <w:tc>
          <w:tcPr>
            <w:tcW w:type="dxa" w:w="67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1F1F"/>
                <w:sz w:val="20"/>
                <w:szCs w:val="20"/>
              </w:rPr>
              <w:t xml:space="preserve">급기배수 · 환기횟수 · 안전계수 등은 하드코딩 대신 사용자 수정 가능한 설정값으로 분리</w:t>
            </w:r>
          </w:p>
        </w:tc>
      </w:tr>
    </w:tbl>
    <w:p>
      <w:pPr>
        <w:pStyle w:val="Heading1"/>
        <w:pBdr>
          <w:bottom w:val="single" w:color="1F3864" w:sz="6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6. 개발 범위 (단계적 제안)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3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7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포함 기능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1F1F"/>
                <w:sz w:val="20"/>
                <w:szCs w:val="20"/>
              </w:rPr>
              <w:t xml:space="preserve">MVP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1F1F"/>
                <w:sz w:val="20"/>
                <w:szCs w:val="20"/>
              </w:rPr>
              <w:t xml:space="preserve">체적배수법 + 사각/원통 체적계산 + 송배풍기 매칭 + 결과 리포트</w:t>
            </w:r>
          </w:p>
        </w:tc>
      </w:tr>
      <w:tr>
        <w:tc>
          <w:tcPr>
            <w:tcW w:type="dxa" w:w="18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1F1F"/>
                <w:sz w:val="20"/>
                <w:szCs w:val="20"/>
              </w:rPr>
              <w:t xml:space="preserve">2차</w:t>
            </w:r>
          </w:p>
        </w:tc>
        <w:tc>
          <w:tcPr>
            <w:tcW w:type="dxa" w:w="73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1F1F"/>
                <w:sz w:val="20"/>
                <w:szCs w:val="20"/>
              </w:rPr>
              <w:t xml:space="preserve">다각형 체적계산 + 희석법 A (발생량 직접입력)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1F1F"/>
                <w:sz w:val="20"/>
                <w:szCs w:val="20"/>
              </w:rPr>
              <w:t xml:space="preserve">3차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1F1F"/>
                <w:sz w:val="20"/>
                <w:szCs w:val="20"/>
              </w:rPr>
              <w:t xml:space="preserve">희석법 B (농도 측정 기반 역산 모듈)</w:t>
            </w:r>
          </w:p>
        </w:tc>
      </w:tr>
    </w:tbl>
    <w:p>
      <w:pPr>
        <w:pStyle w:val="Heading1"/>
        <w:pBdr>
          <w:bottom w:val="single" w:color="1F3864" w:sz="6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7. 향후 검토사항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희석법 A의 정확한 계산식 계수를 법령 원문·KOSHA 지침으로 재검증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실제 현장 다중 측정지점 운용 방식 (평균값 vs 최댓값 적용 기준) 결정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결과 리포트 양식을 사내 작업허가서 서식과 통일할지 여부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장비 데이터베이스를 다수 사업장/부서가 공유할 경우의 관리 방식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-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2026-07-25T12:14:44.727Z</dcterms:created>
  <dcterms:modified xsi:type="dcterms:W3CDTF">2026-07-25T12:14:44.748Z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