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B8860B"/>
          <w:sz w:val="52"/>
          <w:szCs w:val="52"/>
        </w:rPr>
        <w:t xml:space="preserve">FULLONBAAN</w:t>
      </w:r>
    </w:p>
    <w:p>
      <w:pPr>
        <w:spacing w:after="600"/>
        <w:jc w:val="center"/>
      </w:pPr>
      <w:r>
        <w:rPr>
          <w:rFonts w:ascii="Arial" w:cs="Arial" w:eastAsia="Arial" w:hAnsi="Arial"/>
          <w:color w:val="555555"/>
          <w:sz w:val="36"/>
          <w:szCs w:val="36"/>
        </w:rPr>
        <w:t xml:space="preserve">Market Research &amp; Analysis</w:t>
      </w:r>
    </w:p>
    <w:p>
      <w:pPr>
        <w:pBdr>
          <w:bottom w:val="single" w:color="B8860B" w:sz="6" w:space="1"/>
        </w:pBdr>
        <w:spacing w:after="600"/>
        <w:jc w:val="center"/>
      </w:pPr>
    </w:p>
    <w:p>
      <w:pPr>
        <w:spacing w:after="200"/>
        <w:jc w:val="center"/>
      </w:pPr>
      <w:r>
        <w:rPr>
          <w:rFonts w:ascii="Arial" w:cs="Arial" w:eastAsia="Arial" w:hAnsi="Arial"/>
          <w:b/>
          <w:bCs/>
          <w:color w:val="000000"/>
          <w:sz w:val="44"/>
          <w:szCs w:val="44"/>
        </w:rPr>
        <w:t xml:space="preserve">High-Value Infor LN Content</w:t>
      </w:r>
    </w:p>
    <w:p>
      <w:pPr>
        <w:spacing w:after="100"/>
        <w:jc w:val="center"/>
      </w:pPr>
      <w:r>
        <w:rPr>
          <w:rFonts w:ascii="Arial" w:cs="Arial" w:eastAsia="Arial" w:hAnsi="Arial"/>
          <w:i/>
          <w:iCs/>
          <w:color w:val="555555"/>
          <w:sz w:val="28"/>
          <w:szCs w:val="28"/>
        </w:rPr>
        <w:t xml:space="preserve">Where Consultants &amp; Decision Makers Pay Premium</w:t>
      </w:r>
    </w:p>
    <w:p>
      <w:pPr>
        <w:spacing w:before="2000"/>
      </w:pPr>
    </w:p>
    <w:p>
      <w:pPr>
        <w:jc w:val="center"/>
      </w:pPr>
      <w:r>
        <w:rPr>
          <w:rFonts w:ascii="Arial" w:cs="Arial" w:eastAsia="Arial" w:hAnsi="Arial"/>
          <w:color w:val="555555"/>
          <w:sz w:val="22"/>
          <w:szCs w:val="22"/>
        </w:rPr>
        <w:t xml:space="preserve">Prepared for: Raj | FullOnBaan Ecosystem</w:t>
      </w:r>
    </w:p>
    <w:p>
      <w:pPr>
        <w:jc w:val="center"/>
      </w:pPr>
      <w:r>
        <w:rPr>
          <w:rFonts w:ascii="Arial" w:cs="Arial" w:eastAsia="Arial" w:hAnsi="Arial"/>
          <w:color w:val="555555"/>
          <w:sz w:val="22"/>
          <w:szCs w:val="22"/>
        </w:rPr>
        <w:t xml:space="preserve">April 2026</w:t>
      </w:r>
    </w:p>
    <w:p>
      <w:pPr>
        <w:sectPr>
          <w:pgSz w:w="12240" w:h="15840" w:orient="portrait"/>
          <w:pgMar w:top="1440" w:right="1440" w:bottom="1440" w:left="1440" w:header="708" w:footer="708" w:gutter="0"/>
          <w:pgNumType/>
          <w:docGrid w:linePitch="360"/>
        </w:sectPr>
      </w:pPr>
    </w:p>
    <w:p>
      <w:pPr>
        <w:pStyle w:val="Heading1"/>
        <w:spacing w:after="200" w:before="300"/>
      </w:pPr>
      <w:r>
        <w:rPr>
          <w:rFonts w:ascii="Arial" w:cs="Arial" w:eastAsia="Arial" w:hAnsi="Arial"/>
          <w:b/>
          <w:bCs/>
          <w:color w:val="8B6914"/>
          <w:sz w:val="32"/>
          <w:szCs w:val="32"/>
        </w:rPr>
        <w:t xml:space="preserve">1. Executive Summary</w:t>
      </w:r>
    </w:p>
    <w:p>
      <w:pPr>
        <w:spacing w:after="160"/>
      </w:pPr>
      <w:r>
        <w:rPr>
          <w:rFonts w:ascii="Arial" w:cs="Arial" w:eastAsia="Arial" w:hAnsi="Arial"/>
          <w:b w:val="false"/>
          <w:bCs w:val="false"/>
          <w:i w:val="false"/>
          <w:iCs w:val="false"/>
          <w:color w:val="333333"/>
          <w:sz w:val="22"/>
          <w:szCs w:val="22"/>
        </w:rPr>
        <w:t xml:space="preserve">The Infor LN ERP ecosystem represents a high-margin niche where specialized knowledge commands premium pricing. Senior LN functional consultants bill $1,500–$2,500 per day in North America, yet quality self-serve training content is scarce. FullOnBaan is already positioned with 15 training modules, two forward-looking strategy bundles (Cloud Migration and AI/GenAI), and an established brand identity in this space.</w:t>
      </w:r>
    </w:p>
    <w:p>
      <w:pPr>
        <w:spacing w:after="160"/>
      </w:pPr>
      <w:r>
        <w:rPr>
          <w:rFonts w:ascii="Arial" w:cs="Arial" w:eastAsia="Arial" w:hAnsi="Arial"/>
          <w:b w:val="false"/>
          <w:bCs w:val="false"/>
          <w:i w:val="false"/>
          <w:iCs w:val="false"/>
          <w:color w:val="333333"/>
          <w:sz w:val="22"/>
          <w:szCs w:val="22"/>
        </w:rPr>
        <w:t xml:space="preserve">This research identifies the highest-value content topics, quantifies the revenue opportunity, maps the competitive landscape, and recommends a phased strategy to monetize premium content, attract consulting leads, and cement FullOnBaan’s authority as the go-to Infor LN resource.</w:t>
      </w:r>
    </w:p>
    <w:p>
      <w:pPr>
        <w:pStyle w:val="Heading1"/>
        <w:spacing w:after="200" w:before="300"/>
      </w:pPr>
      <w:r>
        <w:rPr>
          <w:rFonts w:ascii="Arial" w:cs="Arial" w:eastAsia="Arial" w:hAnsi="Arial"/>
          <w:b/>
          <w:bCs/>
          <w:color w:val="8B6914"/>
          <w:sz w:val="32"/>
          <w:szCs w:val="32"/>
        </w:rPr>
        <w:t xml:space="preserve">2. Market Landscape</w:t>
      </w:r>
    </w:p>
    <w:p>
      <w:pPr>
        <w:pStyle w:val="Heading2"/>
        <w:spacing w:after="200" w:before="300"/>
      </w:pPr>
      <w:r>
        <w:rPr>
          <w:rFonts w:ascii="Arial" w:cs="Arial" w:eastAsia="Arial" w:hAnsi="Arial"/>
          <w:b/>
          <w:bCs/>
          <w:color w:val="8B6914"/>
          <w:sz w:val="28"/>
          <w:szCs w:val="28"/>
        </w:rPr>
        <w:t xml:space="preserve">2.1 The Infor LN Talent Shortage</w:t>
      </w:r>
    </w:p>
    <w:p>
      <w:pPr>
        <w:spacing w:after="160"/>
      </w:pPr>
      <w:r>
        <w:rPr>
          <w:rFonts w:ascii="Arial" w:cs="Arial" w:eastAsia="Arial" w:hAnsi="Arial"/>
          <w:b w:val="false"/>
          <w:bCs w:val="false"/>
          <w:i w:val="false"/>
          <w:iCs w:val="false"/>
          <w:color w:val="333333"/>
          <w:sz w:val="22"/>
          <w:szCs w:val="22"/>
        </w:rPr>
        <w:t xml:space="preserve">Experienced Infor LN consultants are significantly rarer than their SAP or Oracle counterparts. This scarcity drives consultant day rates to $1,500–$2,500 in North America, with global rates for senior functional resources averaging $800–$1,500/day. Organizations regularly spend $50K–$200K in the first year post-go-live just on optimization work, creating a steady demand pipeline for anyone who can accelerate onboarding, upskilling, or knowledge transfer.</w:t>
      </w:r>
    </w:p>
    <w:p>
      <w:pPr>
        <w:pStyle w:val="Heading2"/>
        <w:spacing w:after="200" w:before="300"/>
      </w:pPr>
      <w:r>
        <w:rPr>
          <w:rFonts w:ascii="Arial" w:cs="Arial" w:eastAsia="Arial" w:hAnsi="Arial"/>
          <w:b/>
          <w:bCs/>
          <w:color w:val="8B6914"/>
          <w:sz w:val="28"/>
          <w:szCs w:val="28"/>
        </w:rPr>
        <w:t xml:space="preserve">2.2 Cloud Migration Momentum</w:t>
      </w:r>
    </w:p>
    <w:p>
      <w:pPr>
        <w:spacing w:after="160"/>
      </w:pPr>
      <w:r>
        <w:rPr>
          <w:rFonts w:ascii="Arial" w:cs="Arial" w:eastAsia="Arial" w:hAnsi="Arial"/>
          <w:b w:val="false"/>
          <w:bCs w:val="false"/>
          <w:i w:val="false"/>
          <w:iCs w:val="false"/>
          <w:color w:val="333333"/>
          <w:sz w:val="22"/>
          <w:szCs w:val="22"/>
        </w:rPr>
        <w:t xml:space="preserve">The 2026 RPI Consultants Infor Community Survey confirms that cloud migration is accelerating: nearly twice as many organizations are actively migrating their financial and HCM systems compared to last year. Infor’s own “Leap” program now offers fixed-fee, fixed-timeline cloud transformations, while 46% of respondents report active AI usage (up from 20% the prior year). This creates enormous demand for practical, Infor-LN-specific cloud migration guidance and AI readiness content.</w:t>
      </w:r>
    </w:p>
    <w:p>
      <w:pPr>
        <w:pStyle w:val="Heading2"/>
        <w:spacing w:after="200" w:before="300"/>
      </w:pPr>
      <w:r>
        <w:rPr>
          <w:rFonts w:ascii="Arial" w:cs="Arial" w:eastAsia="Arial" w:hAnsi="Arial"/>
          <w:b/>
          <w:bCs/>
          <w:color w:val="8B6914"/>
          <w:sz w:val="28"/>
          <w:szCs w:val="28"/>
        </w:rPr>
        <w:t xml:space="preserve">2.3 Total Cost of Ownership Context</w:t>
      </w:r>
    </w:p>
    <w:p>
      <w:pPr>
        <w:spacing w:after="160"/>
      </w:pPr>
      <w:r>
        <w:rPr>
          <w:rFonts w:ascii="Arial" w:cs="Arial" w:eastAsia="Arial" w:hAnsi="Arial"/>
          <w:b w:val="false"/>
          <w:bCs w:val="false"/>
          <w:i w:val="false"/>
          <w:iCs w:val="false"/>
          <w:color w:val="333333"/>
          <w:sz w:val="22"/>
          <w:szCs w:val="22"/>
        </w:rPr>
        <w:t xml:space="preserve">Infor LN implementation costs range from $10K for small businesses to $100K+ for enterprises. Subscription pricing starts around $50–$200 per user per month. Annual maintenance runs 18–22% of perpetual license fees. For a $1M perpetual license, that means $180K–$220K yearly. Every dollar spent on quality training that reduces implementation time, support tickets, or consultant dependency is a high-ROI investment for buyers.</w:t>
      </w:r>
    </w:p>
    <w:p>
      <w:pPr>
        <w:pStyle w:val="Heading1"/>
        <w:spacing w:after="200" w:before="300"/>
      </w:pPr>
      <w:r>
        <w:rPr>
          <w:rFonts w:ascii="Arial" w:cs="Arial" w:eastAsia="Arial" w:hAnsi="Arial"/>
          <w:b/>
          <w:bCs/>
          <w:color w:val="8B6914"/>
          <w:sz w:val="32"/>
          <w:szCs w:val="32"/>
        </w:rPr>
        <w:t xml:space="preserve">3. Premium Content Topics: Where the Money Is</w:t>
      </w:r>
    </w:p>
    <w:p>
      <w:pPr>
        <w:spacing w:after="160"/>
      </w:pPr>
      <w:r>
        <w:rPr>
          <w:rFonts w:ascii="Arial" w:cs="Arial" w:eastAsia="Arial" w:hAnsi="Arial"/>
          <w:b w:val="false"/>
          <w:bCs w:val="false"/>
          <w:i w:val="false"/>
          <w:iCs w:val="false"/>
          <w:color w:val="333333"/>
          <w:sz w:val="22"/>
          <w:szCs w:val="22"/>
        </w:rPr>
        <w:t xml:space="preserve">The following analysis ranks content topics by buyer willingness to pay, market demand, and FullOnBaan’s current positioning.</w:t>
      </w:r>
    </w:p>
    <w:p>
      <w:pPr>
        <w:pStyle w:val="Heading2"/>
        <w:spacing w:after="200" w:before="300"/>
      </w:pPr>
      <w:r>
        <w:rPr>
          <w:rFonts w:ascii="Arial" w:cs="Arial" w:eastAsia="Arial" w:hAnsi="Arial"/>
          <w:b/>
          <w:bCs/>
          <w:color w:val="8B6914"/>
          <w:sz w:val="28"/>
          <w:szCs w:val="28"/>
        </w:rPr>
        <w:t xml:space="preserve">3.1 Tier 1: Highest Value ($500–$3,000+ per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00"/>
        <w:gridCol w:w="2160"/>
      </w:tblGrid>
      <w:tr>
        <w:tc>
          <w:tcPr>
            <w:tcW w:type="dxa" w:w="26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26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Why It’s Premium</w:t>
            </w:r>
          </w:p>
        </w:tc>
        <w:tc>
          <w:tcPr>
            <w:tcW w:type="dxa" w:w="20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Target Buyer</w:t>
            </w:r>
          </w:p>
        </w:tc>
        <w:tc>
          <w:tcPr>
            <w:tcW w:type="dxa" w:w="216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FullOnBaan Status</w:t>
            </w:r>
          </w:p>
        </w:tc>
      </w:tr>
      <w:tr>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Cloud Migration &amp; Upgrade Strategy</w:t>
            </w:r>
          </w:p>
        </w:tc>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Organizations face 2030 end-of-life deadlines; need step-by-step playbooks to de-risk transitions</w:t>
            </w:r>
          </w:p>
        </w:tc>
        <w:tc>
          <w:tcPr>
            <w:tcW w:type="dxa" w:w="2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CIOs, IT Directors, Program Managers</w:t>
            </w:r>
          </w:p>
        </w:tc>
        <w:tc>
          <w:tcPr>
            <w:tcW w:type="dxa" w:w="21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STRONG — 7-eBook bundle + Excel tool already at ₹2,999</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AI/GenAI &amp; Coleman AI Platform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usage doubled YoY; 46% active adopters need practical Infor-specific guidance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Digital Transformation Leads, CTOs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STRONG — 7-eBook bundle + AI Readiness Tool at ₹2,499</w:t>
            </w:r>
          </w:p>
        </w:tc>
      </w:tr>
      <w:tr>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Infor LN Development (4GL/BDE)</w:t>
            </w:r>
          </w:p>
        </w:tc>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 technical skill; entry barrier keeps supply low</w:t>
            </w:r>
          </w:p>
        </w:tc>
        <w:tc>
          <w:tcPr>
            <w:tcW w:type="dxa" w:w="2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Technical Consultants, Developers</w:t>
            </w:r>
          </w:p>
        </w:tc>
        <w:tc>
          <w:tcPr>
            <w:tcW w:type="dxa" w:w="21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STRONG — 1.2MB eBook + Video at ₹4,999 combo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Finance &amp; Intercompany Configuration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Complex multi-entity setups; mistakes cost real money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Finance Directors, Functional Consultants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GOOD — 881KB Finance eBook + 2 specialized micro-courses</w:t>
            </w:r>
          </w:p>
        </w:tc>
      </w:tr>
      <w:tr>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Enterprise Integration (ION/BOD/APIs)</w:t>
            </w:r>
          </w:p>
        </w:tc>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Connects LN to broader Infor ecosystem; highly sought skill</w:t>
            </w:r>
          </w:p>
        </w:tc>
        <w:tc>
          <w:tcPr>
            <w:tcW w:type="dxa" w:w="2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Integration Architects, IT Managers</w:t>
            </w:r>
          </w:p>
        </w:tc>
        <w:tc>
          <w:tcPr>
            <w:tcW w:type="dxa" w:w="21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WEAK — Minimal depth (7.7KB BOD, 69KB ION)</w:t>
            </w:r>
          </w:p>
        </w:tc>
      </w:tr>
    </w:tbl>
    <w:p>
      <w:r>
        <w:br w:type="page"/>
      </w:r>
    </w:p>
    <w:p>
      <w:pPr>
        <w:pStyle w:val="Heading2"/>
        <w:spacing w:after="200" w:before="300"/>
      </w:pPr>
      <w:r>
        <w:rPr>
          <w:rFonts w:ascii="Arial" w:cs="Arial" w:eastAsia="Arial" w:hAnsi="Arial"/>
          <w:b/>
          <w:bCs/>
          <w:color w:val="8B6914"/>
          <w:sz w:val="28"/>
          <w:szCs w:val="28"/>
        </w:rPr>
        <w:t xml:space="preserve">3.2 Tier 2: High Value ($200–$700 per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36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Why It Commands Premium</w:t>
            </w:r>
          </w:p>
        </w:tc>
        <w:tc>
          <w:tcPr>
            <w:tcW w:type="dxa" w:w="296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Target Buyer</w:t>
            </w:r>
          </w:p>
        </w:tc>
      </w:tr>
      <w:tr>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Administration &amp; Security</w:t>
            </w:r>
          </w:p>
        </w:tc>
        <w:tc>
          <w:tcPr>
            <w:tcW w:type="dxa" w:w="3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Compliance-critical; every LN deployment needs it</w:t>
            </w:r>
          </w:p>
        </w:tc>
        <w:tc>
          <w:tcPr>
            <w:tcW w:type="dxa" w:w="29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System Administrators, IT Security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Manufacturing &amp; Production Planning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Operational backbone for discrete manufacturing companies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Operations Managers, Plant Directors</w:t>
            </w:r>
          </w:p>
        </w:tc>
      </w:tr>
      <w:tr>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Logistics &amp; Warehousing</w:t>
            </w:r>
          </w:p>
        </w:tc>
        <w:tc>
          <w:tcPr>
            <w:tcW w:type="dxa" w:w="3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Supply chain optimization is CFO-visible spend</w:t>
            </w:r>
          </w:p>
        </w:tc>
        <w:tc>
          <w:tcPr>
            <w:tcW w:type="dxa" w:w="29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Supply Chain Managers, Warehouse Leads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Multisite &amp; Multi-Company Configurations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Complex enterprise scenarios with high consulting spend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Enterprise Architects, Project Managers</w:t>
            </w:r>
          </w:p>
        </w:tc>
      </w:tr>
      <w:tr>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Extensibility &amp; Customization Frameworks</w:t>
            </w:r>
          </w:p>
        </w:tc>
        <w:tc>
          <w:tcPr>
            <w:tcW w:type="dxa" w:w="3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Reduces dependency on external consultants</w:t>
            </w:r>
          </w:p>
        </w:tc>
        <w:tc>
          <w:tcPr>
            <w:tcW w:type="dxa" w:w="29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Technical Leads, In-House Developers</w:t>
            </w:r>
          </w:p>
        </w:tc>
      </w:tr>
    </w:tbl>
    <w:p>
      <w:pPr>
        <w:pStyle w:val="Heading2"/>
        <w:spacing w:after="200" w:before="300"/>
      </w:pPr>
      <w:r>
        <w:rPr>
          <w:rFonts w:ascii="Arial" w:cs="Arial" w:eastAsia="Arial" w:hAnsi="Arial"/>
          <w:b/>
          <w:bCs/>
          <w:color w:val="8B6914"/>
          <w:sz w:val="28"/>
          <w:szCs w:val="28"/>
        </w:rPr>
        <w:t xml:space="preserve">3.3 Tier 3: Lead Magnets &amp; Authority Builders (Free–$199)</w:t>
      </w:r>
    </w:p>
    <w:p>
      <w:pPr>
        <w:spacing w:after="160"/>
      </w:pPr>
      <w:r>
        <w:rPr>
          <w:rFonts w:ascii="Arial" w:cs="Arial" w:eastAsia="Arial" w:hAnsi="Arial"/>
          <w:b w:val="false"/>
          <w:bCs w:val="false"/>
          <w:i w:val="false"/>
          <w:iCs w:val="false"/>
          <w:color w:val="333333"/>
          <w:sz w:val="22"/>
          <w:szCs w:val="22"/>
        </w:rPr>
        <w:t xml:space="preserve">These topics don’t command high individual prices but drive traffic, email list growth, and consulting inquiries: LN Navigation &amp; Basic Concepts, Report Writing &amp; BI Basics, Upgrade Readiness Checklists, Comparison Guides (LN vs. SAP, LN vs. Oracle), and ROI Calculators for LN implementations.</w:t>
      </w:r>
    </w:p>
    <w:p>
      <w:pPr>
        <w:pStyle w:val="Heading1"/>
        <w:spacing w:after="200" w:before="300"/>
      </w:pPr>
      <w:r>
        <w:rPr>
          <w:rFonts w:ascii="Arial" w:cs="Arial" w:eastAsia="Arial" w:hAnsi="Arial"/>
          <w:b/>
          <w:bCs/>
          <w:color w:val="8B6914"/>
          <w:sz w:val="32"/>
          <w:szCs w:val="32"/>
        </w:rPr>
        <w:t xml:space="preserve">4. Competitive Landscape</w:t>
      </w:r>
    </w:p>
    <w:p>
      <w:pPr>
        <w:spacing w:after="160"/>
      </w:pPr>
      <w:r>
        <w:rPr>
          <w:rFonts w:ascii="Arial" w:cs="Arial" w:eastAsia="Arial" w:hAnsi="Arial"/>
          <w:b w:val="false"/>
          <w:bCs w:val="false"/>
          <w:i w:val="false"/>
          <w:iCs w:val="false"/>
          <w:color w:val="333333"/>
          <w:sz w:val="22"/>
          <w:szCs w:val="22"/>
        </w:rPr>
        <w:t xml:space="preserve">The Infor LN training market has surprisingly few dedicated content creators, making this a favorable landscape for FullOnBaan.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80"/>
        <w:gridCol w:w="2780"/>
      </w:tblGrid>
      <w:tr>
        <w:tc>
          <w:tcPr>
            <w:tcW w:type="dxa" w:w="18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Competitor Type</w:t>
            </w:r>
          </w:p>
        </w:tc>
        <w:tc>
          <w:tcPr>
            <w:tcW w:type="dxa" w:w="22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58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278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FullOnBaan Advantage</w:t>
            </w:r>
          </w:p>
        </w:tc>
      </w:tr>
      <w:tr>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Infor U (Official)</w:t>
            </w:r>
          </w:p>
        </w:tc>
        <w:tc>
          <w:tcPr>
            <w:tcW w:type="dxa" w:w="2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Infor’s own Campus Plus program</w:t>
            </w:r>
          </w:p>
        </w:tc>
        <w:tc>
          <w:tcPr>
            <w:tcW w:type="dxa" w:w="25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Brand authority, certification paths</w:t>
            </w:r>
          </w:p>
        </w:tc>
        <w:tc>
          <w:tcPr>
            <w:tcW w:type="dxa" w:w="27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More affordable, practitioner-focused, faster updates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Generic Training Providers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MaxMunus, IGM Guru, ProExcellency, Koenig</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Broad ERP coverage, instructor-led</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Deep LN specialization, bundled strategy content</w:t>
            </w:r>
          </w:p>
        </w:tc>
      </w:tr>
      <w:tr>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Consulting Firms</w:t>
            </w:r>
          </w:p>
        </w:tc>
        <w:tc>
          <w:tcPr>
            <w:tcW w:type="dxa" w:w="2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CrossRoads RMC, Vervint, Sigma Chemnitz</w:t>
            </w:r>
          </w:p>
        </w:tc>
        <w:tc>
          <w:tcPr>
            <w:tcW w:type="dxa" w:w="25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Implementation expertise</w:t>
            </w:r>
          </w:p>
        </w:tc>
        <w:tc>
          <w:tcPr>
            <w:tcW w:type="dxa" w:w="27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Accessible self-serve format, lower price entry point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Marketplace Courses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Udemy (limited LN content)</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Platform distribution, reviews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Depth and specificity that generic platforms can’t match</w:t>
            </w:r>
          </w:p>
        </w:tc>
      </w:tr>
    </w:tbl>
    <w:p>
      <w:pPr>
        <w:spacing w:after="160"/>
      </w:pPr>
      <w:r>
        <w:rPr>
          <w:rFonts w:ascii="Arial" w:cs="Arial" w:eastAsia="Arial" w:hAnsi="Arial"/>
          <w:b w:val="false"/>
          <w:bCs w:val="false"/>
          <w:i/>
          <w:iCs/>
          <w:color w:val="333333"/>
          <w:sz w:val="22"/>
          <w:szCs w:val="22"/>
        </w:rPr>
        <w:t xml:space="preserve">Key insight: No single competitor offers the combination of deep technical training, enterprise strategy bundles, and forward-looking AI/cloud content that FullOnBaan is building. The niche is underserved and fragmented.</w:t>
      </w:r>
    </w:p>
    <w:p>
      <w:pPr>
        <w:pStyle w:val="Heading1"/>
        <w:spacing w:after="200" w:before="300"/>
      </w:pPr>
      <w:r>
        <w:rPr>
          <w:rFonts w:ascii="Arial" w:cs="Arial" w:eastAsia="Arial" w:hAnsi="Arial"/>
          <w:b/>
          <w:bCs/>
          <w:color w:val="8B6914"/>
          <w:sz w:val="32"/>
          <w:szCs w:val="32"/>
        </w:rPr>
        <w:t xml:space="preserve">5. Pricing Strategy for Premium Audiences</w:t>
      </w:r>
    </w:p>
    <w:p>
      <w:pPr>
        <w:pStyle w:val="Heading2"/>
        <w:spacing w:after="200" w:before="300"/>
      </w:pPr>
      <w:r>
        <w:rPr>
          <w:rFonts w:ascii="Arial" w:cs="Arial" w:eastAsia="Arial" w:hAnsi="Arial"/>
          <w:b/>
          <w:bCs/>
          <w:color w:val="8B6914"/>
          <w:sz w:val="28"/>
          <w:szCs w:val="28"/>
        </w:rPr>
        <w:t xml:space="preserve">5.1 Current vs. Recommended Pricing</w:t>
      </w:r>
    </w:p>
    <w:p>
      <w:pPr>
        <w:spacing w:after="160"/>
      </w:pPr>
      <w:r>
        <w:rPr>
          <w:rFonts w:ascii="Arial" w:cs="Arial" w:eastAsia="Arial" w:hAnsi="Arial"/>
          <w:b w:val="false"/>
          <w:bCs w:val="false"/>
          <w:i w:val="false"/>
          <w:iCs w:val="false"/>
          <w:color w:val="333333"/>
          <w:sz w:val="22"/>
          <w:szCs w:val="22"/>
        </w:rPr>
        <w:t xml:space="preserve">FullOnBaan’s current INR pricing is well-suited for the Indian market. To capture international consultants and decision makers, consider a dual-currency pricing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1400"/>
        <w:gridCol w:w="3160"/>
      </w:tblGrid>
      <w:tr>
        <w:tc>
          <w:tcPr>
            <w:tcW w:type="dxa" w:w="22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12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Current (INR)</w:t>
            </w:r>
          </w:p>
        </w:tc>
        <w:tc>
          <w:tcPr>
            <w:tcW w:type="dxa" w:w="14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Recommended INR</w:t>
            </w:r>
          </w:p>
        </w:tc>
        <w:tc>
          <w:tcPr>
            <w:tcW w:type="dxa" w:w="14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Recommended USD</w:t>
            </w:r>
          </w:p>
        </w:tc>
        <w:tc>
          <w:tcPr>
            <w:tcW w:type="dxa" w:w="316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Strategy Bundles (7 eBooks + Tools)</w:t>
            </w:r>
          </w:p>
        </w:tc>
        <w:tc>
          <w:tcPr>
            <w:tcW w:type="dxa" w:w="1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₹2,499–₹2,999</w:t>
            </w:r>
          </w:p>
        </w:tc>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₹4,999–₹7,999</w:t>
            </w:r>
          </w:p>
        </w:tc>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$97–$149</w:t>
            </w:r>
          </w:p>
        </w:tc>
        <w:tc>
          <w:tcPr>
            <w:tcW w:type="dxa" w:w="31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Enterprise buyers judge by value, not cost; low price signals low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Core Module Combo (eBook + Video)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₹4,999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₹5,999–₹7,999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$79–$99</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Video content justifies premium; benchmark against $150+ Udemy courses</w:t>
            </w:r>
          </w:p>
        </w:tc>
      </w:tr>
      <w:tr>
        <w:tc>
          <w:tcPr>
            <w:tcW w:type="dxa" w:w="2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Individual eBooks (Deep)</w:t>
            </w:r>
          </w:p>
        </w:tc>
        <w:tc>
          <w:tcPr>
            <w:tcW w:type="dxa" w:w="1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₹699–₹1,999</w:t>
            </w:r>
          </w:p>
        </w:tc>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₹1,999–₹2,999</w:t>
            </w:r>
          </w:p>
        </w:tc>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$29–$49</w:t>
            </w:r>
          </w:p>
        </w:tc>
        <w:tc>
          <w:tcPr>
            <w:tcW w:type="dxa" w:w="31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Still significantly below consultant day rates; high perceived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Micro-Courses (Specialized)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₹199–₹499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₹499–₹999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$9–$19</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Lead magnets or upsell pathways</w:t>
            </w:r>
          </w:p>
        </w:tc>
      </w:tr>
      <w:tr>
        <w:tc>
          <w:tcPr>
            <w:tcW w:type="dxa" w:w="2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Enterprise Team License (All Access)</w:t>
            </w:r>
          </w:p>
        </w:tc>
        <w:tc>
          <w:tcPr>
            <w:tcW w:type="dxa" w:w="1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N/A (new)</w:t>
            </w:r>
          </w:p>
        </w:tc>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₹29,999/yr</w:t>
            </w:r>
          </w:p>
        </w:tc>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$499/yr</w:t>
            </w:r>
          </w:p>
        </w:tc>
        <w:tc>
          <w:tcPr>
            <w:tcW w:type="dxa" w:w="31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Annual subscription for corporate teams; recurring revenue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Consulting Accelerator Program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 (new)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₹49,999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$799–$1,499</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Live cohort-based training with Raj; highest margin product</w:t>
            </w:r>
          </w:p>
        </w:tc>
      </w:tr>
    </w:tbl>
    <w:p>
      <w:r>
        <w:br w:type="page"/>
      </w:r>
    </w:p>
    <w:p>
      <w:pPr>
        <w:pStyle w:val="Heading2"/>
        <w:spacing w:after="200" w:before="300"/>
      </w:pPr>
      <w:r>
        <w:rPr>
          <w:rFonts w:ascii="Arial" w:cs="Arial" w:eastAsia="Arial" w:hAnsi="Arial"/>
          <w:b/>
          <w:bCs/>
          <w:color w:val="8B6914"/>
          <w:sz w:val="28"/>
          <w:szCs w:val="28"/>
        </w:rPr>
        <w:t xml:space="preserve">5.2 Why Raising Prices Works Here</w:t>
      </w:r>
    </w:p>
    <w:p>
      <w:pPr>
        <w:pStyle w:val="ListParagraph"/>
        <w:numPr>
          <w:ilvl w:val="0"/>
          <w:numId w:val="2"/>
        </w:numPr>
        <w:spacing w:after="100"/>
      </w:pPr>
      <w:r>
        <w:rPr>
          <w:rFonts w:ascii="Arial" w:cs="Arial" w:eastAsia="Arial" w:hAnsi="Arial"/>
          <w:color w:val="333333"/>
          <w:sz w:val="22"/>
          <w:szCs w:val="22"/>
        </w:rPr>
        <w:t xml:space="preserve">Consultant day rates are $1,500–$2,500. A $149 bundle that saves even 2 hours of billable time pays for itself instantly.</w:t>
      </w:r>
    </w:p>
    <w:p>
      <w:pPr>
        <w:pStyle w:val="ListParagraph"/>
        <w:numPr>
          <w:ilvl w:val="0"/>
          <w:numId w:val="2"/>
        </w:numPr>
        <w:spacing w:after="100"/>
      </w:pPr>
      <w:r>
        <w:rPr>
          <w:rFonts w:ascii="Arial" w:cs="Arial" w:eastAsia="Arial" w:hAnsi="Arial"/>
          <w:color w:val="333333"/>
          <w:sz w:val="22"/>
          <w:szCs w:val="22"/>
        </w:rPr>
        <w:t xml:space="preserve">Enterprise training budgets routinely approve $500–$5,000 per person for specialized ERP courses.</w:t>
      </w:r>
    </w:p>
    <w:p>
      <w:pPr>
        <w:pStyle w:val="ListParagraph"/>
        <w:numPr>
          <w:ilvl w:val="0"/>
          <w:numId w:val="2"/>
        </w:numPr>
        <w:spacing w:after="100"/>
      </w:pPr>
      <w:r>
        <w:rPr>
          <w:rFonts w:ascii="Arial" w:cs="Arial" w:eastAsia="Arial" w:hAnsi="Arial"/>
          <w:color w:val="333333"/>
          <w:sz w:val="22"/>
          <w:szCs w:val="22"/>
        </w:rPr>
        <w:t xml:space="preserve">Low prices in the LN niche signal “basic” content. The scarcity of alternatives means buyers have low price sensitivity.</w:t>
      </w:r>
    </w:p>
    <w:p>
      <w:pPr>
        <w:pStyle w:val="ListParagraph"/>
        <w:numPr>
          <w:ilvl w:val="0"/>
          <w:numId w:val="2"/>
        </w:numPr>
        <w:spacing w:after="160"/>
      </w:pPr>
      <w:r>
        <w:rPr>
          <w:rFonts w:ascii="Arial" w:cs="Arial" w:eastAsia="Arial" w:hAnsi="Arial"/>
          <w:color w:val="333333"/>
          <w:sz w:val="22"/>
          <w:szCs w:val="22"/>
        </w:rPr>
        <w:t xml:space="preserve">Infor’s official Campus Plus is priced for enterprise budgets—your mid-range pricing fills the gap.</w:t>
      </w:r>
    </w:p>
    <w:p>
      <w:pPr>
        <w:pStyle w:val="Heading1"/>
        <w:spacing w:after="200" w:before="300"/>
      </w:pPr>
      <w:r>
        <w:rPr>
          <w:rFonts w:ascii="Arial" w:cs="Arial" w:eastAsia="Arial" w:hAnsi="Arial"/>
          <w:b/>
          <w:bCs/>
          <w:color w:val="8B6914"/>
          <w:sz w:val="32"/>
          <w:szCs w:val="32"/>
        </w:rPr>
        <w:t xml:space="preserve">6. Revenue Model Projections</w:t>
      </w:r>
    </w:p>
    <w:p>
      <w:pPr>
        <w:spacing w:after="160"/>
      </w:pPr>
      <w:r>
        <w:rPr>
          <w:rFonts w:ascii="Arial" w:cs="Arial" w:eastAsia="Arial" w:hAnsi="Arial"/>
          <w:b w:val="false"/>
          <w:bCs w:val="false"/>
          <w:i w:val="false"/>
          <w:iCs w:val="false"/>
          <w:color w:val="333333"/>
          <w:sz w:val="22"/>
          <w:szCs w:val="22"/>
        </w:rPr>
        <w:t xml:space="preserve">Conservative 12-month projections based on current traffic patterns, Infor community size, and niche conversion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c>
          <w:tcPr>
            <w:tcW w:type="dxa" w:w="26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18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Monthly Target</w:t>
            </w:r>
          </w:p>
        </w:tc>
        <w:tc>
          <w:tcPr>
            <w:tcW w:type="dxa" w:w="18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Annual Projection</w:t>
            </w:r>
          </w:p>
        </w:tc>
        <w:tc>
          <w:tcPr>
            <w:tcW w:type="dxa" w:w="316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Key Assumptions</w:t>
            </w:r>
          </w:p>
        </w:tc>
      </w:tr>
      <w:tr>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Premium eBook/Bundle Sales</w:t>
            </w:r>
          </w:p>
        </w:tc>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$1,500–$3,000</w:t>
            </w:r>
          </w:p>
        </w:tc>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$18K–$36K</w:t>
            </w:r>
          </w:p>
        </w:tc>
        <w:tc>
          <w:tcPr>
            <w:tcW w:type="dxa" w:w="31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30–60 sales/month at avg. $50; current Indian market + USD expansion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Enterprise Team Licenses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$500–$2,000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$6K–$24K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 enterprise subscriptions/month at $499/yr</w:t>
            </w:r>
          </w:p>
        </w:tc>
      </w:tr>
      <w:tr>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Consulting Accelerator (Cohort)</w:t>
            </w:r>
          </w:p>
        </w:tc>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$2,000–$5,000</w:t>
            </w:r>
          </w:p>
        </w:tc>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$24K–$60K</w:t>
            </w:r>
          </w:p>
        </w:tc>
        <w:tc>
          <w:tcPr>
            <w:tcW w:type="dxa" w:w="31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Quarterly cohorts of 10–20 participants at $799–$1,499</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Consulting Lead Generation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$3,000–$10,000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$36K–$120K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 consulting engagements/month sourced via content funnel</w:t>
            </w:r>
          </w:p>
        </w:tc>
      </w:tr>
      <w:tr>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YouTube Ad Revenue + Sponsorships</w:t>
            </w:r>
          </w:p>
        </w:tc>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$200–$800</w:t>
            </w:r>
          </w:p>
        </w:tc>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$2.4K–$9.6K</w:t>
            </w:r>
          </w:p>
        </w:tc>
        <w:tc>
          <w:tcPr>
            <w:tcW w:type="dxa" w:w="31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Growing channel with niche B2B audience; high CPMs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TOTAL POTENTIAL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$7,200–$20,800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$86K–$250K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Blended model reduces single-point-of-failure risk</w:t>
            </w:r>
          </w:p>
        </w:tc>
      </w:tr>
    </w:tbl>
    <w:p>
      <w:pPr>
        <w:pStyle w:val="Heading1"/>
        <w:spacing w:after="200" w:before="300"/>
      </w:pPr>
      <w:r>
        <w:rPr>
          <w:rFonts w:ascii="Arial" w:cs="Arial" w:eastAsia="Arial" w:hAnsi="Arial"/>
          <w:b/>
          <w:bCs/>
          <w:color w:val="8B6914"/>
          <w:sz w:val="32"/>
          <w:szCs w:val="32"/>
        </w:rPr>
        <w:t xml:space="preserve">7. Content Gaps &amp; Highest-Priority Opportunities</w:t>
      </w:r>
    </w:p>
    <w:p>
      <w:pPr>
        <w:spacing w:after="160"/>
      </w:pPr>
      <w:r>
        <w:rPr>
          <w:rFonts w:ascii="Arial" w:cs="Arial" w:eastAsia="Arial" w:hAnsi="Arial"/>
          <w:b w:val="false"/>
          <w:bCs w:val="false"/>
          <w:i w:val="false"/>
          <w:iCs w:val="false"/>
          <w:color w:val="333333"/>
          <w:sz w:val="22"/>
          <w:szCs w:val="22"/>
        </w:rPr>
        <w:t xml:space="preserve">Based on the audit of existing FullOnBaan content cross-referenced with market demand, these are the most impactful content investments:</w:t>
      </w:r>
    </w:p>
    <w:p>
      <w:pPr>
        <w:pStyle w:val="Heading2"/>
        <w:spacing w:after="200" w:before="300"/>
      </w:pPr>
      <w:r>
        <w:rPr>
          <w:rFonts w:ascii="Arial" w:cs="Arial" w:eastAsia="Arial" w:hAnsi="Arial"/>
          <w:b/>
          <w:bCs/>
          <w:color w:val="8B6914"/>
          <w:sz w:val="28"/>
          <w:szCs w:val="28"/>
        </w:rPr>
        <w:t xml:space="preserve">7.1 Immediate Wins (Next 30 Days)</w:t>
      </w:r>
    </w:p>
    <w:p>
      <w:pPr>
        <w:pStyle w:val="ListParagraph"/>
        <w:numPr>
          <w:ilvl w:val="0"/>
          <w:numId w:val="3"/>
        </w:numPr>
        <w:spacing w:after="100"/>
      </w:pPr>
      <w:r>
        <w:rPr>
          <w:rFonts w:ascii="Arial" w:cs="Arial" w:eastAsia="Arial" w:hAnsi="Arial"/>
          <w:b/>
          <w:bCs/>
          <w:color w:val="333333"/>
          <w:sz w:val="22"/>
          <w:szCs w:val="22"/>
        </w:rPr>
        <w:t xml:space="preserve">Expand ION/BOD Integration Content</w:t>
      </w:r>
      <w:r>
        <w:rPr>
          <w:rFonts w:ascii="Arial" w:cs="Arial" w:eastAsia="Arial" w:hAnsi="Arial"/>
          <w:color w:val="333333"/>
          <w:sz w:val="22"/>
          <w:szCs w:val="22"/>
        </w:rPr>
        <w:t xml:space="preserve"> — Currently 7.7KB (BOD) and 69KB (ION). Integration architects pay premium for this. Target: comprehensive eBook + video course priced at ₹2,999/$49.</w:t>
      </w:r>
    </w:p>
    <w:p>
      <w:pPr>
        <w:pStyle w:val="ListParagraph"/>
        <w:numPr>
          <w:ilvl w:val="0"/>
          <w:numId w:val="3"/>
        </w:numPr>
        <w:spacing w:after="100"/>
      </w:pPr>
      <w:r>
        <w:rPr>
          <w:rFonts w:ascii="Arial" w:cs="Arial" w:eastAsia="Arial" w:hAnsi="Arial"/>
          <w:b/>
          <w:bCs/>
          <w:color w:val="333333"/>
          <w:sz w:val="22"/>
          <w:szCs w:val="22"/>
        </w:rPr>
        <w:t xml:space="preserve">Add USD Pricing to Website</w:t>
      </w:r>
      <w:r>
        <w:rPr>
          <w:rFonts w:ascii="Arial" w:cs="Arial" w:eastAsia="Arial" w:hAnsi="Arial"/>
          <w:color w:val="333333"/>
          <w:sz w:val="22"/>
          <w:szCs w:val="22"/>
        </w:rPr>
        <w:t xml:space="preserve"> — Unlock the international consultant audience instantly. Implement geo-based currency display.</w:t>
      </w:r>
    </w:p>
    <w:p>
      <w:pPr>
        <w:pStyle w:val="ListParagraph"/>
        <w:numPr>
          <w:ilvl w:val="0"/>
          <w:numId w:val="3"/>
        </w:numPr>
        <w:spacing w:after="160"/>
      </w:pPr>
      <w:r>
        <w:rPr>
          <w:rFonts w:ascii="Arial" w:cs="Arial" w:eastAsia="Arial" w:hAnsi="Arial"/>
          <w:b/>
          <w:bCs/>
          <w:color w:val="333333"/>
          <w:sz w:val="22"/>
          <w:szCs w:val="22"/>
        </w:rPr>
        <w:t xml:space="preserve">Create 3 Free Lead Magnets</w:t>
      </w:r>
      <w:r>
        <w:rPr>
          <w:rFonts w:ascii="Arial" w:cs="Arial" w:eastAsia="Arial" w:hAnsi="Arial"/>
          <w:color w:val="333333"/>
          <w:sz w:val="22"/>
          <w:szCs w:val="22"/>
        </w:rPr>
        <w:t xml:space="preserve"> — Cloud Migration Readiness Checklist, LN vs SAP Comparison Guide, and AI Readiness Self-Assessment. Gate behind email capture.</w:t>
      </w:r>
    </w:p>
    <w:p>
      <w:pPr>
        <w:pStyle w:val="Heading2"/>
        <w:spacing w:after="200" w:before="300"/>
      </w:pPr>
      <w:r>
        <w:rPr>
          <w:rFonts w:ascii="Arial" w:cs="Arial" w:eastAsia="Arial" w:hAnsi="Arial"/>
          <w:b/>
          <w:bCs/>
          <w:color w:val="8B6914"/>
          <w:sz w:val="28"/>
          <w:szCs w:val="28"/>
        </w:rPr>
        <w:t xml:space="preserve">7.2 Medium-Term Growth (60–90 Days)</w:t>
      </w:r>
    </w:p>
    <w:p>
      <w:pPr>
        <w:pStyle w:val="ListParagraph"/>
        <w:numPr>
          <w:ilvl w:val="0"/>
          <w:numId w:val="4"/>
        </w:numPr>
        <w:spacing w:after="100"/>
      </w:pPr>
      <w:r>
        <w:rPr>
          <w:rFonts w:ascii="Arial" w:cs="Arial" w:eastAsia="Arial" w:hAnsi="Arial"/>
          <w:b/>
          <w:bCs/>
          <w:color w:val="333333"/>
          <w:sz w:val="22"/>
          <w:szCs w:val="22"/>
        </w:rPr>
        <w:t xml:space="preserve">Launch Consulting Accelerator Program</w:t>
      </w:r>
      <w:r>
        <w:rPr>
          <w:rFonts w:ascii="Arial" w:cs="Arial" w:eastAsia="Arial" w:hAnsi="Arial"/>
          <w:color w:val="333333"/>
          <w:sz w:val="22"/>
          <w:szCs w:val="22"/>
        </w:rPr>
        <w:t xml:space="preserve"> — Live cohort-based training (8–12 weeks) combining Raj’s consulting expertise with structured curriculum. Price: $799–$1,499.</w:t>
      </w:r>
    </w:p>
    <w:p>
      <w:pPr>
        <w:pStyle w:val="ListParagraph"/>
        <w:numPr>
          <w:ilvl w:val="0"/>
          <w:numId w:val="4"/>
        </w:numPr>
        <w:spacing w:after="100"/>
      </w:pPr>
      <w:r>
        <w:rPr>
          <w:rFonts w:ascii="Arial" w:cs="Arial" w:eastAsia="Arial" w:hAnsi="Arial"/>
          <w:b/>
          <w:bCs/>
          <w:color w:val="333333"/>
          <w:sz w:val="22"/>
          <w:szCs w:val="22"/>
        </w:rPr>
        <w:t xml:space="preserve">Build Enterprise Team License Product</w:t>
      </w:r>
      <w:r>
        <w:rPr>
          <w:rFonts w:ascii="Arial" w:cs="Arial" w:eastAsia="Arial" w:hAnsi="Arial"/>
          <w:color w:val="333333"/>
          <w:sz w:val="22"/>
          <w:szCs w:val="22"/>
        </w:rPr>
        <w:t xml:space="preserve"> — All-access annual subscription for corporate teams. Include progress tracking and completion certificates.</w:t>
      </w:r>
    </w:p>
    <w:p>
      <w:pPr>
        <w:pStyle w:val="ListParagraph"/>
        <w:numPr>
          <w:ilvl w:val="0"/>
          <w:numId w:val="4"/>
        </w:numPr>
        <w:spacing w:after="160"/>
      </w:pPr>
      <w:r>
        <w:rPr>
          <w:rFonts w:ascii="Arial" w:cs="Arial" w:eastAsia="Arial" w:hAnsi="Arial"/>
          <w:b/>
          <w:bCs/>
          <w:color w:val="333333"/>
          <w:sz w:val="22"/>
          <w:szCs w:val="22"/>
        </w:rPr>
        <w:t xml:space="preserve">Add Video Courses for Warehousing, BOD, and ION</w:t>
      </w:r>
      <w:r>
        <w:rPr>
          <w:rFonts w:ascii="Arial" w:cs="Arial" w:eastAsia="Arial" w:hAnsi="Arial"/>
          <w:color w:val="333333"/>
          <w:sz w:val="22"/>
          <w:szCs w:val="22"/>
        </w:rPr>
        <w:t xml:space="preserve"> — These modules currently lack video content. Video justifies 3–5x price premium over eBook alone.</w:t>
      </w:r>
    </w:p>
    <w:p>
      <w:pPr>
        <w:pStyle w:val="Heading2"/>
        <w:spacing w:after="200" w:before="300"/>
      </w:pPr>
      <w:r>
        <w:rPr>
          <w:rFonts w:ascii="Arial" w:cs="Arial" w:eastAsia="Arial" w:hAnsi="Arial"/>
          <w:b/>
          <w:bCs/>
          <w:color w:val="8B6914"/>
          <w:sz w:val="28"/>
          <w:szCs w:val="28"/>
        </w:rPr>
        <w:t xml:space="preserve">7.3 Long-Term Authority Play (6–12 Months)</w:t>
      </w:r>
    </w:p>
    <w:p>
      <w:pPr>
        <w:pStyle w:val="ListParagraph"/>
        <w:numPr>
          <w:ilvl w:val="0"/>
          <w:numId w:val="5"/>
        </w:numPr>
        <w:spacing w:after="100"/>
      </w:pPr>
      <w:r>
        <w:rPr>
          <w:rFonts w:ascii="Arial" w:cs="Arial" w:eastAsia="Arial" w:hAnsi="Arial"/>
          <w:b/>
          <w:bCs/>
          <w:color w:val="333333"/>
          <w:sz w:val="22"/>
          <w:szCs w:val="22"/>
        </w:rPr>
        <w:t xml:space="preserve">Infor LN Certification Prep Course</w:t>
      </w:r>
      <w:r>
        <w:rPr>
          <w:rFonts w:ascii="Arial" w:cs="Arial" w:eastAsia="Arial" w:hAnsi="Arial"/>
          <w:color w:val="333333"/>
          <w:sz w:val="22"/>
          <w:szCs w:val="22"/>
        </w:rPr>
        <w:t xml:space="preserve"> — Position as the unofficial certification study guide. High recurring demand.</w:t>
      </w:r>
    </w:p>
    <w:p>
      <w:pPr>
        <w:pStyle w:val="ListParagraph"/>
        <w:numPr>
          <w:ilvl w:val="0"/>
          <w:numId w:val="5"/>
        </w:numPr>
        <w:spacing w:after="100"/>
      </w:pPr>
      <w:r>
        <w:rPr>
          <w:rFonts w:ascii="Arial" w:cs="Arial" w:eastAsia="Arial" w:hAnsi="Arial"/>
          <w:b/>
          <w:bCs/>
          <w:color w:val="333333"/>
          <w:sz w:val="22"/>
          <w:szCs w:val="22"/>
        </w:rPr>
        <w:t xml:space="preserve">Annual Infor LN State of the Market Report</w:t>
      </w:r>
      <w:r>
        <w:rPr>
          <w:rFonts w:ascii="Arial" w:cs="Arial" w:eastAsia="Arial" w:hAnsi="Arial"/>
          <w:color w:val="333333"/>
          <w:sz w:val="22"/>
          <w:szCs w:val="22"/>
        </w:rPr>
        <w:t xml:space="preserve"> — Establish FullOnBaan as the industry analyst voice. Cite community surveys, pricing trends, AI adoption data.</w:t>
      </w:r>
    </w:p>
    <w:p>
      <w:pPr>
        <w:pStyle w:val="ListParagraph"/>
        <w:numPr>
          <w:ilvl w:val="0"/>
          <w:numId w:val="5"/>
        </w:numPr>
        <w:spacing w:after="160"/>
      </w:pPr>
      <w:r>
        <w:rPr>
          <w:rFonts w:ascii="Arial" w:cs="Arial" w:eastAsia="Arial" w:hAnsi="Arial"/>
          <w:b/>
          <w:bCs/>
          <w:color w:val="333333"/>
          <w:sz w:val="22"/>
          <w:szCs w:val="22"/>
        </w:rPr>
        <w:t xml:space="preserve">Partner Ecosystem Content</w:t>
      </w:r>
      <w:r>
        <w:rPr>
          <w:rFonts w:ascii="Arial" w:cs="Arial" w:eastAsia="Arial" w:hAnsi="Arial"/>
          <w:color w:val="333333"/>
          <w:sz w:val="22"/>
          <w:szCs w:val="22"/>
        </w:rPr>
        <w:t xml:space="preserve"> — Co-branded guides with Infor partners (implementation firms). Revenue sharing + expanded reach.</w:t>
      </w:r>
    </w:p>
    <w:p>
      <w:r>
        <w:br w:type="page"/>
      </w:r>
    </w:p>
    <w:p>
      <w:pPr>
        <w:pStyle w:val="Heading1"/>
        <w:spacing w:after="200" w:before="300"/>
      </w:pPr>
      <w:r>
        <w:rPr>
          <w:rFonts w:ascii="Arial" w:cs="Arial" w:eastAsia="Arial" w:hAnsi="Arial"/>
          <w:b/>
          <w:bCs/>
          <w:color w:val="8B6914"/>
          <w:sz w:val="32"/>
          <w:szCs w:val="32"/>
        </w:rPr>
        <w:t xml:space="preserve">8. Content-to-Consulting Lead Funnel</w:t>
      </w:r>
    </w:p>
    <w:p>
      <w:pPr>
        <w:spacing w:after="160"/>
      </w:pPr>
      <w:r>
        <w:rPr>
          <w:rFonts w:ascii="Arial" w:cs="Arial" w:eastAsia="Arial" w:hAnsi="Arial"/>
          <w:b w:val="false"/>
          <w:bCs w:val="false"/>
          <w:i w:val="false"/>
          <w:iCs w:val="false"/>
          <w:color w:val="333333"/>
          <w:sz w:val="22"/>
          <w:szCs w:val="22"/>
        </w:rPr>
        <w:t xml:space="preserve">The highest-margin outcome of premium content is not direct sales—it’s consulting leads. Here’s how the funnel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c>
          <w:tcPr>
            <w:tcW w:type="dxa" w:w="18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Funnel Stage</w:t>
            </w:r>
          </w:p>
        </w:tc>
        <w:tc>
          <w:tcPr>
            <w:tcW w:type="dxa" w:w="24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26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56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Conversion Target</w:t>
            </w:r>
          </w:p>
        </w:tc>
      </w:tr>
      <w:tr>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Awareness</w:t>
            </w:r>
          </w:p>
        </w:tc>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YouTube videos, LinkedIn posts, free articles</w:t>
            </w:r>
          </w:p>
        </w:tc>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Drive traffic to fob-ln-training.vercel.app</w:t>
            </w:r>
          </w:p>
        </w:tc>
        <w:tc>
          <w:tcPr>
            <w:tcW w:type="dxa" w:w="25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5,000+ monthly visitors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Capture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Gated lead magnets (checklists, comparison guides)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Email signup / WhatsApp opt-in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10–15% of visitors</w:t>
            </w:r>
          </w:p>
        </w:tc>
      </w:tr>
      <w:tr>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Nurture</w:t>
            </w:r>
          </w:p>
        </w:tc>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 sequences showcasing expertise + eBook samples</w:t>
            </w:r>
          </w:p>
        </w:tc>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trust and demonstrate depth</w:t>
            </w:r>
          </w:p>
        </w:tc>
        <w:tc>
          <w:tcPr>
            <w:tcW w:type="dxa" w:w="25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20–30% open rate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Convert (Content)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Premium eBooks, bundles, video courses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Direct purchase via website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3–5% of captured leads</w:t>
            </w:r>
          </w:p>
        </w:tc>
      </w:tr>
      <w:tr>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Convert (Consulting)</w:t>
            </w:r>
          </w:p>
        </w:tc>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Strategy bundles + “Book a Call” CTAs</w:t>
            </w:r>
          </w:p>
        </w:tc>
        <w:tc>
          <w:tcPr>
            <w:tcW w:type="dxa" w:w="2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Schedule consultation via WhatsApp</w:t>
            </w:r>
          </w:p>
        </w:tc>
        <w:tc>
          <w:tcPr>
            <w:tcW w:type="dxa" w:w="25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1–2% of captured leads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Retain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Enterprise licenses, new module releases, community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Annual renewals + upsells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40–60% retention</w:t>
            </w:r>
          </w:p>
        </w:tc>
      </w:tr>
    </w:tbl>
    <w:p>
      <w:pPr>
        <w:spacing w:after="160"/>
      </w:pPr>
      <w:r>
        <w:rPr>
          <w:rFonts w:ascii="Arial" w:cs="Arial" w:eastAsia="Arial" w:hAnsi="Arial"/>
          <w:b w:val="false"/>
          <w:bCs w:val="false"/>
          <w:i/>
          <w:iCs/>
          <w:color w:val="333333"/>
          <w:sz w:val="22"/>
          <w:szCs w:val="22"/>
        </w:rPr>
        <w:t xml:space="preserve">Key insight: A single consulting engagement sourced through content ($5,000–$50,000+ value) can exceed an entire month of content sales revenue. The content library is the engine; consulting is the multiplier.</w:t>
      </w:r>
    </w:p>
    <w:p>
      <w:pPr>
        <w:pStyle w:val="Heading1"/>
        <w:spacing w:after="200" w:before="300"/>
      </w:pPr>
      <w:r>
        <w:rPr>
          <w:rFonts w:ascii="Arial" w:cs="Arial" w:eastAsia="Arial" w:hAnsi="Arial"/>
          <w:b/>
          <w:bCs/>
          <w:color w:val="8B6914"/>
          <w:sz w:val="32"/>
          <w:szCs w:val="32"/>
        </w:rPr>
        <w:t xml:space="preserve">9. Thought Leadership Positioning</w:t>
      </w:r>
    </w:p>
    <w:p>
      <w:pPr>
        <w:spacing w:after="160"/>
      </w:pPr>
      <w:r>
        <w:rPr>
          <w:rFonts w:ascii="Arial" w:cs="Arial" w:eastAsia="Arial" w:hAnsi="Arial"/>
          <w:b w:val="false"/>
          <w:bCs w:val="false"/>
          <w:i w:val="false"/>
          <w:iCs w:val="false"/>
          <w:color w:val="333333"/>
          <w:sz w:val="22"/>
          <w:szCs w:val="22"/>
        </w:rPr>
        <w:t xml:space="preserve">FullOnBaan’s strongest differentiator is the combination of practitioner depth and content breadth. Here’s how to leverage this:</w:t>
      </w:r>
    </w:p>
    <w:p>
      <w:pPr>
        <w:pStyle w:val="Heading2"/>
        <w:spacing w:after="200" w:before="300"/>
      </w:pPr>
      <w:r>
        <w:rPr>
          <w:rFonts w:ascii="Arial" w:cs="Arial" w:eastAsia="Arial" w:hAnsi="Arial"/>
          <w:b/>
          <w:bCs/>
          <w:color w:val="8B6914"/>
          <w:sz w:val="28"/>
          <w:szCs w:val="28"/>
        </w:rPr>
        <w:t xml:space="preserve">9.1 Content Pillars for Authority</w:t>
      </w:r>
    </w:p>
    <w:p>
      <w:pPr>
        <w:pStyle w:val="ListParagraph"/>
        <w:numPr>
          <w:ilvl w:val="0"/>
          <w:numId w:val="6"/>
        </w:numPr>
        <w:spacing w:after="100"/>
      </w:pPr>
      <w:r>
        <w:rPr>
          <w:rFonts w:ascii="Arial" w:cs="Arial" w:eastAsia="Arial" w:hAnsi="Arial"/>
          <w:b/>
          <w:bCs/>
          <w:color w:val="333333"/>
          <w:sz w:val="22"/>
          <w:szCs w:val="22"/>
        </w:rPr>
        <w:t xml:space="preserve">Cloud Migration Intelligence</w:t>
      </w:r>
      <w:r>
        <w:rPr>
          <w:rFonts w:ascii="Arial" w:cs="Arial" w:eastAsia="Arial" w:hAnsi="Arial"/>
          <w:color w:val="333333"/>
          <w:sz w:val="22"/>
          <w:szCs w:val="22"/>
        </w:rPr>
        <w:t xml:space="preserve"> — Publish monthly updates on migration trends, Infor Leap adoption rates, and real-world case insights.</w:t>
      </w:r>
    </w:p>
    <w:p>
      <w:pPr>
        <w:pStyle w:val="ListParagraph"/>
        <w:numPr>
          <w:ilvl w:val="0"/>
          <w:numId w:val="6"/>
        </w:numPr>
        <w:spacing w:after="100"/>
      </w:pPr>
      <w:r>
        <w:rPr>
          <w:rFonts w:ascii="Arial" w:cs="Arial" w:eastAsia="Arial" w:hAnsi="Arial"/>
          <w:b/>
          <w:bCs/>
          <w:color w:val="333333"/>
          <w:sz w:val="22"/>
          <w:szCs w:val="22"/>
        </w:rPr>
        <w:t xml:space="preserve">AI in Manufacturing ERP</w:t>
      </w:r>
      <w:r>
        <w:rPr>
          <w:rFonts w:ascii="Arial" w:cs="Arial" w:eastAsia="Arial" w:hAnsi="Arial"/>
          <w:color w:val="333333"/>
          <w:sz w:val="22"/>
          <w:szCs w:val="22"/>
        </w:rPr>
        <w:t xml:space="preserve"> — Own the narrative on Coleman AI Platform, practical GenAI use cases, and automation in LN workflows.</w:t>
      </w:r>
    </w:p>
    <w:p>
      <w:pPr>
        <w:pStyle w:val="ListParagraph"/>
        <w:numPr>
          <w:ilvl w:val="0"/>
          <w:numId w:val="6"/>
        </w:numPr>
        <w:spacing w:after="100"/>
      </w:pPr>
      <w:r>
        <w:rPr>
          <w:rFonts w:ascii="Arial" w:cs="Arial" w:eastAsia="Arial" w:hAnsi="Arial"/>
          <w:b/>
          <w:bCs/>
          <w:color w:val="333333"/>
          <w:sz w:val="22"/>
          <w:szCs w:val="22"/>
        </w:rPr>
        <w:t xml:space="preserve">The Practitioner’s Voice</w:t>
      </w:r>
      <w:r>
        <w:rPr>
          <w:rFonts w:ascii="Arial" w:cs="Arial" w:eastAsia="Arial" w:hAnsi="Arial"/>
          <w:color w:val="333333"/>
          <w:sz w:val="22"/>
          <w:szCs w:val="22"/>
        </w:rPr>
        <w:t xml:space="preserve"> — Share real configuration challenges, deployment lessons, and technical deep-dives that official Infor docs don’t cover.</w:t>
      </w:r>
    </w:p>
    <w:p>
      <w:pPr>
        <w:pStyle w:val="ListParagraph"/>
        <w:numPr>
          <w:ilvl w:val="0"/>
          <w:numId w:val="6"/>
        </w:numPr>
        <w:spacing w:after="160"/>
      </w:pPr>
      <w:r>
        <w:rPr>
          <w:rFonts w:ascii="Arial" w:cs="Arial" w:eastAsia="Arial" w:hAnsi="Arial"/>
          <w:b/>
          <w:bCs/>
          <w:color w:val="333333"/>
          <w:sz w:val="22"/>
          <w:szCs w:val="22"/>
        </w:rPr>
        <w:t xml:space="preserve">Training ROI Advocacy</w:t>
      </w:r>
      <w:r>
        <w:rPr>
          <w:rFonts w:ascii="Arial" w:cs="Arial" w:eastAsia="Arial" w:hAnsi="Arial"/>
          <w:color w:val="333333"/>
          <w:sz w:val="22"/>
          <w:szCs w:val="22"/>
        </w:rPr>
        <w:t xml:space="preserve"> — Publish data on how self-serve training reduces implementation timelines and consulting costs. Decision makers love this.</w:t>
      </w:r>
    </w:p>
    <w:p>
      <w:pPr>
        <w:pStyle w:val="Heading2"/>
        <w:spacing w:after="200" w:before="300"/>
      </w:pPr>
      <w:r>
        <w:rPr>
          <w:rFonts w:ascii="Arial" w:cs="Arial" w:eastAsia="Arial" w:hAnsi="Arial"/>
          <w:b/>
          <w:bCs/>
          <w:color w:val="8B6914"/>
          <w:sz w:val="28"/>
          <w:szCs w:val="28"/>
        </w:rPr>
        <w:t xml:space="preserve">9.2 Channel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28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14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336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YouTube</w:t>
            </w:r>
          </w:p>
        </w:tc>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10–15 min deep-dive tutorials, module walkthroughs</w:t>
            </w:r>
          </w:p>
        </w:tc>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2x/week</w:t>
            </w:r>
          </w:p>
        </w:tc>
        <w:tc>
          <w:tcPr>
            <w:tcW w:type="dxa" w:w="33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SEO + trust building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LinkedIn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Short-form insights, migration tips, industry commentary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Daily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Decision-maker reach</w:t>
            </w:r>
          </w:p>
        </w:tc>
      </w:tr>
      <w:tr>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Twitter/X</w:t>
            </w:r>
          </w:p>
        </w:tc>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Quick tips, engagement with Infor community, thread content</w:t>
            </w:r>
          </w:p>
        </w:tc>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3–5x/day</w:t>
            </w:r>
          </w:p>
        </w:tc>
        <w:tc>
          <w:tcPr>
            <w:tcW w:type="dxa" w:w="33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Community growth (target: 2K+ followers per 90-day plan)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Blog (fullonbaan.com)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Long-form articles, comparison guides, case studies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2x/month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SEO + lead generation</w:t>
            </w:r>
          </w:p>
        </w:tc>
      </w:tr>
      <w:tr>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Email Newsletter</w:t>
            </w:r>
          </w:p>
        </w:tc>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Curated Infor LN news + exclusive insights</w:t>
            </w:r>
          </w:p>
        </w:tc>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Weekly</w:t>
            </w:r>
          </w:p>
        </w:tc>
        <w:tc>
          <w:tcPr>
            <w:tcW w:type="dxa" w:w="33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20"/>
                <w:szCs w:val="20"/>
              </w:rPr>
              <w:t xml:space="preserve">Nurture + retention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WhatsApp Community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Quick Q&amp;A, module tips, early access announcements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Ongoing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High-engagement direct channel</w:t>
            </w:r>
          </w:p>
        </w:tc>
      </w:tr>
    </w:tbl>
    <w:p>
      <w:r>
        <w:br w:type="page"/>
      </w:r>
    </w:p>
    <w:p>
      <w:pPr>
        <w:pStyle w:val="Heading1"/>
        <w:spacing w:after="200" w:before="300"/>
      </w:pPr>
      <w:r>
        <w:rPr>
          <w:rFonts w:ascii="Arial" w:cs="Arial" w:eastAsia="Arial" w:hAnsi="Arial"/>
          <w:b/>
          <w:bCs/>
          <w:color w:val="8B6914"/>
          <w:sz w:val="32"/>
          <w:szCs w:val="32"/>
        </w:rPr>
        <w:t xml:space="preserve">10. Key Recommendations</w:t>
      </w:r>
    </w:p>
    <w:p>
      <w:pPr>
        <w:pStyle w:val="ListParagraph"/>
        <w:numPr>
          <w:ilvl w:val="0"/>
          <w:numId w:val="7"/>
        </w:numPr>
        <w:spacing w:after="120"/>
      </w:pPr>
      <w:r>
        <w:rPr>
          <w:rFonts w:ascii="Arial" w:cs="Arial" w:eastAsia="Arial" w:hAnsi="Arial"/>
          <w:b/>
          <w:bCs/>
          <w:color w:val="333333"/>
          <w:sz w:val="22"/>
          <w:szCs w:val="22"/>
        </w:rPr>
        <w:t xml:space="preserve">Raise prices on strategy bundles and combo packages.</w:t>
      </w:r>
      <w:r>
        <w:rPr>
          <w:rFonts w:ascii="Arial" w:cs="Arial" w:eastAsia="Arial" w:hAnsi="Arial"/>
          <w:color w:val="333333"/>
          <w:sz w:val="22"/>
          <w:szCs w:val="22"/>
        </w:rPr>
        <w:t xml:space="preserve"> Current pricing undervalues the content relative to consultant rates and enterprise training budgets. Even a 2x increase is still 95% below what Infor U or boutique training firms charge.</w:t>
      </w:r>
    </w:p>
    <w:p>
      <w:pPr>
        <w:pStyle w:val="ListParagraph"/>
        <w:numPr>
          <w:ilvl w:val="0"/>
          <w:numId w:val="7"/>
        </w:numPr>
        <w:spacing w:after="120"/>
      </w:pPr>
      <w:r>
        <w:rPr>
          <w:rFonts w:ascii="Arial" w:cs="Arial" w:eastAsia="Arial" w:hAnsi="Arial"/>
          <w:b/>
          <w:bCs/>
          <w:color w:val="333333"/>
          <w:sz w:val="22"/>
          <w:szCs w:val="22"/>
        </w:rPr>
        <w:t xml:space="preserve">Add USD pricing and target the international market.</w:t>
      </w:r>
      <w:r>
        <w:rPr>
          <w:rFonts w:ascii="Arial" w:cs="Arial" w:eastAsia="Arial" w:hAnsi="Arial"/>
          <w:color w:val="333333"/>
          <w:sz w:val="22"/>
          <w:szCs w:val="22"/>
        </w:rPr>
        <w:t xml:space="preserve"> The North American and European Infor LN install base has significantly higher willingness to pay. Geo-targeted pricing unlocks this.</w:t>
      </w:r>
    </w:p>
    <w:p>
      <w:pPr>
        <w:pStyle w:val="ListParagraph"/>
        <w:numPr>
          <w:ilvl w:val="0"/>
          <w:numId w:val="7"/>
        </w:numPr>
        <w:spacing w:after="120"/>
      </w:pPr>
      <w:r>
        <w:rPr>
          <w:rFonts w:ascii="Arial" w:cs="Arial" w:eastAsia="Arial" w:hAnsi="Arial"/>
          <w:b/>
          <w:bCs/>
          <w:color w:val="333333"/>
          <w:sz w:val="22"/>
          <w:szCs w:val="22"/>
        </w:rPr>
        <w:t xml:space="preserve">Invest heavily in ION/BOD integration content.</w:t>
      </w:r>
      <w:r>
        <w:rPr>
          <w:rFonts w:ascii="Arial" w:cs="Arial" w:eastAsia="Arial" w:hAnsi="Arial"/>
          <w:color w:val="333333"/>
          <w:sz w:val="22"/>
          <w:szCs w:val="22"/>
        </w:rPr>
        <w:t xml:space="preserve"> This is the biggest gap between current content and market demand. Integration architects are among the highest-paid Infor specialists.</w:t>
      </w:r>
    </w:p>
    <w:p>
      <w:pPr>
        <w:pStyle w:val="ListParagraph"/>
        <w:numPr>
          <w:ilvl w:val="0"/>
          <w:numId w:val="7"/>
        </w:numPr>
        <w:spacing w:after="120"/>
      </w:pPr>
      <w:r>
        <w:rPr>
          <w:rFonts w:ascii="Arial" w:cs="Arial" w:eastAsia="Arial" w:hAnsi="Arial"/>
          <w:b/>
          <w:bCs/>
          <w:color w:val="333333"/>
          <w:sz w:val="22"/>
          <w:szCs w:val="22"/>
        </w:rPr>
        <w:t xml:space="preserve">Launch the Consulting Accelerator as the flagship high-ticket offer.</w:t>
      </w:r>
      <w:r>
        <w:rPr>
          <w:rFonts w:ascii="Arial" w:cs="Arial" w:eastAsia="Arial" w:hAnsi="Arial"/>
          <w:color w:val="333333"/>
          <w:sz w:val="22"/>
          <w:szCs w:val="22"/>
        </w:rPr>
        <w:t xml:space="preserve"> Live cohort-based training provides the highest margin per hour and positions Raj as a recognized trainer, not just a content creator.</w:t>
      </w:r>
    </w:p>
    <w:p>
      <w:pPr>
        <w:pStyle w:val="ListParagraph"/>
        <w:numPr>
          <w:ilvl w:val="0"/>
          <w:numId w:val="7"/>
        </w:numPr>
        <w:spacing w:after="120"/>
      </w:pPr>
      <w:r>
        <w:rPr>
          <w:rFonts w:ascii="Arial" w:cs="Arial" w:eastAsia="Arial" w:hAnsi="Arial"/>
          <w:b/>
          <w:bCs/>
          <w:color w:val="333333"/>
          <w:sz w:val="22"/>
          <w:szCs w:val="22"/>
        </w:rPr>
        <w:t xml:space="preserve">Build a gated lead-magnet library to capture emails.</w:t>
      </w:r>
      <w:r>
        <w:rPr>
          <w:rFonts w:ascii="Arial" w:cs="Arial" w:eastAsia="Arial" w:hAnsi="Arial"/>
          <w:color w:val="333333"/>
          <w:sz w:val="22"/>
          <w:szCs w:val="22"/>
        </w:rPr>
        <w:t xml:space="preserve"> Free high-value downloads (checklists, comparison guides, readiness assessments) fuel the consulting pipeline and enable email nurture sequences.</w:t>
      </w:r>
    </w:p>
    <w:p>
      <w:pPr>
        <w:pStyle w:val="ListParagraph"/>
        <w:numPr>
          <w:ilvl w:val="0"/>
          <w:numId w:val="7"/>
        </w:numPr>
        <w:spacing w:after="160"/>
      </w:pPr>
      <w:r>
        <w:rPr>
          <w:rFonts w:ascii="Arial" w:cs="Arial" w:eastAsia="Arial" w:hAnsi="Arial"/>
          <w:b/>
          <w:bCs/>
          <w:color w:val="333333"/>
          <w:sz w:val="22"/>
          <w:szCs w:val="22"/>
        </w:rPr>
        <w:t xml:space="preserve">Double down on Cloud Migration and AI content.</w:t>
      </w:r>
      <w:r>
        <w:rPr>
          <w:rFonts w:ascii="Arial" w:cs="Arial" w:eastAsia="Arial" w:hAnsi="Arial"/>
          <w:color w:val="333333"/>
          <w:sz w:val="22"/>
          <w:szCs w:val="22"/>
        </w:rPr>
        <w:t xml:space="preserve"> These are the two highest-growth areas in the Infor ecosystem. FullOnBaan already has strong foundations here—stay ahead of the curve.</w:t>
      </w:r>
    </w:p>
    <w:p>
      <w:pPr>
        <w:pStyle w:val="Heading1"/>
        <w:spacing w:after="200" w:before="300"/>
      </w:pPr>
      <w:r>
        <w:rPr>
          <w:rFonts w:ascii="Arial" w:cs="Arial" w:eastAsia="Arial" w:hAnsi="Arial"/>
          <w:b/>
          <w:bCs/>
          <w:color w:val="8B6914"/>
          <w:sz w:val="32"/>
          <w:szCs w:val="32"/>
        </w:rPr>
        <w:t xml:space="preserve">11. Conclusion</w:t>
      </w:r>
    </w:p>
    <w:p>
      <w:pPr>
        <w:spacing w:after="160"/>
      </w:pPr>
      <w:r>
        <w:rPr>
          <w:rFonts w:ascii="Arial" w:cs="Arial" w:eastAsia="Arial" w:hAnsi="Arial"/>
          <w:b w:val="false"/>
          <w:bCs w:val="false"/>
          <w:i w:val="false"/>
          <w:iCs w:val="false"/>
          <w:color w:val="333333"/>
          <w:sz w:val="22"/>
          <w:szCs w:val="22"/>
        </w:rPr>
        <w:t xml:space="preserve">FullOnBaan sits at the intersection of three powerful tailwinds: a global Infor LN talent shortage, accelerating cloud migration timelines, and rising AI adoption. The existing 15-module content library is a strong foundation, but the real opportunity lies in pricing for value (not volume), expanding into integration content, launching high-ticket live training, and building a systematic lead funnel that converts content consumers into consulting clients.</w:t>
      </w:r>
    </w:p>
    <w:p>
      <w:pPr>
        <w:spacing w:after="160"/>
      </w:pPr>
      <w:r>
        <w:rPr>
          <w:rFonts w:ascii="Arial" w:cs="Arial" w:eastAsia="Arial" w:hAnsi="Arial"/>
          <w:b w:val="false"/>
          <w:bCs w:val="false"/>
          <w:i w:val="false"/>
          <w:iCs w:val="false"/>
          <w:color w:val="333333"/>
          <w:sz w:val="22"/>
          <w:szCs w:val="22"/>
        </w:rPr>
        <w:t xml:space="preserve">The total addressable opportunity ranges from $86K–$250K annually in the near term, with significant upside as the brand scales internationally and consulting engagements multiply. The key is to act now—while the niche is underserved and the market is moving fast.</w:t>
      </w:r>
    </w:p>
    <w:p>
      <w:pPr>
        <w:pBdr>
          <w:top w:val="single" w:color="B8860B" w:sz="4" w:space="1"/>
        </w:pBdr>
        <w:spacing w:before="400"/>
      </w:pPr>
    </w:p>
    <w:p>
      <w:pPr>
        <w:spacing w:before="200"/>
        <w:jc w:val="center"/>
      </w:pPr>
      <w:r>
        <w:rPr>
          <w:rFonts w:ascii="Arial" w:cs="Arial" w:eastAsia="Arial" w:hAnsi="Arial"/>
          <w:i/>
          <w:iCs/>
          <w:color w:val="555555"/>
          <w:sz w:val="18"/>
          <w:szCs w:val="18"/>
        </w:rPr>
        <w:t xml:space="preserve">Prepared by FullOnBaan Research | fullonbaan.com | fullonbaan@gmail.com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2" w:space="1"/>
      </w:pBdr>
      <w:jc w:val="right"/>
    </w:pPr>
    <w:r>
      <w:rPr>
        <w:rFonts w:ascii="Arial" w:cs="Arial" w:eastAsia="Arial" w:hAnsi="Arial"/>
        <w:i/>
        <w:iCs/>
        <w:color w:val="B8860B"/>
        <w:sz w:val="16"/>
        <w:szCs w:val="16"/>
      </w:rPr>
      <w:t xml:space="preserve">FullOnBaan | High-Value Infor Content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8B6914"/>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8B6914"/>
      <w:sz w:val="28"/>
      <w:szCs w:val="28"/>
    </w:rPr>
  </w:style>
  <w:style w:type="paragraph" w:styleId="Heading3">
    <w:name w:val="Heading 3"/>
    <w:basedOn w:val="Normal"/>
    <w:next w:val="Normal"/>
    <w:qFormat/>
    <w:pPr>
      <w:spacing w:after="160" w:before="200"/>
      <w:outlineLvl w:val="2"/>
    </w:pPr>
    <w:rPr>
      <w:rFonts w:ascii="Arial" w:cs="Arial" w:eastAsia="Arial" w:hAnsi="Arial"/>
      <w:b/>
      <w:bCs/>
      <w:color w:val="8B69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2026-04-04T07:03:03.709Z</dcterms:created>
  <dcterms:modified xsi:type="dcterms:W3CDTF">2026-04-04T07:03:03.709Z</dcterms:modified>
</cp:coreProperties>
</file>

<file path=docProps/custom.xml><?xml version="1.0" encoding="utf-8"?>
<Properties xmlns="http://schemas.openxmlformats.org/officeDocument/2006/custom-properties" xmlns:vt="http://schemas.openxmlformats.org/officeDocument/2006/docPropsVTypes"/>
</file>