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6-29:</w:t>
      </w:r>
    </w:p>
    <w:p>
      <w:r>
        <w:t>在32位平台下，一般int是4个字节，double是8个字节，代码第5、6行强制转换后的赋值过程中修改了arr[0],arr[1]的内存空间，因此导致arr[1]的非预期输出。避免这种情况的措施：1、尽量避免使用类型转换。2、必须使用类型转换时，尽量开辟出新的内存空间，在新内存空间中完成转换。3、必须使用原有内存空间时，要特别注意各种数据类型在不同平台下的内存占用大小。</w:t>
      </w:r>
    </w:p>
    <w:p/>
    <w:p>
      <w:r>
        <w:t>7-2:</w:t>
      </w:r>
    </w:p>
    <w:p>
      <w:r>
        <w:t>派生类构造函数执行的一般次序为：调用基类构造函数；调用成员对象的构造函数；调用派生类的构造函数体中的内容。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FEEBE"/>
    <w:rsid w:val="FE3FEEBE"/>
    <w:rsid w:val="FFD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2018-11-20T19:31:00Z</dcterms:created>
  <dc:creator>evenstar</dc:creator>
  <cp:lastModifiedBy>evenstar</cp:lastModifiedBy>
  <dcterms:modified xsi:type="dcterms:W3CDTF">2018-11-20T19:38:54Z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