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Kundai Farai Sachikonye</w:t>
      </w:r>
      <w:r>
        <w:t xml:space="preserve"> </w:t>
      </w:r>
      <w:r>
        <w:t xml:space="preserve">Experimental Bioinformatics, TUM School of Life Sciences</w:t>
      </w:r>
      <w:r>
        <w:t xml:space="preserve"> </w:t>
      </w:r>
      <w:r>
        <w:t xml:space="preserve">AIMe Registry for Artificial Intelligence</w:t>
      </w:r>
      <w:r>
        <w:t xml:space="preserve"> </w:t>
      </w:r>
      <w:r>
        <w:t xml:space="preserve">Maximus-von-Imhof-Forum 3, 85354 Freising, Germany</w:t>
      </w:r>
      <w:r>
        <w:t xml:space="preserve"> </w:t>
      </w:r>
      <w:r>
        <w:t xml:space="preserve">kundai.sachikonye@bitspark.com</w:t>
      </w:r>
    </w:p>
    <w:p>
      <w:pPr>
        <w:pStyle w:val="BodyText"/>
      </w:pPr>
      <w:r>
        <w:t xml:space="preserve">Professor Hao Lin</w:t>
      </w:r>
      <w:r>
        <w:t xml:space="preserve"> </w:t>
      </w:r>
      <w:r>
        <w:t xml:space="preserve">Editor-in-Chief,</w:t>
      </w:r>
      <w:r>
        <w:t xml:space="preserve"> </w:t>
      </w:r>
      <w:r>
        <w:rPr>
          <w:i/>
          <w:iCs/>
        </w:rPr>
        <w:t xml:space="preserve">Medinformatics</w:t>
      </w:r>
      <w:r>
        <w:t xml:space="preserve"> </w:t>
      </w:r>
      <w:r>
        <w:t xml:space="preserve">Bon View Publishing</w:t>
      </w:r>
    </w:p>
    <w:p>
      <w:pPr>
        <w:pStyle w:val="BodyText"/>
      </w:pPr>
      <w:r>
        <w:t xml:space="preserve">Dear Professor Lin,</w:t>
      </w:r>
    </w:p>
    <w:p>
      <w:pPr>
        <w:pStyle w:val="BodyText"/>
      </w:pPr>
      <w:r>
        <w:t xml:space="preserve">I am pleased to submit the enclosed manuscript,</w:t>
      </w:r>
      <w:r>
        <w:t xml:space="preserve"> </w:t>
      </w:r>
      <w:r>
        <w:rPr>
          <w:b/>
          <w:bCs/>
        </w:rPr>
        <w:t xml:space="preserve">“Disease Metabolic Network</w:t>
      </w:r>
      <w:r>
        <w:rPr>
          <w:b/>
          <w:bCs/>
        </w:rPr>
        <w:t xml:space="preserve"> </w:t>
      </w:r>
      <w:r>
        <w:rPr>
          <w:b/>
          <w:bCs/>
        </w:rPr>
        <w:t xml:space="preserve">Modelling: Separating Numerical Noise from Thermodynamic Inconsistency in</w:t>
      </w:r>
      <w:r>
        <w:rPr>
          <w:b/>
          <w:bCs/>
        </w:rPr>
        <w:t xml:space="preserve"> </w:t>
      </w:r>
      <w:r>
        <w:rPr>
          <w:b/>
          <w:bCs/>
        </w:rPr>
        <w:t xml:space="preserve">Cycle-Consistency Tests on Metabolic Circuits,”</w:t>
      </w:r>
      <w:r>
        <w:t xml:space="preserve"> </w:t>
      </w:r>
      <w:r>
        <w:t xml:space="preserve">for consideration as an</w:t>
      </w:r>
      <w:r>
        <w:t xml:space="preserve"> </w:t>
      </w:r>
      <w:r>
        <w:t xml:space="preserve">Original Research article in</w:t>
      </w:r>
      <w:r>
        <w:t xml:space="preserve"> </w:t>
      </w:r>
      <w:r>
        <w:rPr>
          <w:i/>
          <w:iCs/>
        </w:rPr>
        <w:t xml:space="preserve">Medinformatics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paper addresses.</w:t>
      </w:r>
      <w:r>
        <w:t xml:space="preserve"> </w:t>
      </w:r>
      <w:r>
        <w:t xml:space="preserve">Metabolic network reconstructions are routinely</w:t>
      </w:r>
      <w:r>
        <w:t xml:space="preserve"> </w:t>
      </w:r>
      <w:r>
        <w:t xml:space="preserve">checked for thermodynamic consistency using cycle sums, which vanish</w:t>
      </w:r>
      <w:r>
        <w:t xml:space="preserve"> </w:t>
      </w:r>
      <w:r>
        <w:t xml:space="preserve">identically for a consistent network by the Wegscheider condition. Any such</w:t>
      </w:r>
      <w:r>
        <w:t xml:space="preserve"> </w:t>
      </w:r>
      <w:r>
        <w:t xml:space="preserve">check needs a tolerance below which a computed cycle sum counts as zero, and</w:t>
      </w:r>
      <w:r>
        <w:t xml:space="preserve"> </w:t>
      </w:r>
      <w:r>
        <w:t xml:space="preserve">near-universal practice is to fix that tolerance at a round number — 1e-6 is</w:t>
      </w:r>
      <w:r>
        <w:t xml:space="preserve"> </w:t>
      </w:r>
      <w:r>
        <w:t xml:space="preserve">typical — and describe it as a solver setting. This paper shows that framing is</w:t>
      </w:r>
      <w:r>
        <w:t xml:space="preserve"> </w:t>
      </w:r>
      <w:r>
        <w:t xml:space="preserve">a category error with a measurable cost, and replaces it with a tolerance</w:t>
      </w:r>
      <w:r>
        <w:t xml:space="preserve"> </w:t>
      </w:r>
      <w:r>
        <w:t xml:space="preserve">computed per cycle from the arithmetic and from the reported uncertainty of the</w:t>
      </w:r>
      <w:r>
        <w:t xml:space="preserve"> </w:t>
      </w:r>
      <w:r>
        <w:t xml:space="preserve">underlying thermodynamic annotations.</w:t>
      </w:r>
    </w:p>
    <w:p>
      <w:pPr>
        <w:pStyle w:val="BodyText"/>
      </w:pPr>
      <w:r>
        <w:rPr>
          <w:b/>
          <w:bCs/>
        </w:rPr>
        <w:t xml:space="preserve">Key findings.</w:t>
      </w:r>
    </w:p>
    <w:p>
      <w:pPr>
        <w:numPr>
          <w:ilvl w:val="0"/>
          <w:numId w:val="1001"/>
        </w:numPr>
      </w:pPr>
      <w:r>
        <w:t xml:space="preserve">The rounding-error scale of a cycle sum is derived rather than assumed.</w:t>
      </w:r>
      <w:r>
        <w:t xml:space="preserve"> </w:t>
      </w:r>
      <w:r>
        <w:t xml:space="preserve">Measuring the cost of a fixed tolerance corrected a prediction we had made:</w:t>
      </w:r>
      <w:r>
        <w:t xml:space="preserve"> </w:t>
      </w:r>
      <w:r>
        <w:t xml:space="preserve">in double precision the rounding error never comes within six orders of</w:t>
      </w:r>
      <w:r>
        <w:t xml:space="preserve"> </w:t>
      </w:r>
      <w:r>
        <w:t xml:space="preserve">magnitude of the customary threshold, so a fixed tolerance produces no false</w:t>
      </w:r>
      <w:r>
        <w:t xml:space="preserve"> </w:t>
      </w:r>
      <w:r>
        <w:t xml:space="preserve">positives from rounding. The two-sided failure we predicted appears only in</w:t>
      </w:r>
      <w:r>
        <w:t xml:space="preserve"> </w:t>
      </w:r>
      <w:r>
        <w:t xml:space="preserve">single precision.</w:t>
      </w:r>
    </w:p>
    <w:p>
      <w:pPr>
        <w:numPr>
          <w:ilvl w:val="0"/>
          <w:numId w:val="1001"/>
        </w:numPr>
      </w:pPr>
      <w:r>
        <w:t xml:space="preserve">Only uncertainty in the edge data reaches a cycle sum: errors in the species</w:t>
      </w:r>
      <w:r>
        <w:t xml:space="preserve"> </w:t>
      </w:r>
      <w:r>
        <w:t xml:space="preserve">potentials, including all concentration error, cancel around every cycle.</w:t>
      </w:r>
      <w:r>
        <w:t xml:space="preserve"> </w:t>
      </w:r>
      <w:r>
        <w:t xml:space="preserve">Under simulated noise the resulting tolerance gives false positives at 0.009</w:t>
      </w:r>
      <w:r>
        <w:t xml:space="preserve"> </w:t>
      </w:r>
      <w:r>
        <w:t xml:space="preserve">against a nominal 0.01 and detects defects of twice its value with</w:t>
      </w:r>
      <w:r>
        <w:t xml:space="preserve"> </w:t>
      </w:r>
      <w:r>
        <w:t xml:space="preserve">probability at least 0.993.</w:t>
      </w:r>
    </w:p>
    <w:p>
      <w:pPr>
        <w:numPr>
          <w:ilvl w:val="0"/>
          <w:numId w:val="1001"/>
        </w:numPr>
      </w:pPr>
      <w:r>
        <w:t xml:space="preserve">On experimental data the cost of a fixed tolerance is total. Of the 67</w:t>
      </w:r>
      <w:r>
        <w:t xml:space="preserve"> </w:t>
      </w:r>
      <w:r>
        <w:t xml:space="preserve">independent cycles among 418 reactions whose equilibrium constants were</w:t>
      </w:r>
      <w:r>
        <w:t xml:space="preserve"> </w:t>
      </w:r>
      <w:r>
        <w:t xml:space="preserve">measured (3,276 measurements in the NIST TECRDB), every cycle sum exceeds</w:t>
      </w:r>
      <w:r>
        <w:t xml:space="preserve"> </w:t>
      </w:r>
      <w:r>
        <w:t xml:space="preserve">the customary 1e-6 kJ/mol, so a fixed test declares all 67 inconsistent.</w:t>
      </w:r>
      <w:r>
        <w:t xml:space="preserve"> </w:t>
      </w:r>
      <w:r>
        <w:t xml:space="preserve">The cycle-local tolerance flags 7 and returns UNDECIDABLE on 60; its two</w:t>
      </w:r>
      <w:r>
        <w:t xml:space="preserve"> </w:t>
      </w:r>
      <w:r>
        <w:t xml:space="preserve">floors lie 14 orders of magnitude apart.</w:t>
      </w:r>
    </w:p>
    <w:p>
      <w:pPr>
        <w:numPr>
          <w:ilvl w:val="0"/>
          <w:numId w:val="1001"/>
        </w:numPr>
      </w:pPr>
      <w:r>
        <w:t xml:space="preserve">The real data also corrected the method. Repeated measurements of one</w:t>
      </w:r>
      <w:r>
        <w:t xml:space="preserve"> </w:t>
      </w:r>
      <w:r>
        <w:t xml:space="preserve">reaction are cycles whose sum is known to be zero, and they show</w:t>
      </w:r>
      <w:r>
        <w:t xml:space="preserve"> </w:t>
      </w:r>
      <w:r>
        <w:t xml:space="preserve">measurement errors heavier-tailed than the Gaussian the data floor assumes;</w:t>
      </w:r>
      <w:r>
        <w:t xml:space="preserve"> </w:t>
      </w:r>
      <w:r>
        <w:t xml:space="preserve">calibrated on them, the test flags 3 cycles. The data hold several</w:t>
      </w:r>
      <w:r>
        <w:t xml:space="preserve"> </w:t>
      </w:r>
      <w:r>
        <w:t xml:space="preserve">inconsistencies at once, so localisation is by how often a reaction lies on</w:t>
      </w:r>
      <w:r>
        <w:t xml:space="preserve"> </w:t>
      </w:r>
      <w:r>
        <w:t xml:space="preserve">a flagged cycle rather than by a single witness set.</w:t>
      </w:r>
    </w:p>
    <w:p>
      <w:pPr>
        <w:numPr>
          <w:ilvl w:val="0"/>
          <w:numId w:val="1001"/>
        </w:numPr>
      </w:pPr>
      <w:r>
        <w:t xml:space="preserve">In the human erythrocyte network, assembled from UniProt and Rhea,</w:t>
      </w:r>
      <w:r>
        <w:t xml:space="preserve"> </w:t>
      </w:r>
      <w:r>
        <w:t xml:space="preserve">pyruvate kinase lies on no cycle, and none of the network’s seven cycles</w:t>
      </w:r>
      <w:r>
        <w:t xml:space="preserve"> </w:t>
      </w:r>
      <w:r>
        <w:t xml:space="preserve">has a measured equilibrium constant on every edge. A cycle-consistency test</w:t>
      </w:r>
      <w:r>
        <w:t xml:space="preserve"> </w:t>
      </w:r>
      <w:r>
        <w:t xml:space="preserve">therefore cannot address erythrocyte enzymopathies on present data; two</w:t>
      </w:r>
      <w:r>
        <w:t xml:space="preserve"> </w:t>
      </w:r>
      <w:r>
        <w:t xml:space="preserve">further measurements, of the Rapoport-Luebering shunt, would make one cycle</w:t>
      </w:r>
      <w:r>
        <w:t xml:space="preserve"> </w:t>
      </w:r>
      <w:r>
        <w:t xml:space="preserve">testable.</w:t>
      </w:r>
    </w:p>
    <w:p>
      <w:pPr>
        <w:pStyle w:val="FirstParagraph"/>
      </w:pPr>
      <w:r>
        <w:rPr>
          <w:b/>
          <w:bCs/>
        </w:rPr>
        <w:t xml:space="preserve">Fit to the journal.</w:t>
      </w:r>
      <w:r>
        <w:t xml:space="preserve"> </w:t>
      </w:r>
      <w:r>
        <w:t xml:space="preserve">The work sits in</w:t>
      </w:r>
      <w:r>
        <w:t xml:space="preserve"> </w:t>
      </w:r>
      <w:r>
        <w:rPr>
          <w:i/>
          <w:iCs/>
        </w:rPr>
        <w:t xml:space="preserve">Medinformatics</w:t>
      </w:r>
      <w:r>
        <w:t xml:space="preserve">’ Integrative and</w:t>
      </w:r>
      <w:r>
        <w:t xml:space="preserve"> </w:t>
      </w:r>
      <w:r>
        <w:t xml:space="preserve">Computational Biology area, specifically computational modelling of biological</w:t>
      </w:r>
      <w:r>
        <w:t xml:space="preserve"> </w:t>
      </w:r>
      <w:r>
        <w:t xml:space="preserve">systems, and speaks to the journal’s stated aim of connecting biomedical</w:t>
      </w:r>
      <w:r>
        <w:t xml:space="preserve"> </w:t>
      </w:r>
      <w:r>
        <w:t xml:space="preserve">scientists with mathematicians and computer scientists. Its practical</w:t>
      </w:r>
      <w:r>
        <w:t xml:space="preserve"> </w:t>
      </w:r>
      <w:r>
        <w:t xml:space="preserve">contribution is directed at anyone running consistency checks on metabolic</w:t>
      </w:r>
      <w:r>
        <w:t xml:space="preserve"> </w:t>
      </w:r>
      <w:r>
        <w:t xml:space="preserve">reconstructions: the paper shows that a parameter widely treated as an</w:t>
      </w:r>
      <w:r>
        <w:t xml:space="preserve"> </w:t>
      </w:r>
      <w:r>
        <w:t xml:space="preserve">implementation detail is silently encoding a detection threshold, and gives a</w:t>
      </w:r>
      <w:r>
        <w:t xml:space="preserve"> </w:t>
      </w:r>
      <w:r>
        <w:t xml:space="preserve">computable replacement together with the conditions under which a result may</w:t>
      </w:r>
      <w:r>
        <w:t xml:space="preserve"> </w:t>
      </w:r>
      <w:r>
        <w:t xml:space="preserve">be claimed at all.</w:t>
      </w:r>
    </w:p>
    <w:p>
      <w:pPr>
        <w:pStyle w:val="BodyText"/>
      </w:pPr>
      <w:r>
        <w:rPr>
          <w:b/>
          <w:bCs/>
        </w:rPr>
        <w:t xml:space="preserve">Scope of the claims.</w:t>
      </w:r>
      <w:r>
        <w:t xml:space="preserve"> </w:t>
      </w:r>
      <w:r>
        <w:t xml:space="preserve">I want to be explicit about what the manuscript does</w:t>
      </w:r>
      <w:r>
        <w:t xml:space="preserve"> </w:t>
      </w:r>
      <w:r>
        <w:t xml:space="preserve">not show. The diagnostic protocol, specified with pre-registered criteria, was</w:t>
      </w:r>
      <w:r>
        <w:t xml:space="preserve"> </w:t>
      </w:r>
      <w:r>
        <w:t xml:space="preserve">run on the real erythrocyte network and stopped at its own pre-registered check,</w:t>
      </w:r>
      <w:r>
        <w:t xml:space="preserve"> </w:t>
      </w:r>
      <w:r>
        <w:t xml:space="preserve">because the target reaction lies on no cycle; the paper reports this as an</w:t>
      </w:r>
      <w:r>
        <w:t xml:space="preserve"> </w:t>
      </w:r>
      <w:r>
        <w:t xml:space="preserve">invalid experiment, not a negative result. The paper also states what the test</w:t>
      </w:r>
      <w:r>
        <w:t xml:space="preserve"> </w:t>
      </w:r>
      <w:r>
        <w:t xml:space="preserve">cannot see: a loss of enzyme activity that leaves equilibrium constants</w:t>
      </w:r>
      <w:r>
        <w:t xml:space="preserve"> </w:t>
      </w:r>
      <w:r>
        <w:t xml:space="preserve">unchanged preserves every cycle sum. Whether disease produces edge data that</w:t>
      </w:r>
      <w:r>
        <w:t xml:space="preserve"> </w:t>
      </w:r>
      <w:r>
        <w:t xml:space="preserve">fail the test remains open, and the present data cannot settle it.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This manuscript is original, is not under consideration</w:t>
      </w:r>
      <w:r>
        <w:t xml:space="preserve"> </w:t>
      </w:r>
      <w:r>
        <w:t xml:space="preserve">elsewhere, and has not been published previously. There are no conflicts of</w:t>
      </w:r>
      <w:r>
        <w:t xml:space="preserve"> </w:t>
      </w:r>
      <w:r>
        <w:t xml:space="preserve">interest to declare. The validation suite, the snapshot of public experimental data</w:t>
      </w:r>
      <w:r>
        <w:t xml:space="preserve"> </w:t>
      </w:r>
      <w:r>
        <w:t xml:space="preserve">it analyses, and the complete numerical record are openly available. Use of generative AI in preparing the manuscript is disclosed</w:t>
      </w:r>
      <w:r>
        <w:t xml:space="preserve"> </w:t>
      </w:r>
      <w:r>
        <w:t xml:space="preserve">in Materials and Methods, as the journal requires.</w:t>
      </w:r>
    </w:p>
    <w:p>
      <w:pPr>
        <w:pStyle w:val="BodyText"/>
      </w:pPr>
      <w:r>
        <w:t xml:space="preserve">The submission comprises the manuscript, a supplementary file containing the</w:t>
      </w:r>
      <w:r>
        <w:t xml:space="preserve"> </w:t>
      </w:r>
      <w:r>
        <w:t xml:space="preserve">proofs of all numbered results, the typed language, the full protocol and the</w:t>
      </w:r>
      <w:r>
        <w:t xml:space="preserve"> </w:t>
      </w:r>
      <w:r>
        <w:t xml:space="preserve">details of the experimental-data analysis, five figures, and a graphical</w:t>
      </w:r>
      <w:r>
        <w:t xml:space="preserve"> </w:t>
      </w:r>
      <w:r>
        <w:t xml:space="preserve">abstract.</w:t>
      </w:r>
    </w:p>
    <w:p>
      <w:pPr>
        <w:pStyle w:val="BodyText"/>
      </w:pPr>
      <w:r>
        <w:t xml:space="preserve">Thank you for your consideration. I would be glad to respond to any questions.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Kundai Farai Sachikonye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2026-10-21T22:00:28Z</dcterms:created>
  <dcterms:modified xsi:type="dcterms:W3CDTF">2026-10-21T22:00:28Z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