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B2" w:rsidRDefault="00DA1783">
      <w:r w:rsidRPr="00DA1783">
        <w:drawing>
          <wp:inline distT="0" distB="0" distL="0" distR="0" wp14:anchorId="5E68F280" wp14:editId="63CE194E">
            <wp:extent cx="2101958" cy="206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83" w:rsidRDefault="00DA1783"/>
    <w:p w:rsidR="00D33F83" w:rsidRPr="00D33F83" w:rsidRDefault="00D33F83" w:rsidP="00D33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F83">
        <w:rPr>
          <w:rFonts w:ascii="Times New Roman" w:eastAsia="Times New Roman" w:hAnsi="Times New Roman" w:cs="Times New Roman"/>
          <w:b/>
          <w:bCs/>
          <w:sz w:val="27"/>
          <w:szCs w:val="27"/>
        </w:rPr>
        <w:t>Product Name:</w:t>
      </w:r>
    </w:p>
    <w:p w:rsidR="00D33F83" w:rsidRPr="00D33F83" w:rsidRDefault="00D33F83" w:rsidP="00D33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Hub lot Classic Fusion Chronograph Titanium Purple</w:t>
      </w:r>
    </w:p>
    <w:p w:rsidR="00D33F83" w:rsidRPr="00D33F83" w:rsidRDefault="00D33F83" w:rsidP="00D33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F83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D33F83" w:rsidRPr="00D33F83" w:rsidRDefault="00D33F83" w:rsidP="00D33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A luxury wristwatch featuring a </w:t>
      </w: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striking purple dial and strap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, encased in </w:t>
      </w: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titanium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for durability and a sleek appearance. The </w:t>
      </w: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chronograph function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includes three sub-dials for precise timekeeping. The bezel is secured with </w:t>
      </w: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six screws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, adding to the watch's robust design. A </w:t>
      </w: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date window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is positioned at the 6 o’clock mark.</w:t>
      </w:r>
    </w:p>
    <w:p w:rsidR="00D33F83" w:rsidRPr="00D33F83" w:rsidRDefault="00D33F83" w:rsidP="00D33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F83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:rsidR="00D33F83" w:rsidRPr="00D33F83" w:rsidRDefault="00D33F83" w:rsidP="00D3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Titanium</w:t>
      </w:r>
    </w:p>
    <w:p w:rsidR="00D33F83" w:rsidRPr="00D33F83" w:rsidRDefault="00D33F83" w:rsidP="00D3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Purple</w:t>
      </w:r>
    </w:p>
    <w:p w:rsidR="00D33F83" w:rsidRPr="00D33F83" w:rsidRDefault="00D33F83" w:rsidP="00D3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Rubber</w:t>
      </w:r>
    </w:p>
    <w:p w:rsidR="00D33F83" w:rsidRPr="00D33F83" w:rsidRDefault="00D33F83" w:rsidP="00D3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Chronograph, Date</w:t>
      </w:r>
    </w:p>
    <w:p w:rsidR="00D33F83" w:rsidRPr="00D33F83" w:rsidRDefault="00D33F83" w:rsidP="00D3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Automatic</w:t>
      </w:r>
    </w:p>
    <w:p w:rsidR="00D33F83" w:rsidRPr="00D33F83" w:rsidRDefault="00D33F83" w:rsidP="00D3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83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D33F83">
        <w:rPr>
          <w:rFonts w:ascii="Times New Roman" w:eastAsia="Times New Roman" w:hAnsi="Times New Roman" w:cs="Times New Roman"/>
          <w:sz w:val="24"/>
          <w:szCs w:val="24"/>
        </w:rPr>
        <w:t xml:space="preserve"> 50 meters</w:t>
      </w:r>
    </w:p>
    <w:p w:rsidR="00D33F83" w:rsidRDefault="00D33F83" w:rsidP="00D33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F83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</w:p>
    <w:p w:rsidR="00D33F83" w:rsidRPr="00D33F83" w:rsidRDefault="00D33F83" w:rsidP="00D33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Style w:val="Strong"/>
        </w:rPr>
        <w:t>$10,000 to $15,000 USD</w:t>
      </w:r>
      <w:bookmarkStart w:id="0" w:name="_GoBack"/>
      <w:bookmarkEnd w:id="0"/>
    </w:p>
    <w:p w:rsidR="00DA1783" w:rsidRDefault="00DA1783"/>
    <w:sectPr w:rsidR="00DA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82"/>
    <w:multiLevelType w:val="multilevel"/>
    <w:tmpl w:val="8BAE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97DE8"/>
    <w:multiLevelType w:val="multilevel"/>
    <w:tmpl w:val="0D4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17"/>
    <w:rsid w:val="0044043C"/>
    <w:rsid w:val="00805DD8"/>
    <w:rsid w:val="00BB3217"/>
    <w:rsid w:val="00D33F83"/>
    <w:rsid w:val="00DA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19C8"/>
  <w15:chartTrackingRefBased/>
  <w15:docId w15:val="{E56F8359-71DF-461F-9057-DAE7196F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3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7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3F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3</cp:revision>
  <dcterms:created xsi:type="dcterms:W3CDTF">2025-05-20T17:56:00Z</dcterms:created>
  <dcterms:modified xsi:type="dcterms:W3CDTF">2025-05-20T18:11:00Z</dcterms:modified>
</cp:coreProperties>
</file>