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24.00000000000006" w:lineRule="auto"/>
        <w:rPr/>
      </w:pPr>
      <w:r w:rsidDel="00000000" w:rsidR="00000000" w:rsidRPr="00000000">
        <w:rPr>
          <w:rtl w:val="0"/>
        </w:rPr>
        <w:t xml:space="preserve">UGAY, GABRIEL Z.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Feb 18,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 370 - Information Assurance and Security 2</w:t>
      </w:r>
    </w:p>
    <w:p w:rsidR="00000000" w:rsidDel="00000000" w:rsidP="00000000" w:rsidRDefault="00000000" w:rsidRPr="00000000" w14:paraId="00000004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A - Let’s Practice:</w:t>
      </w:r>
    </w:p>
    <w:p w:rsidR="00000000" w:rsidDel="00000000" w:rsidP="00000000" w:rsidRDefault="00000000" w:rsidRPr="00000000" w14:paraId="00000006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Dilemma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Ethical Action (and why?)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hospital IT staff accidentally sees a celebrity’s medical record.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Staff,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Celebrity,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startup plans to sell anonymized user data to advertisers..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Front-Page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company finds a security flaw in its software but delays disclosure.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</w:tr>
    </w:tbl>
    <w:p w:rsidR="00000000" w:rsidDel="00000000" w:rsidP="00000000" w:rsidRDefault="00000000" w:rsidRPr="00000000" w14:paraId="0000001D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B - Let’s Practice:</w:t>
      </w:r>
    </w:p>
    <w:p w:rsidR="00000000" w:rsidDel="00000000" w:rsidP="00000000" w:rsidRDefault="00000000" w:rsidRPr="00000000" w14:paraId="00000020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ethical principles were violated?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Privacy, Confidentiality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were the stakeholders?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&amp;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should have been done differently?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ensure proper encryption and hashing if needed. And to ensure that UAC (User Access Control) is being utilized for managing user access.</w:t>
            </w:r>
          </w:p>
        </w:tc>
      </w:tr>
    </w:tbl>
    <w:p w:rsidR="00000000" w:rsidDel="00000000" w:rsidP="00000000" w:rsidRDefault="00000000" w:rsidRPr="00000000" w14:paraId="00000029">
      <w:pPr>
        <w:spacing w:line="32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