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88"/>
          <w:szCs w:val="88"/>
        </w:rPr>
        <w:t xml:space="preserve">ODIP</w:t>
      </w:r>
    </w:p>
    <w:p>
      <w:pPr>
        <w:spacing w:after="120"/>
        <w:jc w:val="center"/>
      </w:pPr>
      <w:r>
        <w:rPr>
          <w:color w:val="595959"/>
          <w:sz w:val="40"/>
          <w:szCs w:val="40"/>
        </w:rPr>
        <w:t xml:space="preserve">Oassist Data Interface Platform</w:t>
      </w:r>
    </w:p>
    <w:p>
      <w:pPr>
        <w:spacing w:after="60"/>
        <w:jc w:val="center"/>
      </w:pPr>
      <w:r>
        <w:rPr>
          <w:color w:val="2E7D5B"/>
          <w:sz w:val="28"/>
          <w:szCs w:val="28"/>
        </w:rPr>
        <w:t xml:space="preserve">Platform Plan — Business Overview</w:t>
      </w:r>
    </w:p>
    <w:p>
      <w:pPr>
        <w:spacing w:after="2600"/>
        <w:jc w:val="center"/>
      </w:pPr>
      <w:r>
        <w:rPr>
          <w:color w:val="595959"/>
          <w:sz w:val="20"/>
          <w:szCs w:val="20"/>
        </w:rPr>
        <w:t xml:space="preserve">August 2026 · Draft for discussion · WOW TOURS Pty Ltd t/as Oassist</w:t>
      </w:r>
    </w:p>
    <w:p>
      <w:r>
        <w:br w:type="page"/>
      </w:r>
    </w:p>
    <w:p>
      <w:pPr>
        <w:pStyle w:val="Heading1"/>
        <w:spacing w:after="140" w:before="320"/>
      </w:pPr>
      <w:r>
        <w:rPr>
          <w:color w:val="1F4E79"/>
        </w:rPr>
        <w:t xml:space="preserve">Executive summary</w:t>
      </w:r>
    </w:p>
    <w:p>
      <w:pPr>
        <w:spacing w:after="120" w:line="276"/>
      </w:pPr>
      <w:r>
        <w:t xml:space="preserve">Oassist runs a growing, diversifying disability support business: supported holidays, community access and capacity building, in-home nursing, nurse-delivered and condition-specific training, positive behaviour support, short term accommodation, with SIL planned and white-labeling of business processes under exploration. Today the information behind that business is spread across spreadsheets, Word forms, a tour-booking system, Brevity, Splose, Xero, Employment Hero and SharePoint — with the same client details typed into several of them.</w:t>
      </w:r>
    </w:p>
    <w:p>
      <w:pPr>
        <w:spacing w:after="120" w:line="276"/>
      </w:pPr>
      <w:r>
        <w:rPr>
          <w:b/>
          <w:bCs/>
        </w:rPr>
        <w:t xml:space="preserve">ODIP</w:t>
      </w:r>
      <w:r>
        <w:t xml:space="preserve"> will be a custom-built web platform that becomes the single source of truth. Clients, staff, trips, rosters, forms, agreements and every source of revenue are managed in one place, and ODIP pushes that data out to the systems that stay (Brevity for NDIS claiming, Xero for accounting, Employment Hero for payroll). Information is entered once and reused everywhere.</w:t>
      </w:r>
    </w:p>
    <w:p>
      <w:pPr>
        <w:spacing w:after="120" w:line="276"/>
      </w:pPr>
      <w:r>
        <w:t xml:space="preserve">A working prototype already exists: </w:t>
      </w:r>
      <w:r>
        <w:rPr>
          <w:b/>
          <w:bCs/>
        </w:rPr>
        <w:t xml:space="preserve">TripCore</w:t>
      </w:r>
      <w:r>
        <w:t xml:space="preserve">, built to run the holiday side of the business, already handles trip planning, traveller bookings, staffing, vehicles, accommodation, NDIS claim preparation and incident recording. ODIP will be built by forking TripCore and extending it into the whole-of-business platform, with trips as one module among many — keeping what is proven and overhauling what the wider scope demands.</w:t>
      </w:r>
    </w:p>
    <w:p>
      <w:pPr>
        <w:pStyle w:val="Heading2"/>
        <w:spacing w:after="100" w:before="240"/>
      </w:pPr>
      <w:r>
        <w:rPr>
          <w:color w:val="1F4E79"/>
        </w:rPr>
        <w:t xml:space="preserve">What ODIP replaces or absorbs</w:t>
      </w:r>
    </w:p>
    <w:p>
      <w:pPr>
        <w:pStyle w:val="ListParagraph"/>
        <w:numPr>
          <w:ilvl w:val="0"/>
          <w:numId w:val="2"/>
        </w:numPr>
        <w:spacing w:after="60" w:line="276"/>
      </w:pPr>
      <w:r>
        <w:rPr>
          <w:b/>
          <w:bCs/>
        </w:rPr>
        <w:t xml:space="preserve">Replaces: </w:t>
      </w:r>
      <w:r>
        <w:t xml:space="preserve">the tour-booking system, and the web of operational spreadsheets and re-keyed Word forms.</w:t>
      </w:r>
    </w:p>
    <w:p>
      <w:pPr>
        <w:pStyle w:val="ListParagraph"/>
        <w:numPr>
          <w:ilvl w:val="0"/>
          <w:numId w:val="2"/>
        </w:numPr>
        <w:spacing w:after="60" w:line="276"/>
      </w:pPr>
      <w:r>
        <w:rPr>
          <w:b/>
          <w:bCs/>
        </w:rPr>
        <w:t xml:space="preserve">Feeds: </w:t>
      </w:r>
      <w:r>
        <w:t xml:space="preserve">Brevity (participants, services, delivered hours for claiming), Xero (invoices), Employment Hero (timesheets), Splose (clinical scheduling while it remains).</w:t>
      </w:r>
    </w:p>
    <w:p>
      <w:pPr>
        <w:pStyle w:val="ListParagraph"/>
        <w:numPr>
          <w:ilvl w:val="0"/>
          <w:numId w:val="2"/>
        </w:numPr>
        <w:spacing w:after="60" w:line="276"/>
      </w:pPr>
      <w:r>
        <w:rPr>
          <w:b/>
          <w:bCs/>
        </w:rPr>
        <w:t xml:space="preserve">Adds: </w:t>
      </w:r>
      <w:r>
        <w:t xml:space="preserve">a unified revenue view across every income stream, compliance registers (incidents, complaints, restrictive practices, staff training matrix), client alerts, and pre-filled forms generated from the master record.</w:t>
      </w:r>
    </w:p>
    <w:p>
      <w:pPr>
        <w:pStyle w:val="Heading1"/>
        <w:spacing w:after="140" w:before="320"/>
      </w:pPr>
      <w:r>
        <w:rPr>
          <w:color w:val="1F4E79"/>
        </w:rPr>
        <w:t xml:space="preserve">One spine for every income stream</w:t>
      </w:r>
    </w:p>
    <w:p>
      <w:pPr>
        <w:spacing w:after="120" w:line="276"/>
      </w:pPr>
      <w:r>
        <w:t xml:space="preserve">Every stream runs through the same pipeline: client → service agreement → funding source → scheduled service → delivery evidence → billing. The billing route is decided automatically by how each dollar is funded: agency-managed NDIS funding becomes a claim (through Brevity once its setup is complete; via PRODA bulk upload until then); plan-managed funding becomes a Xero invoice to the plan manager; self-managed, private and business customers are invoiced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60"/>
              <w:left w:type="dxa" w:w="100"/>
              <w:bottom w:type="dxa" w:w="60"/>
              <w:right w:type="dxa" w:w="100"/>
            </w:tcMar>
          </w:tcPr>
          <w:p>
            <w:pPr>
              <w:spacing w:after="0" w:line="260"/>
            </w:pPr>
            <w:r>
              <w:rPr>
                <w:b/>
                <w:bCs/>
                <w:color w:val="FFFFFF"/>
                <w:sz w:val="20"/>
                <w:szCs w:val="20"/>
              </w:rPr>
              <w:t xml:space="preserve">Stream</w:t>
            </w:r>
          </w:p>
        </w:tc>
        <w:tc>
          <w:tcPr>
            <w:tcW w:type="dxa" w:w="6760"/>
            <w:shd w:fill="1F4E79" w:val="clear"/>
            <w:tcMar>
              <w:top w:type="dxa" w:w="60"/>
              <w:left w:type="dxa" w:w="100"/>
              <w:bottom w:type="dxa" w:w="60"/>
              <w:right w:type="dxa" w:w="100"/>
            </w:tcMar>
          </w:tcPr>
          <w:p>
            <w:pPr>
              <w:spacing w:after="0" w:line="260"/>
            </w:pPr>
            <w:r>
              <w:rPr>
                <w:b/>
                <w:bCs/>
                <w:color w:val="FFFFFF"/>
                <w:sz w:val="20"/>
                <w:szCs w:val="20"/>
              </w:rPr>
              <w:t xml:space="preserve">How ODIP manages it</w:t>
            </w:r>
          </w:p>
        </w:tc>
      </w:tr>
      <w:tr>
        <w:tc>
          <w:tcPr>
            <w:tcW w:type="dxa" w:w="2600"/>
            <w:tcMar>
              <w:top w:type="dxa" w:w="60"/>
              <w:left w:type="dxa" w:w="100"/>
              <w:bottom w:type="dxa" w:w="60"/>
              <w:right w:type="dxa" w:w="100"/>
            </w:tcMar>
          </w:tcPr>
          <w:p>
            <w:pPr>
              <w:spacing w:after="0" w:line="260"/>
            </w:pPr>
            <w:r>
              <w:rPr>
                <w:b/>
                <w:bCs/>
                <w:sz w:val="20"/>
                <w:szCs w:val="20"/>
              </w:rPr>
              <w:t xml:space="preserve">Holidays — scheduled &amp; one-off</w:t>
            </w:r>
          </w:p>
        </w:tc>
        <w:tc>
          <w:tcPr>
            <w:tcW w:type="dxa" w:w="6760"/>
            <w:tcMar>
              <w:top w:type="dxa" w:w="60"/>
              <w:left w:type="dxa" w:w="100"/>
              <w:bottom w:type="dxa" w:w="60"/>
              <w:right w:type="dxa" w:w="100"/>
            </w:tcMar>
          </w:tcPr>
          <w:p>
            <w:pPr>
              <w:spacing w:after="0" w:line="260"/>
            </w:pPr>
            <w:r>
              <w:rPr>
                <w:b w:val="false"/>
                <w:bCs w:val="false"/>
                <w:sz w:val="20"/>
                <w:szCs w:val="20"/>
              </w:rPr>
              <w:t xml:space="preserve">Trip templates, quotes, traveller bookings, itineraries with activity instructions, staffing ratios and overnight support, vehicles, accommodation, pick-up and medication handover, contingency plans. Each traveller’s booking splits cleanly into self-funded, NDIS support hours, transport and STA components — quoted up front, reconciled after the trip.</w:t>
            </w:r>
          </w:p>
        </w:tc>
      </w:tr>
      <w:tr>
        <w:tc>
          <w:tcPr>
            <w:tcW w:type="dxa" w:w="2600"/>
            <w:tcMar>
              <w:top w:type="dxa" w:w="60"/>
              <w:left w:type="dxa" w:w="100"/>
              <w:bottom w:type="dxa" w:w="60"/>
              <w:right w:type="dxa" w:w="100"/>
            </w:tcMar>
          </w:tcPr>
          <w:p>
            <w:pPr>
              <w:spacing w:after="0" w:line="260"/>
            </w:pPr>
            <w:r>
              <w:rPr>
                <w:b/>
                <w:bCs/>
                <w:sz w:val="20"/>
                <w:szCs w:val="20"/>
              </w:rPr>
              <w:t xml:space="preserve">Community access &amp; capacity building</w:t>
            </w:r>
          </w:p>
        </w:tc>
        <w:tc>
          <w:tcPr>
            <w:tcW w:type="dxa" w:w="6760"/>
            <w:tcMar>
              <w:top w:type="dxa" w:w="60"/>
              <w:left w:type="dxa" w:w="100"/>
              <w:bottom w:type="dxa" w:w="60"/>
              <w:right w:type="dxa" w:w="100"/>
            </w:tcMar>
          </w:tcPr>
          <w:p>
            <w:pPr>
              <w:spacing w:after="0" w:line="260"/>
            </w:pPr>
            <w:r>
              <w:rPr>
                <w:b w:val="false"/>
                <w:bCs w:val="false"/>
                <w:sz w:val="20"/>
                <w:szCs w:val="20"/>
              </w:rPr>
              <w:t xml:space="preserve">Service agreements with schedules of supports, recurring rosters, mobile shift notes linked to goals, budget utilisation tracking, claims fed from actually delivered hours.</w:t>
            </w:r>
          </w:p>
        </w:tc>
      </w:tr>
      <w:tr>
        <w:tc>
          <w:tcPr>
            <w:tcW w:type="dxa" w:w="2600"/>
            <w:tcMar>
              <w:top w:type="dxa" w:w="60"/>
              <w:left w:type="dxa" w:w="100"/>
              <w:bottom w:type="dxa" w:w="60"/>
              <w:right w:type="dxa" w:w="100"/>
            </w:tcMar>
          </w:tcPr>
          <w:p>
            <w:pPr>
              <w:spacing w:after="0" w:line="260"/>
            </w:pPr>
            <w:r>
              <w:rPr>
                <w:b/>
                <w:bCs/>
                <w:sz w:val="20"/>
                <w:szCs w:val="20"/>
              </w:rPr>
              <w:t xml:space="preserve">In-home nursing</w:t>
            </w:r>
          </w:p>
        </w:tc>
        <w:tc>
          <w:tcPr>
            <w:tcW w:type="dxa" w:w="6760"/>
            <w:tcMar>
              <w:top w:type="dxa" w:w="60"/>
              <w:left w:type="dxa" w:w="100"/>
              <w:bottom w:type="dxa" w:w="60"/>
              <w:right w:type="dxa" w:w="100"/>
            </w:tcMar>
          </w:tcPr>
          <w:p>
            <w:pPr>
              <w:spacing w:after="0" w:line="260"/>
            </w:pPr>
            <w:r>
              <w:rPr>
                <w:b w:val="false"/>
                <w:bCs w:val="false"/>
                <w:sz w:val="20"/>
                <w:szCs w:val="20"/>
              </w:rPr>
              <w:t xml:space="preserve">Client, agreement, funding and billing mastered in ODIP; scheduling and clinical notes stay in Splose (synced) while this stream matures.</w:t>
            </w:r>
          </w:p>
        </w:tc>
      </w:tr>
      <w:tr>
        <w:tc>
          <w:tcPr>
            <w:tcW w:type="dxa" w:w="2600"/>
            <w:tcMar>
              <w:top w:type="dxa" w:w="60"/>
              <w:left w:type="dxa" w:w="100"/>
              <w:bottom w:type="dxa" w:w="60"/>
              <w:right w:type="dxa" w:w="100"/>
            </w:tcMar>
          </w:tcPr>
          <w:p>
            <w:pPr>
              <w:spacing w:after="0" w:line="260"/>
            </w:pPr>
            <w:r>
              <w:rPr>
                <w:b/>
                <w:bCs/>
                <w:sz w:val="20"/>
                <w:szCs w:val="20"/>
              </w:rPr>
              <w:t xml:space="preserve">Training (all payer types)</w:t>
            </w:r>
          </w:p>
        </w:tc>
        <w:tc>
          <w:tcPr>
            <w:tcW w:type="dxa" w:w="6760"/>
            <w:tcMar>
              <w:top w:type="dxa" w:w="60"/>
              <w:left w:type="dxa" w:w="100"/>
              <w:bottom w:type="dxa" w:w="60"/>
              <w:right w:type="dxa" w:w="100"/>
            </w:tcMar>
          </w:tcPr>
          <w:p>
            <w:pPr>
              <w:spacing w:after="0" w:line="260"/>
            </w:pPr>
            <w:r>
              <w:rPr>
                <w:b w:val="false"/>
                <w:bCs w:val="false"/>
                <w:sz w:val="20"/>
                <w:szCs w:val="20"/>
              </w:rPr>
              <w:t xml:space="preserve">Course catalogue, sessions, enrolments where every attendee can have a different payer — other organisations, participant NDIS funding, families, or internal staff. Certificates with expiry dates flow into the staff training matrix.</w:t>
            </w:r>
          </w:p>
        </w:tc>
      </w:tr>
      <w:tr>
        <w:tc>
          <w:tcPr>
            <w:tcW w:type="dxa" w:w="2600"/>
            <w:tcMar>
              <w:top w:type="dxa" w:w="60"/>
              <w:left w:type="dxa" w:w="100"/>
              <w:bottom w:type="dxa" w:w="60"/>
              <w:right w:type="dxa" w:w="100"/>
            </w:tcMar>
          </w:tcPr>
          <w:p>
            <w:pPr>
              <w:spacing w:after="0" w:line="260"/>
            </w:pPr>
            <w:r>
              <w:rPr>
                <w:b/>
                <w:bCs/>
                <w:sz w:val="20"/>
                <w:szCs w:val="20"/>
              </w:rPr>
              <w:t xml:space="preserve">Positive behaviour support</w:t>
            </w:r>
          </w:p>
        </w:tc>
        <w:tc>
          <w:tcPr>
            <w:tcW w:type="dxa" w:w="6760"/>
            <w:tcMar>
              <w:top w:type="dxa" w:w="60"/>
              <w:left w:type="dxa" w:w="100"/>
              <w:bottom w:type="dxa" w:w="60"/>
              <w:right w:type="dxa" w:w="100"/>
            </w:tcMar>
          </w:tcPr>
          <w:p>
            <w:pPr>
              <w:spacing w:after="0" w:line="260"/>
            </w:pPr>
            <w:r>
              <w:rPr>
                <w:b w:val="false"/>
                <w:bCs w:val="false"/>
                <w:sz w:val="20"/>
                <w:szCs w:val="20"/>
              </w:rPr>
              <w:t xml:space="preserve">Practitioner caseload, behaviour support plan register with review dates, links to restrictive practices and incidents, practitioner time billing.</w:t>
            </w:r>
          </w:p>
        </w:tc>
      </w:tr>
      <w:tr>
        <w:tc>
          <w:tcPr>
            <w:tcW w:type="dxa" w:w="2600"/>
            <w:tcMar>
              <w:top w:type="dxa" w:w="60"/>
              <w:left w:type="dxa" w:w="100"/>
              <w:bottom w:type="dxa" w:w="60"/>
              <w:right w:type="dxa" w:w="100"/>
            </w:tcMar>
          </w:tcPr>
          <w:p>
            <w:pPr>
              <w:spacing w:after="0" w:line="260"/>
            </w:pPr>
            <w:r>
              <w:rPr>
                <w:b/>
                <w:bCs/>
                <w:sz w:val="20"/>
                <w:szCs w:val="20"/>
              </w:rPr>
              <w:t xml:space="preserve">Short term accommodation</w:t>
            </w:r>
          </w:p>
        </w:tc>
        <w:tc>
          <w:tcPr>
            <w:tcW w:type="dxa" w:w="6760"/>
            <w:tcMar>
              <w:top w:type="dxa" w:w="60"/>
              <w:left w:type="dxa" w:w="100"/>
              <w:bottom w:type="dxa" w:w="60"/>
              <w:right w:type="dxa" w:w="100"/>
            </w:tcMar>
          </w:tcPr>
          <w:p>
            <w:pPr>
              <w:spacing w:after="0" w:line="260"/>
            </w:pPr>
            <w:r>
              <w:rPr>
                <w:b w:val="false"/>
                <w:bCs w:val="false"/>
                <w:sz w:val="20"/>
                <w:szCs w:val="20"/>
              </w:rPr>
              <w:t xml:space="preserve">Standalone respite stays with per-night claiming, staffing and the same funding engine as trips.</w:t>
            </w:r>
          </w:p>
        </w:tc>
      </w:tr>
      <w:tr>
        <w:tc>
          <w:tcPr>
            <w:tcW w:type="dxa" w:w="2600"/>
            <w:tcMar>
              <w:top w:type="dxa" w:w="60"/>
              <w:left w:type="dxa" w:w="100"/>
              <w:bottom w:type="dxa" w:w="60"/>
              <w:right w:type="dxa" w:w="100"/>
            </w:tcMar>
          </w:tcPr>
          <w:p>
            <w:pPr>
              <w:spacing w:after="0" w:line="260"/>
            </w:pPr>
            <w:r>
              <w:rPr>
                <w:b/>
                <w:bCs/>
                <w:sz w:val="20"/>
                <w:szCs w:val="20"/>
              </w:rPr>
              <w:t xml:space="preserve">SIL (planned)</w:t>
            </w:r>
          </w:p>
        </w:tc>
        <w:tc>
          <w:tcPr>
            <w:tcW w:type="dxa" w:w="6760"/>
            <w:tcMar>
              <w:top w:type="dxa" w:w="60"/>
              <w:left w:type="dxa" w:w="100"/>
              <w:bottom w:type="dxa" w:w="60"/>
              <w:right w:type="dxa" w:w="100"/>
            </w:tcMar>
          </w:tcPr>
          <w:p>
            <w:pPr>
              <w:spacing w:after="0" w:line="260"/>
            </w:pPr>
            <w:r>
              <w:rPr>
                <w:b w:val="false"/>
                <w:bCs w:val="false"/>
                <w:sz w:val="20"/>
                <w:szCs w:val="20"/>
              </w:rPr>
              <w:t xml:space="preserve">Not built yet — but rostering and funding are being designed so 24/7 rosters of care and shared supports fit without rework.</w:t>
            </w:r>
          </w:p>
        </w:tc>
      </w:tr>
      <w:tr>
        <w:tc>
          <w:tcPr>
            <w:tcW w:type="dxa" w:w="2600"/>
            <w:tcMar>
              <w:top w:type="dxa" w:w="60"/>
              <w:left w:type="dxa" w:w="100"/>
              <w:bottom w:type="dxa" w:w="60"/>
              <w:right w:type="dxa" w:w="100"/>
            </w:tcMar>
          </w:tcPr>
          <w:p>
            <w:pPr>
              <w:spacing w:after="0" w:line="260"/>
            </w:pPr>
            <w:r>
              <w:rPr>
                <w:b/>
                <w:bCs/>
                <w:sz w:val="20"/>
                <w:szCs w:val="20"/>
              </w:rPr>
              <w:t xml:space="preserve">White-label &amp; consulting</w:t>
            </w:r>
          </w:p>
        </w:tc>
        <w:tc>
          <w:tcPr>
            <w:tcW w:type="dxa" w:w="6760"/>
            <w:tcMar>
              <w:top w:type="dxa" w:w="60"/>
              <w:left w:type="dxa" w:w="100"/>
              <w:bottom w:type="dxa" w:w="60"/>
              <w:right w:type="dxa" w:w="100"/>
            </w:tcMar>
          </w:tcPr>
          <w:p>
            <w:pPr>
              <w:spacing w:after="0" w:line="260"/>
            </w:pPr>
            <w:r>
              <w:rPr>
                <w:b w:val="false"/>
                <w:bCs w:val="false"/>
                <w:sz w:val="20"/>
                <w:szCs w:val="20"/>
              </w:rPr>
              <w:t xml:space="preserve">Light sales pipeline plus clean, exportable document packs generated by the same forms engine that runs Oassist’s own paperwork. The platform stays multi-tenant so offering it to other providers remains possible later.</w:t>
            </w:r>
          </w:p>
        </w:tc>
      </w:tr>
    </w:tbl>
    <w:p>
      <w:r>
        <w:br w:type="page"/>
      </w:r>
    </w:p>
    <w:p>
      <w:pPr>
        <w:pStyle w:val="Heading1"/>
        <w:spacing w:after="140" w:before="320"/>
      </w:pPr>
      <w:r>
        <w:rPr>
          <w:color w:val="1F4E79"/>
        </w:rPr>
        <w:t xml:space="preserve">What changes day to day</w:t>
      </w:r>
    </w:p>
    <w:p>
      <w:pPr>
        <w:pStyle w:val="ListParagraph"/>
        <w:numPr>
          <w:ilvl w:val="0"/>
          <w:numId w:val="2"/>
        </w:numPr>
        <w:spacing w:after="60" w:line="276"/>
      </w:pPr>
      <w:r>
        <w:rPr>
          <w:b/>
          <w:bCs/>
        </w:rPr>
        <w:t xml:space="preserve">Office/admin: </w:t>
      </w:r>
      <w:r>
        <w:t xml:space="preserve">one client record with alerts front and centre; agreements, plan dates and expiring documents chased by the system; claims and invoices generated from work actually delivered, not assembled by hand.</w:t>
      </w:r>
    </w:p>
    <w:p>
      <w:pPr>
        <w:pStyle w:val="ListParagraph"/>
        <w:numPr>
          <w:ilvl w:val="0"/>
          <w:numId w:val="2"/>
        </w:numPr>
        <w:spacing w:after="60" w:line="276"/>
      </w:pPr>
      <w:r>
        <w:rPr>
          <w:b/>
          <w:bCs/>
        </w:rPr>
        <w:t xml:space="preserve">Coordinators: </w:t>
      </w:r>
      <w:r>
        <w:t xml:space="preserve">one roster covering ordinary shifts and trips, so nobody is double-booked; compliance checks stop a non-cleared or untrained worker being rostered onto the wrong client.</w:t>
      </w:r>
    </w:p>
    <w:p>
      <w:pPr>
        <w:pStyle w:val="ListParagraph"/>
        <w:numPr>
          <w:ilvl w:val="0"/>
          <w:numId w:val="2"/>
        </w:numPr>
        <w:spacing w:after="60" w:line="276"/>
      </w:pPr>
      <w:r>
        <w:rPr>
          <w:b/>
          <w:bCs/>
        </w:rPr>
        <w:t xml:space="preserve">Field staff: </w:t>
      </w:r>
      <w:r>
        <w:t xml:space="preserve">a mobile view of their shifts and trips with the client summary, alerts and activity instructions; shift notes and incident capture on the spot, designed to cope with patchy coverage away on trips.</w:t>
      </w:r>
    </w:p>
    <w:p>
      <w:pPr>
        <w:pStyle w:val="ListParagraph"/>
        <w:numPr>
          <w:ilvl w:val="0"/>
          <w:numId w:val="2"/>
        </w:numPr>
        <w:spacing w:after="60" w:line="276"/>
      </w:pPr>
      <w:r>
        <w:rPr>
          <w:b/>
          <w:bCs/>
        </w:rPr>
        <w:t xml:space="preserve">Nurses: </w:t>
      </w:r>
      <w:r>
        <w:t xml:space="preserve">visit schedules and clinical alerts, with clinical records access-controlled to clinical roles.</w:t>
      </w:r>
    </w:p>
    <w:p>
      <w:pPr>
        <w:pStyle w:val="ListParagraph"/>
        <w:numPr>
          <w:ilvl w:val="0"/>
          <w:numId w:val="2"/>
        </w:numPr>
        <w:spacing w:after="60" w:line="276"/>
      </w:pPr>
      <w:r>
        <w:rPr>
          <w:b/>
          <w:bCs/>
        </w:rPr>
        <w:t xml:space="preserve">The owner: </w:t>
      </w:r>
      <w:r>
        <w:t xml:space="preserve">a live revenue dashboard across every stream — quoted, booked, delivered, billed, paid — plus compliance registers that are audit-ready rather than assembled before an audit.</w:t>
      </w:r>
    </w:p>
    <w:p>
      <w:pPr>
        <w:pStyle w:val="Heading1"/>
        <w:spacing w:after="140" w:before="320"/>
      </w:pPr>
      <w:r>
        <w:rPr>
          <w:color w:val="1F4E79"/>
        </w:rPr>
        <w:t xml:space="preserve">Build approach</w:t>
      </w:r>
    </w:p>
    <w:p>
      <w:pPr>
        <w:spacing w:after="120" w:line="276"/>
      </w:pPr>
      <w:r>
        <w:t xml:space="preserve">ODIP will be built by forking the TripCore codebase (modern web application, PostgreSQL database, hosted in Australia), designed and maintained by John. It will be delivered in phases, each of which goes into real use before the next begins — no big-bang switchover.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60"/>
              <w:left w:type="dxa" w:w="100"/>
              <w:bottom w:type="dxa" w:w="60"/>
              <w:right w:type="dxa" w:w="100"/>
            </w:tcMar>
          </w:tcPr>
          <w:p>
            <w:pPr>
              <w:spacing w:after="0" w:line="260"/>
            </w:pPr>
            <w:r>
              <w:rPr>
                <w:b/>
                <w:bCs/>
                <w:color w:val="FFFFFF"/>
                <w:sz w:val="20"/>
                <w:szCs w:val="20"/>
              </w:rPr>
              <w:t xml:space="preserve">Phase</w:t>
            </w:r>
          </w:p>
        </w:tc>
        <w:tc>
          <w:tcPr>
            <w:tcW w:type="dxa" w:w="6760"/>
            <w:shd w:fill="1F4E79" w:val="clear"/>
            <w:tcMar>
              <w:top w:type="dxa" w:w="60"/>
              <w:left w:type="dxa" w:w="100"/>
              <w:bottom w:type="dxa" w:w="60"/>
              <w:right w:type="dxa" w:w="100"/>
            </w:tcMar>
          </w:tcPr>
          <w:p>
            <w:pPr>
              <w:spacing w:after="0" w:line="260"/>
            </w:pPr>
            <w:r>
              <w:rPr>
                <w:b/>
                <w:bCs/>
                <w:color w:val="FFFFFF"/>
                <w:sz w:val="20"/>
                <w:szCs w:val="20"/>
              </w:rPr>
              <w:t xml:space="preserve">Delivers</w:t>
            </w:r>
          </w:p>
        </w:tc>
      </w:tr>
      <w:tr>
        <w:tc>
          <w:tcPr>
            <w:tcW w:type="dxa" w:w="2600"/>
            <w:tcMar>
              <w:top w:type="dxa" w:w="60"/>
              <w:left w:type="dxa" w:w="100"/>
              <w:bottom w:type="dxa" w:w="60"/>
              <w:right w:type="dxa" w:w="100"/>
            </w:tcMar>
          </w:tcPr>
          <w:p>
            <w:pPr>
              <w:spacing w:after="0" w:line="260"/>
            </w:pPr>
            <w:r>
              <w:rPr>
                <w:b/>
                <w:bCs/>
                <w:sz w:val="20"/>
                <w:szCs w:val="20"/>
              </w:rPr>
              <w:t xml:space="preserve">0 — Discovery close-out</w:t>
            </w:r>
          </w:p>
        </w:tc>
        <w:tc>
          <w:tcPr>
            <w:tcW w:type="dxa" w:w="6760"/>
            <w:tcMar>
              <w:top w:type="dxa" w:w="60"/>
              <w:left w:type="dxa" w:w="100"/>
              <w:bottom w:type="dxa" w:w="60"/>
              <w:right w:type="dxa" w:w="100"/>
            </w:tcMar>
          </w:tcPr>
          <w:p>
            <w:pPr>
              <w:spacing w:after="0" w:line="260"/>
            </w:pPr>
            <w:r>
              <w:rPr>
                <w:b w:val="false"/>
                <w:bCs w:val="false"/>
                <w:sz w:val="20"/>
                <w:szCs w:val="20"/>
              </w:rPr>
              <w:t xml:space="preserve">Review of the Practice Manual and Policies &amp; Processes; inventory of every operational spreadsheet; confirmation of Brevity, Employment Hero and Splose integration options; technical foundations.</w:t>
            </w:r>
          </w:p>
        </w:tc>
      </w:tr>
      <w:tr>
        <w:tc>
          <w:tcPr>
            <w:tcW w:type="dxa" w:w="2600"/>
            <w:tcMar>
              <w:top w:type="dxa" w:w="60"/>
              <w:left w:type="dxa" w:w="100"/>
              <w:bottom w:type="dxa" w:w="60"/>
              <w:right w:type="dxa" w:w="100"/>
            </w:tcMar>
          </w:tcPr>
          <w:p>
            <w:pPr>
              <w:spacing w:after="0" w:line="260"/>
            </w:pPr>
            <w:r>
              <w:rPr>
                <w:b/>
                <w:bCs/>
                <w:sz w:val="20"/>
                <w:szCs w:val="20"/>
              </w:rPr>
              <w:t xml:space="preserve">1 — People &amp; forms</w:t>
            </w:r>
          </w:p>
        </w:tc>
        <w:tc>
          <w:tcPr>
            <w:tcW w:type="dxa" w:w="6760"/>
            <w:tcMar>
              <w:top w:type="dxa" w:w="60"/>
              <w:left w:type="dxa" w:w="100"/>
              <w:bottom w:type="dxa" w:w="60"/>
              <w:right w:type="dxa" w:w="100"/>
            </w:tcMar>
          </w:tcPr>
          <w:p>
            <w:pPr>
              <w:spacing w:after="0" w:line="260"/>
            </w:pPr>
            <w:r>
              <w:rPr>
                <w:b w:val="false"/>
                <w:bCs w:val="false"/>
                <w:sz w:val="20"/>
                <w:szCs w:val="20"/>
              </w:rPr>
              <w:t xml:space="preserve">Client master records with alerts, staff records with compliance matrix, forms pre-filled from the master record. Data migrated from spreadsheets.</w:t>
            </w:r>
          </w:p>
        </w:tc>
      </w:tr>
      <w:tr>
        <w:tc>
          <w:tcPr>
            <w:tcW w:type="dxa" w:w="2600"/>
            <w:tcMar>
              <w:top w:type="dxa" w:w="60"/>
              <w:left w:type="dxa" w:w="100"/>
              <w:bottom w:type="dxa" w:w="60"/>
              <w:right w:type="dxa" w:w="100"/>
            </w:tcMar>
          </w:tcPr>
          <w:p>
            <w:pPr>
              <w:spacing w:after="0" w:line="260"/>
            </w:pPr>
            <w:r>
              <w:rPr>
                <w:b/>
                <w:bCs/>
                <w:sz w:val="20"/>
                <w:szCs w:val="20"/>
              </w:rPr>
              <w:t xml:space="preserve">2 — Trips</w:t>
            </w:r>
          </w:p>
        </w:tc>
        <w:tc>
          <w:tcPr>
            <w:tcW w:type="dxa" w:w="6760"/>
            <w:tcMar>
              <w:top w:type="dxa" w:w="60"/>
              <w:left w:type="dxa" w:w="100"/>
              <w:bottom w:type="dxa" w:w="60"/>
              <w:right w:type="dxa" w:w="100"/>
            </w:tcMar>
          </w:tcPr>
          <w:p>
            <w:pPr>
              <w:spacing w:after="0" w:line="260"/>
            </w:pPr>
            <w:r>
              <w:rPr>
                <w:b w:val="false"/>
                <w:bCs w:val="false"/>
                <w:sz w:val="20"/>
                <w:szCs w:val="20"/>
              </w:rPr>
              <w:t xml:space="preserve">Full trip and STA operations in ODIP; tour-booking system retired.</w:t>
            </w:r>
          </w:p>
        </w:tc>
      </w:tr>
      <w:tr>
        <w:tc>
          <w:tcPr>
            <w:tcW w:type="dxa" w:w="2600"/>
            <w:tcMar>
              <w:top w:type="dxa" w:w="60"/>
              <w:left w:type="dxa" w:w="100"/>
              <w:bottom w:type="dxa" w:w="60"/>
              <w:right w:type="dxa" w:w="100"/>
            </w:tcMar>
          </w:tcPr>
          <w:p>
            <w:pPr>
              <w:spacing w:after="0" w:line="260"/>
            </w:pPr>
            <w:r>
              <w:rPr>
                <w:b/>
                <w:bCs/>
                <w:sz w:val="20"/>
                <w:szCs w:val="20"/>
              </w:rPr>
              <w:t xml:space="preserve">3 — Money</w:t>
            </w:r>
          </w:p>
        </w:tc>
        <w:tc>
          <w:tcPr>
            <w:tcW w:type="dxa" w:w="6760"/>
            <w:tcMar>
              <w:top w:type="dxa" w:w="60"/>
              <w:left w:type="dxa" w:w="100"/>
              <w:bottom w:type="dxa" w:w="60"/>
              <w:right w:type="dxa" w:w="100"/>
            </w:tcMar>
          </w:tcPr>
          <w:p>
            <w:pPr>
              <w:spacing w:after="0" w:line="260"/>
            </w:pPr>
            <w:r>
              <w:rPr>
                <w:b w:val="false"/>
                <w:bCs w:val="false"/>
                <w:sz w:val="20"/>
                <w:szCs w:val="20"/>
              </w:rPr>
              <w:t xml:space="preserve">Agreements, funding tracking and the billing engine; Xero connected; PRODA claim files generated; Brevity sync begins; the all-streams revenue dashboard.</w:t>
            </w:r>
          </w:p>
        </w:tc>
      </w:tr>
      <w:tr>
        <w:tc>
          <w:tcPr>
            <w:tcW w:type="dxa" w:w="2600"/>
            <w:tcMar>
              <w:top w:type="dxa" w:w="60"/>
              <w:left w:type="dxa" w:w="100"/>
              <w:bottom w:type="dxa" w:w="60"/>
              <w:right w:type="dxa" w:w="100"/>
            </w:tcMar>
          </w:tcPr>
          <w:p>
            <w:pPr>
              <w:spacing w:after="0" w:line="260"/>
            </w:pPr>
            <w:r>
              <w:rPr>
                <w:b/>
                <w:bCs/>
                <w:sz w:val="20"/>
                <w:szCs w:val="20"/>
              </w:rPr>
              <w:t xml:space="preserve">4 — Rostering &amp; field</w:t>
            </w:r>
          </w:p>
        </w:tc>
        <w:tc>
          <w:tcPr>
            <w:tcW w:type="dxa" w:w="6760"/>
            <w:tcMar>
              <w:top w:type="dxa" w:w="60"/>
              <w:left w:type="dxa" w:w="100"/>
              <w:bottom w:type="dxa" w:w="60"/>
              <w:right w:type="dxa" w:w="100"/>
            </w:tcMar>
          </w:tcPr>
          <w:p>
            <w:pPr>
              <w:spacing w:after="0" w:line="260"/>
            </w:pPr>
            <w:r>
              <w:rPr>
                <w:b w:val="false"/>
                <w:bCs w:val="false"/>
                <w:sz w:val="20"/>
                <w:szCs w:val="20"/>
              </w:rPr>
              <w:t xml:space="preserve">ODIP becomes the roster master; timesheets to Employment Hero; mobile shift notes.</w:t>
            </w:r>
          </w:p>
        </w:tc>
      </w:tr>
      <w:tr>
        <w:tc>
          <w:tcPr>
            <w:tcW w:type="dxa" w:w="2600"/>
            <w:tcMar>
              <w:top w:type="dxa" w:w="60"/>
              <w:left w:type="dxa" w:w="100"/>
              <w:bottom w:type="dxa" w:w="60"/>
              <w:right w:type="dxa" w:w="100"/>
            </w:tcMar>
          </w:tcPr>
          <w:p>
            <w:pPr>
              <w:spacing w:after="0" w:line="260"/>
            </w:pPr>
            <w:r>
              <w:rPr>
                <w:b/>
                <w:bCs/>
                <w:sz w:val="20"/>
                <w:szCs w:val="20"/>
              </w:rPr>
              <w:t xml:space="preserve">5 — Compliance</w:t>
            </w:r>
          </w:p>
        </w:tc>
        <w:tc>
          <w:tcPr>
            <w:tcW w:type="dxa" w:w="6760"/>
            <w:tcMar>
              <w:top w:type="dxa" w:w="60"/>
              <w:left w:type="dxa" w:w="100"/>
              <w:bottom w:type="dxa" w:w="60"/>
              <w:right w:type="dxa" w:w="100"/>
            </w:tcMar>
          </w:tcPr>
          <w:p>
            <w:pPr>
              <w:spacing w:after="0" w:line="260"/>
            </w:pPr>
            <w:r>
              <w:rPr>
                <w:b w:val="false"/>
                <w:bCs w:val="false"/>
                <w:sz w:val="20"/>
                <w:szCs w:val="20"/>
              </w:rPr>
              <w:t xml:space="preserve">Incident, complaint and restrictive practice registers with reporting deadline tracking.</w:t>
            </w:r>
          </w:p>
        </w:tc>
      </w:tr>
      <w:tr>
        <w:tc>
          <w:tcPr>
            <w:tcW w:type="dxa" w:w="2600"/>
            <w:tcMar>
              <w:top w:type="dxa" w:w="60"/>
              <w:left w:type="dxa" w:w="100"/>
              <w:bottom w:type="dxa" w:w="60"/>
              <w:right w:type="dxa" w:w="100"/>
            </w:tcMar>
          </w:tcPr>
          <w:p>
            <w:pPr>
              <w:spacing w:after="0" w:line="260"/>
            </w:pPr>
            <w:r>
              <w:rPr>
                <w:b/>
                <w:bCs/>
                <w:sz w:val="20"/>
                <w:szCs w:val="20"/>
              </w:rPr>
              <w:t xml:space="preserve">6 — Streams build-out</w:t>
            </w:r>
          </w:p>
        </w:tc>
        <w:tc>
          <w:tcPr>
            <w:tcW w:type="dxa" w:w="6760"/>
            <w:tcMar>
              <w:top w:type="dxa" w:w="60"/>
              <w:left w:type="dxa" w:w="100"/>
              <w:bottom w:type="dxa" w:w="60"/>
              <w:right w:type="dxa" w:w="100"/>
            </w:tcMar>
          </w:tcPr>
          <w:p>
            <w:pPr>
              <w:spacing w:after="0" w:line="260"/>
            </w:pPr>
            <w:r>
              <w:rPr>
                <w:b w:val="false"/>
                <w:bCs w:val="false"/>
                <w:sz w:val="20"/>
                <w:szCs w:val="20"/>
              </w:rPr>
              <w:t xml:space="preserve">Training module, clinical/PBS thin-slice with Splose sync, trip cost tracking via Budgetly and Linxio.</w:t>
            </w:r>
          </w:p>
        </w:tc>
      </w:tr>
      <w:tr>
        <w:tc>
          <w:tcPr>
            <w:tcW w:type="dxa" w:w="2600"/>
            <w:tcMar>
              <w:top w:type="dxa" w:w="60"/>
              <w:left w:type="dxa" w:w="100"/>
              <w:bottom w:type="dxa" w:w="60"/>
              <w:right w:type="dxa" w:w="100"/>
            </w:tcMar>
          </w:tcPr>
          <w:p>
            <w:pPr>
              <w:spacing w:after="0" w:line="260"/>
            </w:pPr>
            <w:r>
              <w:rPr>
                <w:b/>
                <w:bCs/>
                <w:sz w:val="20"/>
                <w:szCs w:val="20"/>
              </w:rPr>
              <w:t xml:space="preserve">7 — Horizon</w:t>
            </w:r>
          </w:p>
        </w:tc>
        <w:tc>
          <w:tcPr>
            <w:tcW w:type="dxa" w:w="6760"/>
            <w:tcMar>
              <w:top w:type="dxa" w:w="60"/>
              <w:left w:type="dxa" w:w="100"/>
              <w:bottom w:type="dxa" w:w="60"/>
              <w:right w:type="dxa" w:w="100"/>
            </w:tcMar>
          </w:tcPr>
          <w:p>
            <w:pPr>
              <w:spacing w:after="0" w:line="260"/>
            </w:pPr>
            <w:r>
              <w:rPr>
                <w:b w:val="false"/>
                <w:bCs w:val="false"/>
                <w:sz w:val="20"/>
                <w:szCs w:val="20"/>
              </w:rPr>
              <w:t xml:space="preserve">SIL module when the stream is ready; white-label packaging; optional family portal.</w:t>
            </w:r>
          </w:p>
        </w:tc>
      </w:tr>
    </w:tbl>
    <w:p>
      <w:pPr>
        <w:pStyle w:val="Heading2"/>
        <w:spacing w:after="100" w:before="240"/>
      </w:pPr>
      <w:r>
        <w:rPr>
          <w:color w:val="1F4E79"/>
        </w:rPr>
        <w:t xml:space="preserve">Key decisions already made</w:t>
      </w:r>
    </w:p>
    <w:p>
      <w:pPr>
        <w:pStyle w:val="ListParagraph"/>
        <w:numPr>
          <w:ilvl w:val="0"/>
          <w:numId w:val="2"/>
        </w:numPr>
        <w:spacing w:after="60" w:line="276"/>
      </w:pPr>
      <w:r>
        <w:t xml:space="preserve">Custom web application; ODIP is the master record, entered once, pushed everywhere.</w:t>
      </w:r>
    </w:p>
    <w:p>
      <w:pPr>
        <w:pStyle w:val="ListParagraph"/>
        <w:numPr>
          <w:ilvl w:val="0"/>
          <w:numId w:val="2"/>
        </w:numPr>
        <w:spacing w:after="60" w:line="276"/>
      </w:pPr>
      <w:r>
        <w:t xml:space="preserve">Brevity stays for NDIS claiming and is fed by ODIP; Brevity sync is the first integration priority.</w:t>
      </w:r>
    </w:p>
    <w:p>
      <w:pPr>
        <w:pStyle w:val="ListParagraph"/>
        <w:numPr>
          <w:ilvl w:val="0"/>
          <w:numId w:val="2"/>
        </w:numPr>
        <w:spacing w:after="60" w:line="276"/>
      </w:pPr>
      <w:r>
        <w:t xml:space="preserve">ODIP replaces the tour-booking system and masters all rostering.</w:t>
      </w:r>
    </w:p>
    <w:p>
      <w:pPr>
        <w:pStyle w:val="ListParagraph"/>
        <w:numPr>
          <w:ilvl w:val="0"/>
          <w:numId w:val="2"/>
        </w:numPr>
        <w:spacing w:after="60" w:line="276"/>
      </w:pPr>
      <w:r>
        <w:t xml:space="preserve">Compliance (incidents, complaints, restrictive practices, staff training matrix, client alerts) lives inside ODIP.</w:t>
      </w:r>
    </w:p>
    <w:p>
      <w:pPr>
        <w:pStyle w:val="ListParagraph"/>
        <w:numPr>
          <w:ilvl w:val="0"/>
          <w:numId w:val="2"/>
        </w:numPr>
        <w:spacing w:after="60" w:line="276"/>
      </w:pPr>
      <w:r>
        <w:t xml:space="preserve">Built for 50–150 participants, 25–75 staff, 10–30 trips a year, with headroom.</w:t>
      </w:r>
    </w:p>
    <w:p>
      <w:pPr>
        <w:pStyle w:val="Heading2"/>
        <w:spacing w:after="100" w:before="240"/>
      </w:pPr>
      <w:r>
        <w:rPr>
          <w:color w:val="1F4E79"/>
        </w:rPr>
        <w:t xml:space="preserve">What we need next</w:t>
      </w:r>
    </w:p>
    <w:p>
      <w:pPr>
        <w:pStyle w:val="ListParagraph"/>
        <w:numPr>
          <w:ilvl w:val="0"/>
          <w:numId w:val="2"/>
        </w:numPr>
        <w:spacing w:after="60" w:line="276"/>
      </w:pPr>
      <w:r>
        <w:t xml:space="preserve">Confirmation from Brevity about API availability — none is mentioned in any internal documentation.</w:t>
      </w:r>
    </w:p>
    <w:p>
      <w:pPr>
        <w:pStyle w:val="ListParagraph"/>
        <w:numPr>
          <w:ilvl w:val="0"/>
          <w:numId w:val="2"/>
        </w:numPr>
        <w:spacing w:after="60" w:line="276"/>
      </w:pPr>
      <w:r>
        <w:t xml:space="preserve">Confirmation that the spreadsheet inventory (Booking Form, Rosters, registers, training log) is complete.</w:t>
      </w:r>
    </w:p>
    <w:p>
      <w:pPr>
        <w:pStyle w:val="ListParagraph"/>
        <w:numPr>
          <w:ilvl w:val="0"/>
          <w:numId w:val="2"/>
        </w:numPr>
        <w:spacing w:after="60" w:line="276"/>
      </w:pPr>
      <w:r>
        <w:t xml:space="preserve">Employment Hero tier and API access confirmation for timesheet import.</w:t>
      </w:r>
    </w:p>
    <w:p>
      <w:pPr>
        <w:pStyle w:val="ListParagraph"/>
        <w:numPr>
          <w:ilvl w:val="0"/>
          <w:numId w:val="2"/>
        </w:numPr>
        <w:spacing w:after="60" w:line="276"/>
      </w:pPr>
      <w:r>
        <w:t xml:space="preserve">A worked example of one real trip traveller’s funding split (self-funded / support hours / transport / STA) to validate the billing design.</w:t>
      </w:r>
    </w:p>
    <w:p>
      <w:pPr>
        <w:spacing w:before="200"/>
      </w:pPr>
      <w:r>
        <w:t xml:space="preserve">The full technical plan — architecture, data model, module specifications, integration designs and open questions — accompanies this document as a set of working papers.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Oassist — ODIP Platform Plan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2026-08-02T03:58:02.004Z</dcterms:created>
  <dcterms:modified xsi:type="dcterms:W3CDTF">2026-08-02T03:58:02.004Z</dcterms:modified>
</cp:coreProperties>
</file>

<file path=docProps/custom.xml><?xml version="1.0" encoding="utf-8"?>
<Properties xmlns="http://schemas.openxmlformats.org/officeDocument/2006/custom-properties" xmlns:vt="http://schemas.openxmlformats.org/officeDocument/2006/docPropsVTypes"/>
</file>