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ODIP Service Agreement — Blank Draft</w:t>
      </w:r>
    </w:p>
    <w:p>
      <w:pPr>
        <w:jc w:val="center"/>
      </w:pPr>
      <w:r>
        <w:t>Prepared in Melbourne — 27 September 2026</w:t>
      </w:r>
    </w:p>
    <w:p>
      <w:pPr>
        <w:jc w:val="center"/>
      </w:pPr>
      <w:r>
        <w:rPr>
          <w:b/>
          <w:color w:val="A00000"/>
        </w:rPr>
        <w:t>DRAFT — NOT FOR SIGNING OR LIVE USE — LEGAL REVIEW REQUIRED</w:t>
      </w:r>
    </w:p>
    <w:p>
      <w:pPr>
        <w:pStyle w:val="IntenseQuote"/>
      </w:pPr>
      <w:r>
        <w:t>Plain-English drafting template for legal review. All square-bracketed fields require confirmation before any use.</w:t>
      </w:r>
    </w:p>
    <w:p>
      <w:pPr>
        <w:pStyle w:val="Heading1"/>
      </w:pPr>
      <w:r>
        <w:t>1. Draft status and use</w:t>
      </w:r>
    </w:p>
    <w:p>
      <w:r>
        <w:t>This is a blank draft prepared for legal review. It is not an offer, a live service agreement, legal advice, or evidence of consent. It must not be signed or used to deliver, roster, claim, invoice, or charge for supports.</w:t>
      </w:r>
    </w:p>
    <w:p>
      <w:r>
        <w:t>Before any use, the provider must obtain legal review and insert approved provider details, policies, pricing, notice periods, complaint contact details and any terms required for the particular arrangement.</w:t>
      </w:r>
    </w:p>
    <w:p>
      <w:pPr>
        <w:pStyle w:val="Heading1"/>
      </w:pPr>
      <w:r>
        <w:t>2. Parties and authority</w:t>
      </w:r>
    </w:p>
    <w:p>
      <w:r>
        <w:t>Participant: [PARTICIPANT FULL NAME]   NDIS number (if needed for the arrangement): [NDIS NUMBER / NOT RECORDED HERE]</w:t>
      </w:r>
    </w:p>
    <w:p>
      <w:r>
        <w:t>Participant contact details: [PREFERRED CONTACT METHOD / CONTACT DETAILS]</w:t>
      </w:r>
    </w:p>
    <w:p>
      <w:r>
        <w:t>Nominee or legally authorised representative (if any): [NAME]. Authority and scope: [NOMINEE / GUARDIAN / POWER / OTHER AUTHORITY TO BE CONFIRMED]. Evidence checked or held: [YES / NO / NOT APPLICABLE — REVIEW PROCESS].</w:t>
      </w:r>
    </w:p>
    <w:p>
      <w:r>
        <w:t>Provider legal entity: [LEGAL ENTITY NAME]. Trading name (if any): [TRADING NAME]. ABN: [ABN]. NDIS registration status, if relevant: [STATUS / REGISTRATION NUMBER / NOT APPLICABLE]. Provider contact and notices address: [DETAILS].</w:t>
      </w:r>
    </w:p>
    <w:p>
      <w:r>
        <w:t>The participant may involve a support person, advocate, support coordinator, recovery coach, nominee or representative of their choice, subject to the participant’s directions and applicable authority.</w:t>
      </w:r>
    </w:p>
    <w:p>
      <w:pPr>
        <w:pStyle w:val="Heading1"/>
      </w:pPr>
      <w:r>
        <w:t>3. Purpose, term and review</w:t>
      </w:r>
    </w:p>
    <w:p>
      <w:r>
        <w:t>The parties propose to record the supports the provider may deliver, how they will be arranged, and how proposed costs will be communicated. The agreement begins on [START DATE] and is proposed to end on [END DATE], unless changed or ended under an approved final version.</w:t>
      </w:r>
    </w:p>
    <w:p>
      <w:r>
        <w:t>Review date or cadence: [REVIEW DATE / FREQUENCY]. Review sooner if the participant asks, needs or goals change, a plan changes, risks or delivery arrangements change, or either party gives notice under an approved policy.</w:t>
      </w:r>
    </w:p>
    <w:p>
      <w:r>
        <w:t>This draft uses the 2026–27 NDIS schedule only as a development reference. Rates, catalogue items, price limits, GST treatment and claiming rules must be checked against the applicable official source and version before any live use.</w:t>
      </w:r>
    </w:p>
    <w:p>
      <w:pPr>
        <w:pStyle w:val="Heading1"/>
      </w:pPr>
      <w:r>
        <w:t>4. Communication, access and goals</w:t>
      </w:r>
    </w:p>
    <w:p>
      <w:r>
        <w:t>Preferred language, communication method and accessible format: [DETAILS]. Interpreter, communication aid, support person or reasonable adjustment requested: [DETAILS].</w:t>
      </w:r>
    </w:p>
    <w:p>
      <w:r>
        <w:t>Participant goals or outcomes relevant to these supports: [GOALS / OUTCOMES]. What matters to the participant in how supports are delivered: [PREFERENCES, CULTURAL, ACCESS OR OTHER REQUIREMENTS].</w:t>
      </w:r>
    </w:p>
    <w:p>
      <w:r>
        <w:t>The provider will explain proposed arrangements in a way the participant is likely to understand and provide a copy in an accessible format where reasonably practicable and agreed.</w:t>
      </w:r>
    </w:p>
    <w:p>
      <w:pPr>
        <w:pStyle w:val="Heading1"/>
      </w:pPr>
      <w:r>
        <w:t>5. Proposed schedule of supports</w:t>
      </w:r>
    </w:p>
    <w:p>
      <w:r>
        <w:t>The table below is a proposed schedule, not a live roster, booking, quote, invoice authority or billing instruction. Add, remove or separate rows for different support types, NDIS codes, locations, states or territories, ratios, dates and funding routes. “1:1 community access” is only an example description; it is not a default service or charge.</w:t>
      </w:r>
    </w:p>
    <w:tbl>
      <w:tblPr>
        <w:tblStyle w:val="TableGrid"/>
        <w:tblW w:type="auto" w:w="0"/>
        <w:jc w:val="center"/>
        <w:tblLook w:firstColumn="1" w:firstRow="1" w:lastColumn="0" w:lastRow="0" w:noHBand="0" w:noVBand="1" w:val="04A0"/>
      </w:tblPr>
      <w:tblGrid>
        <w:gridCol w:w="958"/>
        <w:gridCol w:w="958"/>
        <w:gridCol w:w="958"/>
        <w:gridCol w:w="958"/>
        <w:gridCol w:w="958"/>
        <w:gridCol w:w="958"/>
        <w:gridCol w:w="958"/>
        <w:gridCol w:w="958"/>
        <w:gridCol w:w="958"/>
        <w:gridCol w:w="958"/>
        <w:gridCol w:w="958"/>
      </w:tblGrid>
      <w:tr>
        <w:tc>
          <w:tcPr>
            <w:tcW w:type="dxa" w:w="958"/>
            <w:vAlign w:val="center"/>
            <w:shd w:fill="D9EAF7"/>
          </w:tcPr>
          <w:p>
            <w:r/>
            <w:r>
              <w:rPr>
                <w:b/>
                <w:sz w:val="14"/>
              </w:rPr>
              <w:t>Support description</w:t>
            </w:r>
          </w:p>
        </w:tc>
        <w:tc>
          <w:tcPr>
            <w:tcW w:type="dxa" w:w="958"/>
            <w:vAlign w:val="center"/>
            <w:shd w:fill="D9EAF7"/>
          </w:tcPr>
          <w:p>
            <w:r/>
            <w:r>
              <w:rPr>
                <w:b/>
                <w:sz w:val="14"/>
              </w:rPr>
              <w:t>NDIS code</w:t>
            </w:r>
          </w:p>
        </w:tc>
        <w:tc>
          <w:tcPr>
            <w:tcW w:type="dxa" w:w="958"/>
            <w:vAlign w:val="center"/>
            <w:shd w:fill="D9EAF7"/>
          </w:tcPr>
          <w:p>
            <w:r/>
            <w:r>
              <w:rPr>
                <w:b/>
                <w:sz w:val="14"/>
              </w:rPr>
              <w:t>Ratio / intensity</w:t>
            </w:r>
          </w:p>
        </w:tc>
        <w:tc>
          <w:tcPr>
            <w:tcW w:type="dxa" w:w="958"/>
            <w:vAlign w:val="center"/>
            <w:shd w:fill="D9EAF7"/>
          </w:tcPr>
          <w:p>
            <w:r/>
            <w:r>
              <w:rPr>
                <w:b/>
                <w:sz w:val="14"/>
              </w:rPr>
              <w:t>State / territory</w:t>
            </w:r>
          </w:p>
        </w:tc>
        <w:tc>
          <w:tcPr>
            <w:tcW w:type="dxa" w:w="958"/>
            <w:vAlign w:val="center"/>
            <w:shd w:fill="D9EAF7"/>
          </w:tcPr>
          <w:p>
            <w:r/>
            <w:r>
              <w:rPr>
                <w:b/>
                <w:sz w:val="14"/>
              </w:rPr>
              <w:t>Location</w:t>
            </w:r>
          </w:p>
        </w:tc>
        <w:tc>
          <w:tcPr>
            <w:tcW w:type="dxa" w:w="958"/>
            <w:vAlign w:val="center"/>
            <w:shd w:fill="D9EAF7"/>
          </w:tcPr>
          <w:p>
            <w:r/>
            <w:r>
              <w:rPr>
                <w:b/>
                <w:sz w:val="14"/>
              </w:rPr>
              <w:t>Dates / day / time / frequency</w:t>
            </w:r>
          </w:p>
        </w:tc>
        <w:tc>
          <w:tcPr>
            <w:tcW w:type="dxa" w:w="958"/>
            <w:vAlign w:val="center"/>
            <w:shd w:fill="D9EAF7"/>
          </w:tcPr>
          <w:p>
            <w:r/>
            <w:r>
              <w:rPr>
                <w:b/>
                <w:sz w:val="14"/>
              </w:rPr>
              <w:t>Unit / hourly rate</w:t>
            </w:r>
          </w:p>
        </w:tc>
        <w:tc>
          <w:tcPr>
            <w:tcW w:type="dxa" w:w="958"/>
            <w:vAlign w:val="center"/>
            <w:shd w:fill="D9EAF7"/>
          </w:tcPr>
          <w:p>
            <w:r/>
            <w:r>
              <w:rPr>
                <w:b/>
                <w:sz w:val="14"/>
              </w:rPr>
              <w:t>Expected quantity</w:t>
            </w:r>
          </w:p>
        </w:tc>
        <w:tc>
          <w:tcPr>
            <w:tcW w:type="dxa" w:w="958"/>
            <w:vAlign w:val="center"/>
            <w:shd w:fill="D9EAF7"/>
          </w:tcPr>
          <w:p>
            <w:r/>
            <w:r>
              <w:rPr>
                <w:b/>
                <w:sz w:val="14"/>
              </w:rPr>
              <w:t>Estimated amount</w:t>
            </w:r>
          </w:p>
        </w:tc>
        <w:tc>
          <w:tcPr>
            <w:tcW w:type="dxa" w:w="958"/>
            <w:vAlign w:val="center"/>
            <w:shd w:fill="D9EAF7"/>
          </w:tcPr>
          <w:p>
            <w:r/>
            <w:r>
              <w:rPr>
                <w:b/>
                <w:sz w:val="14"/>
              </w:rPr>
              <w:t>Funding / payment route</w:t>
            </w:r>
          </w:p>
        </w:tc>
        <w:tc>
          <w:tcPr>
            <w:tcW w:type="dxa" w:w="958"/>
            <w:vAlign w:val="center"/>
            <w:shd w:fill="D9EAF7"/>
          </w:tcPr>
          <w:p>
            <w:r/>
            <w:r>
              <w:rPr>
                <w:b/>
                <w:sz w:val="14"/>
              </w:rPr>
              <w:t>Pricing source / version</w:t>
            </w:r>
          </w:p>
        </w:tc>
      </w:tr>
      <w:tr>
        <w:tc>
          <w:tcPr>
            <w:tcW w:type="dxa" w:w="958"/>
            <w:vAlign w:val="center"/>
          </w:tcPr>
          <w:p>
            <w:r/>
            <w:r>
              <w:rPr>
                <w:b w:val="0"/>
                <w:sz w:val="14"/>
              </w:rPr>
              <w:t>[e.g., 1:1 community access — example only]</w:t>
            </w:r>
          </w:p>
        </w:tc>
        <w:tc>
          <w:tcPr>
            <w:tcW w:type="dxa" w:w="958"/>
            <w:vAlign w:val="center"/>
          </w:tcPr>
          <w:p>
            <w:r/>
            <w:r>
              <w:rPr>
                <w:b w:val="0"/>
                <w:sz w:val="14"/>
              </w:rPr>
              <w:t>[CODE]</w:t>
            </w:r>
          </w:p>
        </w:tc>
        <w:tc>
          <w:tcPr>
            <w:tcW w:type="dxa" w:w="958"/>
            <w:vAlign w:val="center"/>
          </w:tcPr>
          <w:p>
            <w:r/>
            <w:r>
              <w:rPr>
                <w:b w:val="0"/>
                <w:sz w:val="14"/>
              </w:rPr>
              <w:t>[RATIO]</w:t>
            </w:r>
          </w:p>
        </w:tc>
        <w:tc>
          <w:tcPr>
            <w:tcW w:type="dxa" w:w="958"/>
            <w:vAlign w:val="center"/>
          </w:tcPr>
          <w:p>
            <w:r/>
            <w:r>
              <w:rPr>
                <w:b w:val="0"/>
                <w:sz w:val="14"/>
              </w:rPr>
              <w:t>[STATE/TERRITORY]</w:t>
            </w:r>
          </w:p>
        </w:tc>
        <w:tc>
          <w:tcPr>
            <w:tcW w:type="dxa" w:w="958"/>
            <w:vAlign w:val="center"/>
          </w:tcPr>
          <w:p>
            <w:r/>
            <w:r>
              <w:rPr>
                <w:b w:val="0"/>
                <w:sz w:val="14"/>
              </w:rPr>
              <w:t>[LOCATION]</w:t>
            </w:r>
          </w:p>
        </w:tc>
        <w:tc>
          <w:tcPr>
            <w:tcW w:type="dxa" w:w="958"/>
            <w:vAlign w:val="center"/>
          </w:tcPr>
          <w:p>
            <w:r/>
            <w:r>
              <w:rPr>
                <w:b w:val="0"/>
                <w:sz w:val="14"/>
              </w:rPr>
              <w:t>[DATES / TIMES / FREQUENCY]</w:t>
            </w:r>
          </w:p>
        </w:tc>
        <w:tc>
          <w:tcPr>
            <w:tcW w:type="dxa" w:w="958"/>
            <w:vAlign w:val="center"/>
          </w:tcPr>
          <w:p>
            <w:r/>
            <w:r>
              <w:rPr>
                <w:b w:val="0"/>
                <w:sz w:val="14"/>
              </w:rPr>
              <w:t>[RATE]</w:t>
            </w:r>
          </w:p>
        </w:tc>
        <w:tc>
          <w:tcPr>
            <w:tcW w:type="dxa" w:w="958"/>
            <w:vAlign w:val="center"/>
          </w:tcPr>
          <w:p>
            <w:r/>
            <w:r>
              <w:rPr>
                <w:b w:val="0"/>
                <w:sz w:val="14"/>
              </w:rPr>
              <w:t>[QTY]</w:t>
            </w:r>
          </w:p>
        </w:tc>
        <w:tc>
          <w:tcPr>
            <w:tcW w:type="dxa" w:w="958"/>
            <w:vAlign w:val="center"/>
          </w:tcPr>
          <w:p>
            <w:r/>
            <w:r>
              <w:rPr>
                <w:b w:val="0"/>
                <w:sz w:val="14"/>
              </w:rPr>
              <w:t>[ESTIMATE]</w:t>
            </w:r>
          </w:p>
        </w:tc>
        <w:tc>
          <w:tcPr>
            <w:tcW w:type="dxa" w:w="958"/>
            <w:vAlign w:val="center"/>
          </w:tcPr>
          <w:p>
            <w:r/>
            <w:r>
              <w:rPr>
                <w:b w:val="0"/>
                <w:sz w:val="14"/>
              </w:rPr>
              <w:t>[ROUTE]</w:t>
            </w:r>
          </w:p>
        </w:tc>
        <w:tc>
          <w:tcPr>
            <w:tcW w:type="dxa" w:w="958"/>
            <w:vAlign w:val="center"/>
          </w:tcPr>
          <w:p>
            <w:r/>
            <w:r>
              <w:rPr>
                <w:b w:val="0"/>
                <w:sz w:val="14"/>
              </w:rPr>
              <w:t>[OFFICIAL SOURCE / VERSION]</w:t>
            </w:r>
          </w:p>
        </w:tc>
      </w:tr>
      <w:tr>
        <w:tc>
          <w:tcPr>
            <w:tcW w:type="dxa" w:w="958"/>
            <w:vAlign w:val="center"/>
          </w:tcPr>
          <w:p>
            <w:r/>
            <w:r>
              <w:rPr>
                <w:b w:val="0"/>
                <w:sz w:val="14"/>
              </w:rPr>
              <w:t>[SUPPORT]</w:t>
            </w:r>
          </w:p>
        </w:tc>
        <w:tc>
          <w:tcPr>
            <w:tcW w:type="dxa" w:w="958"/>
            <w:vAlign w:val="center"/>
          </w:tcPr>
          <w:p>
            <w:r/>
            <w:r>
              <w:rPr>
                <w:b w:val="0"/>
                <w:sz w:val="14"/>
              </w:rPr>
              <w:t>[CODE]</w:t>
            </w:r>
          </w:p>
        </w:tc>
        <w:tc>
          <w:tcPr>
            <w:tcW w:type="dxa" w:w="958"/>
            <w:vAlign w:val="center"/>
          </w:tcPr>
          <w:p>
            <w:r/>
            <w:r>
              <w:rPr>
                <w:b w:val="0"/>
                <w:sz w:val="14"/>
              </w:rPr>
              <w:t>[RATIO]</w:t>
            </w:r>
          </w:p>
        </w:tc>
        <w:tc>
          <w:tcPr>
            <w:tcW w:type="dxa" w:w="958"/>
            <w:vAlign w:val="center"/>
          </w:tcPr>
          <w:p>
            <w:r/>
            <w:r>
              <w:rPr>
                <w:b w:val="0"/>
                <w:sz w:val="14"/>
              </w:rPr>
              <w:t>[STATE/TERRITORY]</w:t>
            </w:r>
          </w:p>
        </w:tc>
        <w:tc>
          <w:tcPr>
            <w:tcW w:type="dxa" w:w="958"/>
            <w:vAlign w:val="center"/>
          </w:tcPr>
          <w:p>
            <w:r/>
            <w:r>
              <w:rPr>
                <w:b w:val="0"/>
                <w:sz w:val="14"/>
              </w:rPr>
              <w:t>[LOCATION]</w:t>
            </w:r>
          </w:p>
        </w:tc>
        <w:tc>
          <w:tcPr>
            <w:tcW w:type="dxa" w:w="958"/>
            <w:vAlign w:val="center"/>
          </w:tcPr>
          <w:p>
            <w:r/>
            <w:r>
              <w:rPr>
                <w:b w:val="0"/>
                <w:sz w:val="14"/>
              </w:rPr>
              <w:t>[DATES / TIMES / FREQUENCY]</w:t>
            </w:r>
          </w:p>
        </w:tc>
        <w:tc>
          <w:tcPr>
            <w:tcW w:type="dxa" w:w="958"/>
            <w:vAlign w:val="center"/>
          </w:tcPr>
          <w:p>
            <w:r/>
            <w:r>
              <w:rPr>
                <w:b w:val="0"/>
                <w:sz w:val="14"/>
              </w:rPr>
              <w:t>[RATE]</w:t>
            </w:r>
          </w:p>
        </w:tc>
        <w:tc>
          <w:tcPr>
            <w:tcW w:type="dxa" w:w="958"/>
            <w:vAlign w:val="center"/>
          </w:tcPr>
          <w:p>
            <w:r/>
            <w:r>
              <w:rPr>
                <w:b w:val="0"/>
                <w:sz w:val="14"/>
              </w:rPr>
              <w:t>[QTY]</w:t>
            </w:r>
          </w:p>
        </w:tc>
        <w:tc>
          <w:tcPr>
            <w:tcW w:type="dxa" w:w="958"/>
            <w:vAlign w:val="center"/>
          </w:tcPr>
          <w:p>
            <w:r/>
            <w:r>
              <w:rPr>
                <w:b w:val="0"/>
                <w:sz w:val="14"/>
              </w:rPr>
              <w:t>[ESTIMATE]</w:t>
            </w:r>
          </w:p>
        </w:tc>
        <w:tc>
          <w:tcPr>
            <w:tcW w:type="dxa" w:w="958"/>
            <w:vAlign w:val="center"/>
          </w:tcPr>
          <w:p>
            <w:r/>
            <w:r>
              <w:rPr>
                <w:b w:val="0"/>
                <w:sz w:val="14"/>
              </w:rPr>
              <w:t>[ROUTE]</w:t>
            </w:r>
          </w:p>
        </w:tc>
        <w:tc>
          <w:tcPr>
            <w:tcW w:type="dxa" w:w="958"/>
            <w:vAlign w:val="center"/>
          </w:tcPr>
          <w:p>
            <w:r/>
            <w:r>
              <w:rPr>
                <w:b w:val="0"/>
                <w:sz w:val="14"/>
              </w:rPr>
              <w:t>[OFFICIAL SOURCE / VERSION]</w:t>
            </w:r>
          </w:p>
        </w:tc>
      </w:tr>
      <w:tr>
        <w:tc>
          <w:tcPr>
            <w:tcW w:type="dxa" w:w="958"/>
            <w:vAlign w:val="center"/>
          </w:tcPr>
          <w:p>
            <w:r/>
            <w:r>
              <w:rPr>
                <w:b w:val="0"/>
                <w:sz w:val="14"/>
              </w:rPr>
              <w:t>[SUPPORT]</w:t>
            </w:r>
          </w:p>
        </w:tc>
        <w:tc>
          <w:tcPr>
            <w:tcW w:type="dxa" w:w="958"/>
            <w:vAlign w:val="center"/>
          </w:tcPr>
          <w:p>
            <w:r/>
            <w:r>
              <w:rPr>
                <w:b w:val="0"/>
                <w:sz w:val="14"/>
              </w:rPr>
              <w:t>[CODE]</w:t>
            </w:r>
          </w:p>
        </w:tc>
        <w:tc>
          <w:tcPr>
            <w:tcW w:type="dxa" w:w="958"/>
            <w:vAlign w:val="center"/>
          </w:tcPr>
          <w:p>
            <w:r/>
            <w:r>
              <w:rPr>
                <w:b w:val="0"/>
                <w:sz w:val="14"/>
              </w:rPr>
              <w:t>[RATIO]</w:t>
            </w:r>
          </w:p>
        </w:tc>
        <w:tc>
          <w:tcPr>
            <w:tcW w:type="dxa" w:w="958"/>
            <w:vAlign w:val="center"/>
          </w:tcPr>
          <w:p>
            <w:r/>
            <w:r>
              <w:rPr>
                <w:b w:val="0"/>
                <w:sz w:val="14"/>
              </w:rPr>
              <w:t>[STATE/TERRITORY]</w:t>
            </w:r>
          </w:p>
        </w:tc>
        <w:tc>
          <w:tcPr>
            <w:tcW w:type="dxa" w:w="958"/>
            <w:vAlign w:val="center"/>
          </w:tcPr>
          <w:p>
            <w:r/>
            <w:r>
              <w:rPr>
                <w:b w:val="0"/>
                <w:sz w:val="14"/>
              </w:rPr>
              <w:t>[LOCATION]</w:t>
            </w:r>
          </w:p>
        </w:tc>
        <w:tc>
          <w:tcPr>
            <w:tcW w:type="dxa" w:w="958"/>
            <w:vAlign w:val="center"/>
          </w:tcPr>
          <w:p>
            <w:r/>
            <w:r>
              <w:rPr>
                <w:b w:val="0"/>
                <w:sz w:val="14"/>
              </w:rPr>
              <w:t>[DATES / TIMES / FREQUENCY]</w:t>
            </w:r>
          </w:p>
        </w:tc>
        <w:tc>
          <w:tcPr>
            <w:tcW w:type="dxa" w:w="958"/>
            <w:vAlign w:val="center"/>
          </w:tcPr>
          <w:p>
            <w:r/>
            <w:r>
              <w:rPr>
                <w:b w:val="0"/>
                <w:sz w:val="14"/>
              </w:rPr>
              <w:t>[RATE]</w:t>
            </w:r>
          </w:p>
        </w:tc>
        <w:tc>
          <w:tcPr>
            <w:tcW w:type="dxa" w:w="958"/>
            <w:vAlign w:val="center"/>
          </w:tcPr>
          <w:p>
            <w:r/>
            <w:r>
              <w:rPr>
                <w:b w:val="0"/>
                <w:sz w:val="14"/>
              </w:rPr>
              <w:t>[QTY]</w:t>
            </w:r>
          </w:p>
        </w:tc>
        <w:tc>
          <w:tcPr>
            <w:tcW w:type="dxa" w:w="958"/>
            <w:vAlign w:val="center"/>
          </w:tcPr>
          <w:p>
            <w:r/>
            <w:r>
              <w:rPr>
                <w:b w:val="0"/>
                <w:sz w:val="14"/>
              </w:rPr>
              <w:t>[ESTIMATE]</w:t>
            </w:r>
          </w:p>
        </w:tc>
        <w:tc>
          <w:tcPr>
            <w:tcW w:type="dxa" w:w="958"/>
            <w:vAlign w:val="center"/>
          </w:tcPr>
          <w:p>
            <w:r/>
            <w:r>
              <w:rPr>
                <w:b w:val="0"/>
                <w:sz w:val="14"/>
              </w:rPr>
              <w:t>[ROUTE]</w:t>
            </w:r>
          </w:p>
        </w:tc>
        <w:tc>
          <w:tcPr>
            <w:tcW w:type="dxa" w:w="958"/>
            <w:vAlign w:val="center"/>
          </w:tcPr>
          <w:p>
            <w:r/>
            <w:r>
              <w:rPr>
                <w:b w:val="0"/>
                <w:sz w:val="14"/>
              </w:rPr>
              <w:t>[OFFICIAL SOURCE / VERSION]</w:t>
            </w:r>
          </w:p>
        </w:tc>
      </w:tr>
    </w:tbl>
    <w:p>
      <w:r>
        <w:t>Schedule notes / proposed assumptions / exclusions: [DETAILS].</w:t>
      </w:r>
    </w:p>
    <w:p>
      <w:pPr>
        <w:pStyle w:val="Heading1"/>
      </w:pPr>
      <w:r>
        <w:t>6. Costs, travel, non-face-to-face work, transport and expenses</w:t>
      </w:r>
    </w:p>
    <w:p>
      <w:r>
        <w:t>No rate, code, quantity or charge is approved by this blank draft. Each proposed item must identify the applicable NDIS pricing source and version, and must be checked before live use. GST treatment must also be confirmed for the actual service.</w:t>
      </w:r>
    </w:p>
    <w:p>
      <w:r>
        <w:t>Travel, non-face-to-face work, transport and participant expenses must be separately described and agreed in writing before any charge, and must be consistent with applicable rules and the approved provider policy. Proposed basis, limits, notice and evidence: [REVIEW FIELDS].</w:t>
      </w:r>
    </w:p>
    <w:p>
      <w:r>
        <w:t>Additional expenses (for example entry fees, meals or tickets) are not assumed to be included. If an expense is proposed, record the purpose, estimated amount, who pays, approval method, receipts and cancellation/refund position: [REVIEW FIELDS].</w:t>
      </w:r>
    </w:p>
    <w:p>
      <w:pPr>
        <w:pStyle w:val="Heading1"/>
      </w:pPr>
      <w:r>
        <w:t>7. Funding and payment route</w:t>
      </w:r>
    </w:p>
    <w:p>
      <w:r>
        <w:t>Proposed funding management: [NDIA MANAGED / PLAN MANAGED / SELF MANAGED / OTHER]. Plan manager details, if applicable: [DETAILS]. Proposed claim, invoice and payment process: [APPROVED POLICY / DETAILS].</w:t>
      </w:r>
    </w:p>
    <w:p>
      <w:r>
        <w:t>This draft does not authorise a claim, debit, invoice, automatic payment, collection activity or use of plan funds. Any final agreement must state the approved payment terms and the participant’s chosen funding route.</w:t>
      </w:r>
    </w:p>
    <w:p>
      <w:pPr>
        <w:pStyle w:val="Heading1"/>
      </w:pPr>
      <w:r>
        <w:t>8. Consent, records and privacy</w:t>
      </w:r>
    </w:p>
    <w:p>
      <w:r>
        <w:t>The provider may only collect, use, disclose or retain information that is necessary for the agreed supports or otherwise permitted or required by law. Specific permissions must be discussed and recorded separately where needed; this draft is not blanket consent.</w:t>
      </w:r>
    </w:p>
    <w:p>
      <w:r>
        <w:t>Information sharing requested (who, what information, purpose, duration and withdrawal process): [REVIEW FIELDS]. Records access, correction and retention contact: [APPROVED PRIVACY POLICY / CONTACT].</w:t>
      </w:r>
    </w:p>
    <w:p>
      <w:pPr>
        <w:pStyle w:val="Heading1"/>
      </w:pPr>
      <w:r>
        <w:t>9. Rights and responsibilities</w:t>
      </w:r>
    </w:p>
    <w:p>
      <w:r>
        <w:t>The participant may ask questions, use an advocate or support person, receive information in an accessible way, raise concerns, request a review, and choose whether to continue with a provider, subject to arrangements needed for safe and orderly transition.</w:t>
      </w:r>
    </w:p>
    <w:p>
      <w:r>
        <w:t>The provider will communicate respectfully, work with the participant about their goals and preferences, explain proposed costs and changes, protect privacy, keep appropriate records, and tell the participant how concerns can be raised. These statements are drafting prompts and must be checked against the final provider policies and legal obligations.</w:t>
      </w:r>
    </w:p>
    <w:p>
      <w:r>
        <w:t>Participant responsibilities proposed for review: [FOR EXAMPLE: provide accurate booking information, tell the provider about relevant changes, treat workers respectfully, and raise safety concerns — FINAL WORDING / LIMITS TO BE APPROVED].</w:t>
      </w:r>
    </w:p>
    <w:p>
      <w:pPr>
        <w:pStyle w:val="Heading1"/>
      </w:pPr>
      <w:r>
        <w:t>10. Cancellations, changes and provider non-performance</w:t>
      </w:r>
    </w:p>
    <w:p>
      <w:r>
        <w:t>Cancellation, late change, provider cancellation, missed support, replacement worker, emergency contact, incident communication, fees, notice periods, exceptions and dispute steps: [APPROVED POLICY AND PLACEHOLDERS — DO NOT INSERT A FIXED PERIOD OR FEE UNTIL REVIEWED].</w:t>
      </w:r>
    </w:p>
    <w:p>
      <w:r>
        <w:t>If the provider cannot deliver an agreed support, proposed response and escalation process: [DETAILS]. This should include timely communication, options appropriate to the participant, and any transition or referral process that is lawful and agreed.</w:t>
      </w:r>
    </w:p>
    <w:p>
      <w:pPr>
        <w:pStyle w:val="Heading1"/>
      </w:pPr>
      <w:r>
        <w:t>11. Concerns, complaints and external options</w:t>
      </w:r>
    </w:p>
    <w:p>
      <w:r>
        <w:t>Provider concern / complaint contact: [NAME / ROLE / PHONE / EMAIL / POSTAL ADDRESS]. Response time, escalation and feedback process: [APPROVED COMPLAINTS POLICY].</w:t>
      </w:r>
    </w:p>
    <w:p>
      <w:r>
        <w:t>A participant may also seek independent advice, advocacy or use external complaint pathways. For NDIS-related complaints, the NDIS Quality and Safeguards Commission publishes information and contact options at https://www.ndiscommission.gov.au. This reference is informational only and does not replace tailored advice about the appropriate pathway.</w:t>
      </w:r>
    </w:p>
    <w:p>
      <w:pPr>
        <w:pStyle w:val="Heading1"/>
      </w:pPr>
      <w:r>
        <w:t>12. Variations, ending and transition</w:t>
      </w:r>
    </w:p>
    <w:p>
      <w:r>
        <w:t>Changes must be recorded in writing in the approved final process, including what changes, the effective date, any revised schedule and who agreed. A new schedule or agreement may be appropriate when supports, a provider or an NDIS plan changes.</w:t>
      </w:r>
    </w:p>
    <w:p>
      <w:r>
        <w:t>Proposed ending process, notice, exceptions, handover, records, outstanding approved payments and transition arrangements: [APPROVED POLICY / REVIEW FIELDS]. Nothing in this draft prevents a participant from seeking to change providers or obtain advice.</w:t>
      </w:r>
    </w:p>
    <w:p>
      <w:pPr>
        <w:pStyle w:val="Heading1"/>
      </w:pPr>
      <w:r>
        <w:t>13. Signatures — intentionally non-operative</w:t>
      </w:r>
    </w:p>
    <w:p>
      <w:r>
        <w:t>This signature page is included only for legal-review layout. It must remain marked DRAFT and must not be used to create a signed agreement until legal review is complete and the document is approved for live use.</w:t>
      </w:r>
    </w:p>
    <w:p>
      <w:r>
        <w:t>Participant, or legally authorised representative: [NAME]. Capacity / authority: [DETAILS]. Signature: [DO NOT SIGN — DRAFT]. Date: [DATE].</w:t>
      </w:r>
    </w:p>
    <w:p>
      <w:r>
        <w:t>Provider authorised representative: [NAME / POSITION]. Authority: [DETAILS]. Signature: [DO NOT SIGN — DRAFT]. Date: [DATE].</w:t>
      </w:r>
    </w:p>
    <w:p>
      <w:r>
        <w:t>A signature block does not by itself establish capacity, authority, informed understanding, consent, identity verification or acceptance. The final approved process must address those matters as applicable.</w:t>
      </w:r>
    </w:p>
    <w:p>
      <w:pPr>
        <w:pStyle w:val="Heading1"/>
      </w:pPr>
      <w:r>
        <w:t>Source and review note</w:t>
      </w:r>
    </w:p>
    <w:p>
      <w:r>
        <w:t>See README.md supplied with this draft for sources, date, limitations, review gates and unresolved policy fields. This document deliberately does not state that any term is universally required or that a provider is compliant.</w:t>
      </w:r>
    </w:p>
    <w:sectPr w:rsidR="00FC693F" w:rsidRPr="0006063C" w:rsidSect="00034616">
      <w:headerReference w:type="default" r:id="rId9"/>
      <w:footerReference w:type="default" r:id="rId10"/>
      <w:pgSz w:w="12240" w:h="15840"/>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A00000"/>
        <w:sz w:val="16"/>
      </w:rPr>
      <w:t>DRAFT — NOT FOR SIGNING OR LIVE USE — LEGAL REVIEW REQUIRED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A00000"/>
        <w:sz w:val="18"/>
      </w:rPr>
      <w:t>DRAFT — NOT FOR SIGNING OR LIVE USE — LEGAL REVIEW REQUIRED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