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Track 2 — Lay Report</w:t>
      </w:r>
    </w:p>
    <w:bookmarkStart w:id="53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(and we label it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e.-senolysis---the-mouse-to-child-gap"/>
    <w:p>
      <w:pPr>
        <w:pStyle w:val="Heading3"/>
      </w:pPr>
      <w:r>
        <w:t xml:space="preserve">5e. Senolysis - the mouse-to-child gap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49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pStyle w:val="FirstParagraph"/>
      </w:pPr>
      <w:r>
        <w:drawing>
          <wp:inline>
            <wp:extent cx="5334000" cy="5196205"/>
            <wp:effectExtent b="0" l="0" r="0" t="0"/>
            <wp:docPr descr="Figure 1 - where the second mutation sits" title="" id="44" name="Picture"/>
            <a:graphic>
              <a:graphicData uri="http://schemas.openxmlformats.org/drawingml/2006/picture">
                <pic:pic>
                  <pic:nvPicPr>
                    <pic:cNvPr descr="figures/F1_variant_structu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47" name="Picture"/>
            <a:graphic>
              <a:graphicData uri="http://schemas.openxmlformats.org/drawingml/2006/picture">
                <pic:pic>
                  <pic:nvPicPr>
                    <pic:cNvPr descr="figures/F2_BubR1_protein_m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49"/>
    <w:bookmarkStart w:id="50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0"/>
    <w:bookmarkStart w:id="51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1"/>
    <w:bookmarkStart w:id="52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2 — Lay Report</dc:title>
  <dc:creator/>
  <cp:keywords/>
  <dcterms:created xsi:type="dcterms:W3CDTF">2026-10-28T11:47:39Z</dcterms:created>
  <dcterms:modified xsi:type="dcterms:W3CDTF">2026-10-28T11:47:39Z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