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30.png" ContentType="image/png"/>
  <Override PartName="/word/media/rId2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MVA Track-2 Lay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in patient-derived cells have shown that the checkpoint works almost normally</w:t>
      </w:r>
      <w:r>
        <w:t xml:space="preserve"> </w:t>
      </w:r>
      <w:r>
        <w:t xml:space="preserve">when a person has roughly ~13% of the normal BubR1 level, and fails badly at ~6% [E04].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(Figure 5)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(honestly labeled,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removes the 46 building</w:t>
      </w:r>
      <w:r>
        <w:t xml:space="preserve"> </w:t>
      </w:r>
      <w:r>
        <w:t xml:space="preserve">blocks it encodes (the chain from position 716 through 761) and changes one neighbor</w:t>
      </w:r>
      <w:r>
        <w:t xml:space="preserve"> </w:t>
      </w:r>
      <w:r>
        <w:t xml:space="preserve">(position 715) - in scientific shorthand</w:t>
      </w:r>
      <w:r>
        <w:t xml:space="preserve"> </w:t>
      </w:r>
      <w:r>
        <w:t xml:space="preserve">“</w:t>
      </w:r>
      <w:r>
        <w:t xml:space="preserve">Δ716-761 + E715G</w:t>
      </w:r>
      <w:r>
        <w:t xml:space="preserve">”</w:t>
      </w:r>
      <w:r>
        <w:t xml:space="preserve"> </w:t>
      </w:r>
      <w:r>
        <w:t xml:space="preserve">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~16–22 % of normal levels - an estimate, not a measurement -</w:t>
      </w:r>
      <w:r>
        <w:t xml:space="preserve"> </w:t>
      </w:r>
      <w:r>
        <w:t xml:space="preserve">above the ~13 % competence line;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X2e4b598a872b3edf416436571c443486b528c25"/>
    <w:p>
      <w:pPr>
        <w:pStyle w:val="Heading3"/>
      </w:pPr>
      <w:r>
        <w:t xml:space="preserve">5e. Senolysis - the mouse-to-child gap, framed honestly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Δ716-761+E715G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on the 6 → 13 % competence</w:t>
      </w:r>
      <w:r>
        <w:rPr>
          <w:bCs/>
          <w:b/>
        </w:rPr>
        <w:t xml:space="preserve"> </w:t>
      </w:r>
      <w:r>
        <w:rPr>
          <w:bCs/>
          <w:b/>
        </w:rPr>
        <w:t xml:space="preserve">curve</w:t>
      </w:r>
      <w:r>
        <w:t xml:space="preserve">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 (Figure 5),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Δ716-761+E715G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52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figures/F1_N1002K_structure.png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5</w:t>
      </w:r>
      <w:r>
        <w:t xml:space="preserve"> </w:t>
      </w:r>
      <w:r>
        <w:t xml:space="preserve">- how the evidence was stress-tested (adversarial decay + verification):</w:t>
      </w:r>
    </w:p>
    <w:p>
      <w:pPr>
        <w:pStyle w:val="FirstParagraph"/>
      </w:pPr>
      <w:r>
        <w:drawing>
          <wp:inline>
            <wp:extent cx="5334000" cy="2083593"/>
            <wp:effectExtent b="0" l="0" r="0" t="0"/>
            <wp:docPr descr="Figure 5 - consensus stress-test" title="" id="44" name="Picture"/>
            <a:graphic>
              <a:graphicData uri="http://schemas.openxmlformats.org/drawingml/2006/picture">
                <pic:pic>
                  <pic:nvPicPr>
                    <pic:cNvPr descr="figures/F5_consensus_proce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Left: majors found per independent adversarial pass (the pre-declared stop rule</w:t>
      </w:r>
      <w:r>
        <w:rPr>
          <w:iCs/>
          <w:i/>
        </w:rPr>
        <w:t xml:space="preserve"> </w:t>
      </w:r>
      <w:r>
        <w:rPr>
          <w:iCs/>
          <w:i/>
        </w:rPr>
        <w:t xml:space="preserve">met at zero). Right: identifier verification per wave (all sampled sources resolve to real</w:t>
      </w:r>
      <w:r>
        <w:rPr>
          <w:iCs/>
          <w:i/>
        </w:rPr>
        <w:t xml:space="preserve"> </w:t>
      </w:r>
      <w:r>
        <w:rPr>
          <w:iCs/>
          <w:i/>
        </w:rPr>
        <w:t xml:space="preserve">papers). Source: evidence/WORKFLOW_CONSENSUS.md changelog.</w:t>
      </w:r>
    </w:p>
    <w:p>
      <w:pPr>
        <w:pStyle w:val="BodyText"/>
      </w:pPr>
      <w:r>
        <w:drawing>
          <wp:inline>
            <wp:extent cx="5334000" cy="5196205"/>
            <wp:effectExtent b="0" l="0" r="0" t="0"/>
            <wp:docPr descr="Figure 1 - where the second mutation sits" title="" id="47" name="Picture"/>
            <a:graphic>
              <a:graphicData uri="http://schemas.openxmlformats.org/drawingml/2006/picture">
                <pic:pic>
                  <pic:nvPicPr>
                    <pic:cNvPr descr="figures/F1_N1002K_stru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50" name="Picture"/>
            <a:graphic>
              <a:graphicData uri="http://schemas.openxmlformats.org/drawingml/2006/picture">
                <pic:pic>
                  <pic:nvPicPr>
                    <pic:cNvPr descr="figures/F2_BubR1_protein_ma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52"/>
    <w:bookmarkStart w:id="53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patient-cell checkpoint dose-response (~13 % competent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 (early termination for peripheral neuropathy, 85.7 % -</w:t>
      </w:r>
      <w:r>
        <w:t xml:space="preserve"> </w:t>
      </w:r>
      <w:r>
        <w:t xml:space="preserve">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wave2/3/4/5_ADVERSARIAL*.md):</w:t>
      </w:r>
      <w:r>
        <w:t xml:space="preserve"> </w:t>
      </w:r>
      <w:r>
        <w:t xml:space="preserve">3 waves, 19 memos, decay 8→2→2→0, 90/90 identifiers registry-verified (32+34+24 across the waves); P2/P3/PR fix tags, PR = lay-report review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E40-P2</w:t>
      </w:r>
      <w:r>
        <w:t xml:space="preserve"> </w:t>
      </w:r>
      <w:r>
        <w:t xml:space="preserve">wave2_ADVERSARIAL_REVIEW.md - the allele-non-specificity analysis + KARD</w:t>
      </w:r>
      <w:r>
        <w:t xml:space="preserve"> </w:t>
      </w:r>
      <w:r>
        <w:t xml:space="preserve">off-by-one caution (F1/F2) that made the ASO section honest.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E40-SD</w:t>
      </w:r>
      <w:r>
        <w:t xml:space="preserve"> </w:t>
      </w:r>
      <w:r>
        <w:t xml:space="preserve">evidence/SCOPE_DECISION.md - options, deterministic weighted matrix (O1 = 88.6,</w:t>
      </w:r>
      <w:r>
        <w:t xml:space="preserve"> </w:t>
      </w:r>
      <w:r>
        <w:t xml:space="preserve">rank-stable under ±20 % weight perturbations), decision log + revisit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E41</w:t>
      </w:r>
      <w:r>
        <w:t xml:space="preserve"> </w:t>
      </w:r>
      <w:r>
        <w:t xml:space="preserve">wave5_ADVERSARIAL_PASS4.md - final independent review returning zero majors</w:t>
      </w:r>
      <w:r>
        <w:t xml:space="preserve"> </w:t>
      </w:r>
      <w:r>
        <w:t xml:space="preserve">(closure document).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E44</w:t>
      </w:r>
      <w:r>
        <w:t xml:space="preserve"> </w:t>
      </w:r>
      <w:r>
        <w:t xml:space="preserve">Competition: challenge space https://huggingface.co/spaces/SageBio/rare-disease-real-kid-mva-hackathon-2026</w:t>
      </w:r>
      <w:r>
        <w:t xml:space="preserve"> </w:t>
      </w:r>
      <w:r>
        <w:t xml:space="preserve">&amp;&amp; dataset https://huggingface.co/datasets/SageBio/mva-hackathon-2026-data · submission</w:t>
      </w:r>
      <w:r>
        <w:t xml:space="preserve"> </w:t>
      </w:r>
      <w:r>
        <w:t xml:space="preserve">window 2026-08-24 → 2026-10-24, scite partnership terms (per organizer pages).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E44a</w:t>
      </w:r>
      <w:r>
        <w:t xml:space="preserve"> </w:t>
      </w:r>
      <w:r>
        <w:t xml:space="preserve">Assay #4 specification: evidence/TRACK2_ATTACK_MAP.md §Validation plan; construct details</w:t>
      </w:r>
      <w:r>
        <w:t xml:space="preserve"> </w:t>
      </w:r>
      <w:r>
        <w:t xml:space="preserve">Δ716-761 + E715G with KARD-boundary caution (wave3_ASOdeep.md §(a)).</w:t>
      </w:r>
    </w:p>
    <w:bookmarkEnd w:id="53"/>
    <w:bookmarkStart w:id="54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4"/>
    <w:bookmarkStart w:id="55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43" Target="media/rId43.png" /><Relationship Type="http://schemas.openxmlformats.org/officeDocument/2006/relationships/hyperlink" Id="rId41" Target="figures/F1_N1002K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N1002K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MVA Track-2 Lay Report</dc:title>
  <dc:creator/>
  <cp:keywords/>
  <dcterms:created xsi:type="dcterms:W3CDTF">2026-09-15T17:30:10Z</dcterms:created>
  <dcterms:modified xsi:type="dcterms:W3CDTF">2026-09-15T17:30:10Z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