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before="0" w:after="80"/>
        <w:jc w:val="center"/>
      </w:pPr>
      <w:r>
        <w:rPr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80"/>
        <w:jc w:val="center"/>
      </w:pPr>
      <w:r>
        <w:rPr>
          <w:b w:val="0"/>
          <w:i w:val="0"/>
          <w:sz w:val="24"/>
        </w:rPr>
        <w:t>«Чувашский государственный университет имени И. Н. Ульянова»</w:t>
      </w:r>
    </w:p>
    <w:p>
      <w:pPr>
        <w:spacing w:before="0" w:after="80"/>
        <w:jc w:val="center"/>
      </w:pPr>
      <w:r>
        <w:rPr>
          <w:b w:val="0"/>
          <w:i w:val="0"/>
          <w:sz w:val="24"/>
        </w:rPr>
        <w:t>Факультет информатики и вычислительной техники</w:t>
      </w:r>
    </w:p>
    <w:p>
      <w:pPr>
        <w:spacing w:before="0" w:after="80"/>
        <w:jc w:val="center"/>
      </w:pPr>
      <w:r>
        <w:rPr>
          <w:b w:val="0"/>
          <w:i w:val="0"/>
          <w:sz w:val="24"/>
        </w:rPr>
        <w:t>Кафедра информатики и вычислительной техники</w:t>
      </w:r>
    </w:p>
    <w:p>
      <w:pPr>
        <w:spacing w:before="0" w:after="1300"/>
      </w:pPr>
      <w:r>
        <w:rPr>
          <w:b w:val="0"/>
          <w:i w:val="0"/>
        </w:rPr>
      </w:r>
    </w:p>
    <w:p>
      <w:pPr>
        <w:spacing w:before="0" w:after="260"/>
        <w:jc w:val="center"/>
      </w:pPr>
      <w:r>
        <w:rPr>
          <w:b/>
          <w:i w:val="0"/>
          <w:sz w:val="34"/>
        </w:rPr>
        <w:t>ЛАБОРАТОРНАЯ РАБОТА № 3</w:t>
      </w:r>
    </w:p>
    <w:p>
      <w:pPr>
        <w:spacing w:before="0" w:after="360"/>
        <w:jc w:val="center"/>
      </w:pPr>
      <w:r>
        <w:rPr>
          <w:b/>
          <w:i w:val="0"/>
          <w:sz w:val="28"/>
        </w:rPr>
        <w:t>«Построение диаграмм потоков работ (WorkFlow, IDEF3)»</w:t>
      </w:r>
    </w:p>
    <w:p>
      <w:pPr>
        <w:spacing w:before="0" w:after="100"/>
        <w:jc w:val="center"/>
      </w:pPr>
      <w:r>
        <w:rPr>
          <w:b/>
          <w:i w:val="0"/>
          <w:sz w:val="30"/>
        </w:rPr>
        <w:t>Диаграммы потоков работ IDEF3</w:t>
      </w:r>
    </w:p>
    <w:p>
      <w:pPr>
        <w:spacing w:before="0" w:after="1100"/>
        <w:jc w:val="center"/>
      </w:pPr>
      <w:r>
        <w:rPr>
          <w:b w:val="0"/>
          <w:i w:val="0"/>
          <w:sz w:val="28"/>
        </w:rPr>
        <w:t>информационной системы «Анонимный интернет-магазин</w:t>
        <w:br/>
        <w:t>с оплатой криптовалютой»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13"/>
        <w:gridCol w:w="3969"/>
      </w:tblGrid>
      <w:tr>
        <w:tc>
          <w:tcPr>
            <w:tcW w:type="dxa" w:w="5613"/>
          </w:tcPr>
          <w:p>
            <w:r/>
          </w:p>
        </w:tc>
        <w:tc>
          <w:tcPr>
            <w:tcW w:type="dxa" w:w="3969"/>
          </w:tcPr>
          <w:p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Выполнил:</w:t>
              <w:br/>
              <w:t>студент группы КТ-31-24</w:t>
              <w:br/>
              <w:t>Колсанов Максим</w:t>
            </w:r>
          </w:p>
        </w:tc>
      </w:tr>
      <w:tr>
        <w:tc>
          <w:tcPr>
            <w:tcW w:type="dxa" w:w="5613"/>
          </w:tcPr>
          <w:p>
            <w:r/>
          </w:p>
        </w:tc>
        <w:tc>
          <w:tcPr>
            <w:tcW w:type="dxa" w:w="3969"/>
          </w:tcPr>
          <w:p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Проверил:</w:t>
              <w:br/>
              <w:t>Мытников А. Н.</w:t>
            </w:r>
          </w:p>
        </w:tc>
      </w:tr>
    </w:tbl>
    <w:p>
      <w:pPr>
        <w:spacing w:before="0" w:after="1340"/>
      </w:pPr>
      <w:r>
        <w:rPr>
          <w:b w:val="0"/>
          <w:i w:val="0"/>
        </w:rPr>
      </w:r>
    </w:p>
    <w:p>
      <w:pPr>
        <w:spacing w:before="0" w:after="80"/>
        <w:jc w:val="center"/>
      </w:pPr>
      <w:r>
        <w:rPr>
          <w:b w:val="0"/>
          <w:i w:val="0"/>
          <w:sz w:val="24"/>
        </w:rPr>
        <w:t>Чебоксары, 2026</w:t>
      </w:r>
    </w:p>
    <w:p>
      <w:r>
        <w:br w:type="page"/>
      </w:r>
    </w:p>
    <w:p>
      <w:pPr>
        <w:pStyle w:val="Heading1"/>
      </w:pPr>
      <w:r>
        <w:t>1. Цель работы и постановка задачи</w:t>
      </w:r>
    </w:p>
    <w:p>
      <w:pPr>
        <w:spacing w:after="120"/>
        <w:ind w:firstLine="510"/>
      </w:pPr>
      <w:r>
        <w:rPr>
          <w:b/>
        </w:rPr>
        <w:t xml:space="preserve">Цель работы. </w:t>
      </w:r>
      <w:r>
        <w:t>Изучить методологию IDEF3 и научиться моделировать последовательность выполнения работ, их разветвление, синхронизацию и переходы состояний объектов.</w:t>
      </w:r>
    </w:p>
    <w:p>
      <w:pPr>
        <w:spacing w:after="120"/>
        <w:ind w:firstLine="510"/>
      </w:pPr>
      <w:r>
        <w:rPr>
          <w:b/>
        </w:rPr>
        <w:t xml:space="preserve">Постановка задачи. </w:t>
      </w:r>
      <w:r>
        <w:t>Построить модель IDEF3 для системы «Анонимный интернет-магазин с оплатой криптовалютой» на основе технического задания лабораторной работы № 1: контекстную PFDD, три уровня её декомпозиции и диаграмму состояний заказа OSTN.</w:t>
      </w:r>
    </w:p>
    <w:p>
      <w:pPr>
        <w:pStyle w:val="Heading1"/>
      </w:pPr>
      <w:r>
        <w:t>2. Краткие теоретические сведения</w:t>
      </w:r>
    </w:p>
    <w:p>
      <w:pPr>
        <w:spacing w:before="0" w:after="80"/>
      </w:pPr>
      <w:r>
        <w:rPr>
          <w:b w:val="0"/>
          <w:i w:val="0"/>
        </w:rPr>
        <w:t>IDEF3 — методология описания процессов, фиксирующая порядок выполнения работ и причинно-следственные связи. В диаграммах PFDD единицы работы (UOB) представлены прямоугольниками с номерами, а связи отражают предшествование или перемещение используемых объектов.</w:t>
      </w:r>
    </w:p>
    <w:p>
      <w:pPr>
        <w:spacing w:before="0" w:after="80"/>
      </w:pPr>
      <w:r>
        <w:rPr>
          <w:b w:val="0"/>
          <w:i w:val="0"/>
        </w:rPr>
        <w:t>Перекрёстки управляют ветвлением и объединением процессов: «X» (XOR) выбирает только один путь; «&amp;» (асинхронное AND) требует выполнения всех ветвей, не обязательно одновременно. Объекты ссылки (OBJ) обозначают важные для сценария данные; пунктирная связь показывает их отношение к работе. Диаграмма OSTN отражает переходы объекта между состояниями.</w:t>
      </w:r>
    </w:p>
    <w:p>
      <w:pPr>
        <w:pStyle w:val="Heading1"/>
      </w:pPr>
      <w:r>
        <w:t>3. Решение задачи</w:t>
      </w:r>
    </w:p>
    <w:p>
      <w:pPr>
        <w:spacing w:before="0" w:after="80"/>
      </w:pPr>
      <w:r>
        <w:rPr>
          <w:b w:val="0"/>
          <w:i w:val="0"/>
        </w:rPr>
        <w:t>Модель отражает предусмотренную техническим заданием продажу одного цифрового товара через Telegram. Заказу назначаются условия оплаты криптовалютой; система автоматически проверяет поступление по данным блокчейна и при подтверждении выдаёт товар покупателю. Владелец рассматривает только неоднозначные платежи.</w:t>
      </w:r>
    </w:p>
    <w:p>
      <w:pPr>
        <w:spacing w:before="0" w:after="80"/>
      </w:pPr>
      <w:r>
        <w:rPr>
          <w:b w:val="0"/>
          <w:i w:val="0"/>
        </w:rPr>
        <w:t>На рисунке 1 представлена общая работа «Продажа цифрового товара». На рисунке 2 она раскрыта в пять работ (UOB 2–6): выбор товара, создание заказа, резервирование экземпляра, формирование условий оплаты, обработка оплаты и выдача товара. При отсутствии свободного экземпляра XOR-перекрёсток J1 возвращает покупателя к выбору.</w:t>
      </w:r>
    </w:p>
    <w:p>
      <w:pPr>
        <w:spacing w:before="0" w:after="80"/>
      </w:pPr>
      <w:r>
        <w:rPr>
          <w:b w:val="0"/>
          <w:i w:val="0"/>
        </w:rPr>
        <w:t>На рисунке 3 детализируется крайняя правая работа UOB 6 (узел 6.1). Получение данных заказа и проверка блокчейна выполняются независимо; асинхронные перекрёстки J2 и J3 объединяют результаты перед сопоставлением транзакции. Последняя работа UOB 10 раскрывается на рисунке 4 (узел 10.1). Перекрёстки J4 и J5 разделяют и затем объединяют альтернативные результаты: успешную оплату, истечение срока или неоднозначный платёж.</w:t>
      </w:r>
    </w:p>
    <w:p>
      <w:pPr>
        <w:spacing w:before="0" w:after="80"/>
      </w:pPr>
      <w:r>
        <w:rPr>
          <w:b w:val="0"/>
          <w:i w:val="0"/>
        </w:rPr>
        <w:t>На рисунке 5 показана сеть переходов состояний объекта «Заказ»: от создания и ожидания оплаты до выдачи товара, истечения срока либо передачи спорного платежа на рассмотрение. Нумерация UOB сквозная (1–16), на каждом уровне декомпозируется последняя работа предыдущего.</w:t>
      </w:r>
    </w:p>
    <w:p>
      <w:pPr>
        <w:sectPr>
          <w:footerReference w:type="default" r:id="rId9"/>
          <w:pgSz w:w="11906" w:h="16838"/>
          <w:pgMar w:top="1020" w:right="907" w:bottom="964" w:left="1417" w:header="454" w:footer="454" w:gutter="0"/>
          <w:cols w:space="720"/>
          <w:docGrid w:linePitch="360"/>
        </w:sectPr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756000" cy="429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429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/>
          <w:sz w:val="24"/>
        </w:rPr>
        <w:t>Рисунок 1 — Контекстная диаграмма PFDD «Продажа цифрового товара»</w:t>
      </w:r>
    </w:p>
    <w:p>
      <w:r>
        <w:br w:type="page"/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756000" cy="4239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i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423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/>
          <w:sz w:val="24"/>
        </w:rPr>
        <w:t>Рисунок 2 — Первый уровень декомпозиции: «Продажа цифрового товара»</w:t>
      </w:r>
    </w:p>
    <w:p>
      <w:r>
        <w:br w:type="page"/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756000" cy="4239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423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/>
          <w:sz w:val="24"/>
        </w:rPr>
        <w:t>Рисунок 3 — Второй уровень декомпозиции: «Обработка оплаты и выдача товара»</w:t>
      </w:r>
    </w:p>
    <w:p>
      <w:r>
        <w:br w:type="page"/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756000" cy="4155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415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/>
          <w:sz w:val="24"/>
        </w:rPr>
        <w:t>Рисунок 4 — Третий уровень декомпозиции: «Завершение обработки заказа»</w:t>
      </w:r>
    </w:p>
    <w:p>
      <w:r>
        <w:br w:type="page"/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756000" cy="4155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415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/>
          <w:sz w:val="24"/>
        </w:rPr>
        <w:t>Рисунок 5 — Диаграмма OSTN: состояния объекта «Заказ»</w:t>
      </w:r>
    </w:p>
    <w:p>
      <w:pPr>
        <w:sectPr>
          <w:pgSz w:w="16838" w:h="11906" w:orient="landscape"/>
          <w:pgMar w:top="737" w:right="652" w:bottom="680" w:left="652" w:header="283" w:footer="369" w:gutter="0"/>
          <w:cols w:space="720"/>
          <w:docGrid w:linePitch="360"/>
        </w:sectPr>
      </w:pPr>
    </w:p>
    <w:p>
      <w:pPr>
        <w:pStyle w:val="Heading1"/>
      </w:pPr>
      <w:r>
        <w:t>Выводы</w:t>
      </w:r>
    </w:p>
    <w:p>
      <w:pPr>
        <w:spacing w:before="0" w:after="80"/>
      </w:pPr>
      <w:r>
        <w:rPr>
          <w:b w:val="0"/>
          <w:i w:val="0"/>
        </w:rPr>
        <w:t>В ходе лабораторной работы была построена модель IDEF3 для информационной системы анонимного интернет-магазина цифровых товаров с оплатой криптовалютой. Разработаны контекстная диаграмма PFDD, три последовательно связанных уровня декомпозиции и диаграмма OSTN, описывающая изменения состояния заказа.</w:t>
      </w:r>
    </w:p>
    <w:p>
      <w:pPr>
        <w:spacing w:before="0" w:after="80"/>
      </w:pPr>
      <w:r>
        <w:rPr>
          <w:b w:val="0"/>
          <w:i w:val="0"/>
        </w:rPr>
        <w:t>Применены единицы работы UOB со сквозной нумерацией, перекрёстки XOR и асинхронное AND, объекты ссылок, связи последовательности работ и потоки объектов. Декомпозиция крайних правых работ позволила сохранить единую структуру модели и избежать перегрузки отдельных рисунков.</w:t>
      </w:r>
    </w:p>
    <w:p>
      <w:pPr>
        <w:spacing w:before="0" w:after="80"/>
      </w:pPr>
      <w:r>
        <w:rPr>
          <w:b w:val="0"/>
          <w:i w:val="0"/>
        </w:rPr>
        <w:t>На диаграммах отражены резервирование цифрового товара, формирование условий оплаты, автоматическая сверка криптовалютных поступлений, выдача оплаченного товара и обработка неоднозначных переводов. Таким образом, модель соответствует основному сценарию и ограничениям технического задания.</w:t>
      </w:r>
    </w:p>
    <w:sectPr w:rsidR="00FC693F" w:rsidRPr="0006063C" w:rsidSect="00034616">
      <w:pgSz w:w="11906" w:h="16838"/>
      <w:pgMar w:top="1191" w:right="907" w:bottom="1020" w:left="1417" w:header="283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22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22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4223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Диаграммы IDEF3 анонимного интернет-магазина</dc:title>
  <dc:subject>Проектирование программного обеспечения</dc:subject>
  <dc:creator>Колсанов Максим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