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4"/>
        </w:rPr>
        <w:t>Министерство науки и высшего образования Российской Федерации</w:t>
      </w:r>
    </w:p>
    <w:p>
      <w:pPr>
        <w:spacing w:after="80"/>
        <w:jc w:val="center"/>
      </w:pPr>
      <w:r>
        <w:rPr>
          <w:b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after="80"/>
        <w:jc w:val="center"/>
      </w:pPr>
      <w:r>
        <w:rPr>
          <w:b/>
          <w:sz w:val="24"/>
        </w:rPr>
        <w:t>«Чувашский государственный университет имени И. Н. Ульянова»</w:t>
      </w:r>
    </w:p>
    <w:p>
      <w:pPr>
        <w:spacing w:after="80"/>
        <w:jc w:val="center"/>
      </w:pPr>
      <w:r>
        <w:rPr>
          <w:b/>
          <w:sz w:val="24"/>
        </w:rPr>
        <w:t>Факультет информатики и вычислительной техники</w:t>
      </w:r>
    </w:p>
    <w:p>
      <w:pPr>
        <w:spacing w:after="80"/>
        <w:jc w:val="center"/>
      </w:pPr>
      <w:r>
        <w:rPr>
          <w:b/>
          <w:sz w:val="24"/>
        </w:rPr>
        <w:t>Кафедра информатики и вычислительной техники</w:t>
      </w:r>
    </w:p>
    <w:p>
      <w:r>
        <w:br/>
        <w:br/>
        <w:br/>
      </w:r>
    </w:p>
    <w:p>
      <w:pPr>
        <w:spacing w:after="280"/>
        <w:jc w:val="center"/>
      </w:pPr>
      <w:r>
        <w:rPr>
          <w:b/>
          <w:sz w:val="36"/>
        </w:rPr>
        <w:t>ЛАБОРАТОРНАЯ РАБОТА № 4</w:t>
      </w:r>
    </w:p>
    <w:p>
      <w:pPr>
        <w:spacing w:after="280"/>
        <w:jc w:val="center"/>
      </w:pPr>
      <w:r>
        <w:rPr>
          <w:b/>
          <w:sz w:val="28"/>
        </w:rPr>
        <w:t>по дисциплине «Проектирование программного обеспечения»</w:t>
      </w:r>
    </w:p>
    <w:p>
      <w:pPr>
        <w:spacing w:after="280"/>
        <w:jc w:val="center"/>
      </w:pPr>
      <w:r>
        <w:rPr>
          <w:b/>
          <w:sz w:val="32"/>
        </w:rPr>
        <w:t>Методология IDEF1X</w:t>
      </w:r>
    </w:p>
    <w:p>
      <w:pPr>
        <w:spacing w:after="280"/>
        <w:jc w:val="center"/>
      </w:pPr>
      <w:r>
        <w:rPr>
          <w:b/>
          <w:sz w:val="28"/>
        </w:rPr>
        <w:t>Построение логической и физической моделей данных</w:t>
      </w:r>
    </w:p>
    <w:p>
      <w:pPr>
        <w:spacing w:after="280"/>
        <w:jc w:val="center"/>
      </w:pPr>
      <w:r>
        <w:rPr>
          <w:b/>
          <w:sz w:val="28"/>
        </w:rPr>
        <w:t>Информационная система «Анонимный интернет-магазин с оплатой криптовалютой»</w:t>
      </w:r>
    </w:p>
    <w:p>
      <w:r>
        <w:br/>
        <w:br/>
      </w:r>
    </w:p>
    <w:p>
      <w:pPr>
        <w:jc w:val="right"/>
      </w:pPr>
      <w:r>
        <w:t>Выполнил: студент группы КТ-31-24</w:t>
        <w:br/>
        <w:t>Колсанов Максим</w:t>
        <w:br/>
        <w:br/>
        <w:t>Проверил: Мытников А. Н.</w:t>
      </w:r>
    </w:p>
    <w:p>
      <w:r>
        <w:br/>
        <w:br/>
      </w:r>
    </w:p>
    <w:p>
      <w:pPr>
        <w:jc w:val="center"/>
      </w:pPr>
      <w:r>
        <w:t>Чебоксары, 2026</w:t>
      </w:r>
    </w:p>
    <w:p>
      <w:r>
        <w:br w:type="page"/>
      </w:r>
    </w:p>
    <w:p>
      <w:pPr>
        <w:pStyle w:val="Heading1"/>
      </w:pPr>
      <w:r>
        <w:t>1. Цель работы и постановка задачи</w:t>
      </w:r>
    </w:p>
    <w:p>
      <w:r>
        <w:t>Цель работы. Освоить методологию IDEF1X при проектировании реляционной базы данных: определить сущности, атрибуты, первичные и альтернативные ключи, связи, мощности, ограничения и физические типы данных.</w:t>
      </w:r>
    </w:p>
    <w:p>
      <w:r>
        <w:t>Постановка задачи. На основе предметной области анонимного Telegram-магазина цифровых товаров построить логическую и физическую модели базы данных. Показать идентифицирующие и неидентифицирующие отношения, категоризацию, ключи, типы данных и ограничения Parent Delete / Parent Update.</w:t>
      </w:r>
    </w:p>
    <w:p>
      <w:pPr>
        <w:pStyle w:val="Heading1"/>
      </w:pPr>
      <w:r>
        <w:t>2. Краткие теоретические сведения</w:t>
      </w:r>
    </w:p>
    <w:p>
      <w:r>
        <w:t>IDEF1X — методология семантического проектирования реляционных данных на основе сущностей и отношений. Логическая модель описывает предметные объекты и зависимости независимо от СУБД; физическая модель преобразует их в таблицы, столбцы, типы данных, ключи и ограничения.</w:t>
      </w:r>
    </w:p>
    <w:p>
      <w:r>
        <w:t>Идентифицирующая связь используется, если внешний ключ родительской сущности входит в первичный ключ дочерней; на диаграммах она показана сплошной линией. Неидентифицирующая связь оставляет внешний ключ вне первичного ключа и показана пунктирной линией. Точка отмечает дочернюю сущность. Мощности определяют обязательность и допустимое число дочерних записей.</w:t>
      </w:r>
    </w:p>
    <w:p>
      <w:r>
        <w:t>Категоризация позволяет выделить специальные разновидности общей сущности. В проекте криптовалютные транзакции категоризированы на перевод TON и перевод USDT; это полная взаимоисключающая специализация. Специализированные записи наследуют идентификатор родительской транзакции.</w:t>
      </w:r>
    </w:p>
    <w:p>
      <w:pPr>
        <w:pStyle w:val="Heading1"/>
      </w:pPr>
      <w:r>
        <w:t>3. Описание предметной области</w:t>
      </w:r>
    </w:p>
    <w:p>
      <w:r>
        <w:t>Система представляет Telegram-магазин цифровых товаров. Покупатель выбирает один товар, после чего система резервирует свободный цифровой экземпляр, формирует платёжные реквизиты и точную сумму. Оплата принимается в TON (сеть TON), USDT (сеть TON) или USDT (сеть TRON). Проверка перевода выполняется автоматически через данные блокчейна; при подтверждении экземпляр выдаётся в Telegram. Окно оплаты — 15 минут. Спорные платежи передаются владельцу для разбирательства.</w:t>
      </w:r>
    </w:p>
    <w:p>
      <w:r>
        <w:t>Принцип минимизации данных: для покупателя хранится Telegram ID как технический идентификатор. Регистрация с паролем, адрес доставки, паспортные и банковские реквизиты покупателя не нужны. Под цифровой доставкой понимается сообщение Telegram с содержимым товара, а не доставка физической посылки.</w:t>
      </w:r>
    </w:p>
    <w:p>
      <w:pPr>
        <w:pStyle w:val="Heading1"/>
      </w:pPr>
      <w:r>
        <w:t>4. Основные информационные объекты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  <w:vAlign w:val="center"/>
          </w:tcPr>
          <w:p>
            <w:r>
              <w:rPr>
                <w:sz w:val="20"/>
              </w:rPr>
              <w:t>Область</w:t>
            </w:r>
          </w:p>
        </w:tc>
        <w:tc>
          <w:tcPr>
            <w:tcW w:type="dxa" w:w="3232"/>
            <w:vAlign w:val="center"/>
          </w:tcPr>
          <w:p>
            <w:r>
              <w:rPr>
                <w:sz w:val="20"/>
              </w:rPr>
              <w:t>Сущности</w:t>
            </w:r>
          </w:p>
        </w:tc>
        <w:tc>
          <w:tcPr>
            <w:tcW w:type="dxa" w:w="3232"/>
            <w:vAlign w:val="center"/>
          </w:tcPr>
          <w:p>
            <w:r>
              <w:rPr>
                <w:sz w:val="20"/>
              </w:rPr>
              <w:t>Назначение</w:t>
            </w:r>
          </w:p>
        </w:tc>
      </w:tr>
      <w:tr>
        <w:tc>
          <w:tcPr>
            <w:tcW w:type="dxa" w:w="3232"/>
            <w:vAlign w:val="center"/>
          </w:tcPr>
          <w:p>
            <w:r>
              <w:rPr>
                <w:sz w:val="20"/>
              </w:rPr>
              <w:t>Каталог и продажи</w:t>
            </w:r>
          </w:p>
        </w:tc>
        <w:tc>
          <w:tcPr>
            <w:tcW w:type="dxa" w:w="3232"/>
            <w:vAlign w:val="center"/>
          </w:tcPr>
          <w:p>
            <w:r>
              <w:rPr>
                <w:sz w:val="20"/>
              </w:rPr>
              <w:t>Покупатель, категория, товар, цифровой экземпляр, заказ, резервирование, выдача товара</w:t>
            </w:r>
          </w:p>
        </w:tc>
        <w:tc>
          <w:tcPr>
            <w:tcW w:type="dxa" w:w="3232"/>
            <w:vAlign w:val="center"/>
          </w:tcPr>
          <w:p>
            <w:r>
              <w:rPr>
                <w:sz w:val="20"/>
              </w:rPr>
              <w:t>Учет ассортимента, выделение единичного экземпляра и однократная выдача после оплаты.</w:t>
            </w:r>
          </w:p>
        </w:tc>
      </w:tr>
      <w:tr>
        <w:tc>
          <w:tcPr>
            <w:tcW w:type="dxa" w:w="3232"/>
            <w:vAlign w:val="center"/>
          </w:tcPr>
          <w:p>
            <w:r>
              <w:rPr>
                <w:sz w:val="20"/>
              </w:rPr>
              <w:t>Оплата</w:t>
            </w:r>
          </w:p>
        </w:tc>
        <w:tc>
          <w:tcPr>
            <w:tcW w:type="dxa" w:w="3232"/>
            <w:vAlign w:val="center"/>
          </w:tcPr>
          <w:p>
            <w:r>
              <w:rPr>
                <w:sz w:val="20"/>
              </w:rPr>
              <w:t>Платёжное требование, курс криптовалюты, криптотранзакция, перевод TON, перевод USDT</w:t>
            </w:r>
          </w:p>
        </w:tc>
        <w:tc>
          <w:tcPr>
            <w:tcW w:type="dxa" w:w="3232"/>
            <w:vAlign w:val="center"/>
          </w:tcPr>
          <w:p>
            <w:r>
              <w:rPr>
                <w:sz w:val="20"/>
              </w:rPr>
              <w:t>Курс, сеть, токен, точная сумма, TXID, адрес назначения и результат автоматической проверки.</w:t>
            </w:r>
          </w:p>
        </w:tc>
      </w:tr>
      <w:tr>
        <w:tc>
          <w:tcPr>
            <w:tcW w:type="dxa" w:w="3232"/>
            <w:vAlign w:val="center"/>
          </w:tcPr>
          <w:p>
            <w:r>
              <w:rPr>
                <w:sz w:val="20"/>
              </w:rPr>
              <w:t>Управление</w:t>
            </w:r>
          </w:p>
        </w:tc>
        <w:tc>
          <w:tcPr>
            <w:tcW w:type="dxa" w:w="3232"/>
            <w:vAlign w:val="center"/>
          </w:tcPr>
          <w:p>
            <w:r>
              <w:rPr>
                <w:sz w:val="20"/>
              </w:rPr>
              <w:t>Сотрудник, роль, право доступа, роль сотрудника, право роли</w:t>
            </w:r>
          </w:p>
        </w:tc>
        <w:tc>
          <w:tcPr>
            <w:tcW w:type="dxa" w:w="3232"/>
            <w:vAlign w:val="center"/>
          </w:tcPr>
          <w:p>
            <w:r>
              <w:rPr>
                <w:sz w:val="20"/>
              </w:rPr>
              <w:t>Разграничение полномочий администратора и владельца без хранения избыточных персональных данных.</w:t>
            </w:r>
          </w:p>
        </w:tc>
      </w:tr>
      <w:tr>
        <w:tc>
          <w:tcPr>
            <w:tcW w:type="dxa" w:w="3232"/>
            <w:vAlign w:val="center"/>
          </w:tcPr>
          <w:p>
            <w:r>
              <w:rPr>
                <w:sz w:val="20"/>
              </w:rPr>
              <w:t>Поддержка</w:t>
            </w:r>
          </w:p>
        </w:tc>
        <w:tc>
          <w:tcPr>
            <w:tcW w:type="dxa" w:w="3232"/>
            <w:vAlign w:val="center"/>
          </w:tcPr>
          <w:p>
            <w:r>
              <w:rPr>
                <w:sz w:val="20"/>
              </w:rPr>
              <w:t>Обращение, сообщение обращения</w:t>
            </w:r>
          </w:p>
        </w:tc>
        <w:tc>
          <w:tcPr>
            <w:tcW w:type="dxa" w:w="3232"/>
            <w:vAlign w:val="center"/>
          </w:tcPr>
          <w:p>
            <w:r>
              <w:rPr>
                <w:sz w:val="20"/>
              </w:rPr>
              <w:t>Связь обращений с покупателем, назначенным сотрудником и перепиской.</w:t>
            </w:r>
          </w:p>
        </w:tc>
      </w:tr>
    </w:tbl>
    <w:p>
      <w:r>
        <w:t>Всего выделено 19 различных сущностей. На отдельных диаграммах повторяются общие сущности «Заказ», «Покупатель» и «Сотрудник»; это не отдельные таблицы, а их повторное отображение для удобства чтения.</w:t>
      </w:r>
    </w:p>
    <w:p>
      <w:pPr>
        <w:pStyle w:val="Heading1"/>
      </w:pPr>
      <w:r>
        <w:t>5. Логическая и физическая модели</w:t>
      </w:r>
    </w:p>
    <w:p>
      <w:r>
        <w:t>Логическая модель распределена на четыре предметные области (рисунки 1–4). Физическая модель повторяет те же зависимости и указывает типы PostgreSQL, PK, FK, UQ, NN (NOT NULL) (рисунки 5–8). Сквозные таблицы показаны повторно, чтобы исключить пересечение многочисленных связей на одном листе.</w:t>
      </w:r>
    </w:p>
    <w:p>
      <w:pPr>
        <w:sectPr>
          <w:pgSz w:w="11906" w:h="16838"/>
          <w:pgMar w:top="1219" w:right="964" w:bottom="1020" w:left="1247" w:header="720" w:footer="720" w:gutter="0"/>
          <w:cols w:space="720"/>
          <w:docGrid w:linePitch="360"/>
        </w:sectPr>
      </w:pPr>
    </w:p>
    <w:p>
      <w:pPr>
        <w:spacing w:after="100"/>
        <w:jc w:val="center"/>
      </w:pPr>
      <w:r>
        <w:rPr>
          <w:b/>
          <w:sz w:val="24"/>
        </w:rPr>
        <w:t>Рисунок 1 — Логическая модель: каталог, заказы и выдача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720000" cy="510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c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51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rPr>
          <w:b/>
          <w:sz w:val="24"/>
        </w:rPr>
        <w:t>Рисунок 2 — Логическая модель: криптовалютные платежи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720000" cy="510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51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rPr>
          <w:b/>
          <w:sz w:val="24"/>
        </w:rPr>
        <w:t>Рисунок 3 — Логическая модель: сотрудники, роли и права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720000" cy="510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51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rPr>
          <w:b/>
          <w:sz w:val="24"/>
        </w:rPr>
        <w:t>Рисунок 4 — Логическая модель: обращения и сообщения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720000" cy="510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gic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51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rPr>
          <w:b/>
          <w:sz w:val="24"/>
        </w:rPr>
        <w:t>Рисунок 5 — Физическая модель: каталог, заказы и выдача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720000" cy="510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51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rPr>
          <w:b/>
          <w:sz w:val="24"/>
        </w:rPr>
        <w:t>Рисунок 6 — Физическая модель: криптовалютные платежи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720000" cy="5103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hysic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51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rPr>
          <w:b/>
          <w:sz w:val="24"/>
        </w:rPr>
        <w:t>Рисунок 7 — Физическая модель: сотрудники, роли и права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720000" cy="5103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hysic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51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rPr>
          <w:b/>
          <w:sz w:val="24"/>
        </w:rPr>
        <w:t>Рисунок 8 — Физическая модель: обращения и сообщения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720000" cy="5103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hysic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51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709" w:right="737" w:bottom="709" w:left="737" w:header="720" w:footer="720" w:gutter="0"/>
          <w:cols w:space="720"/>
          <w:docGrid w:linePitch="360"/>
        </w:sectPr>
      </w:pPr>
    </w:p>
    <w:p>
      <w:pPr>
        <w:pStyle w:val="Heading1"/>
      </w:pPr>
      <w:r>
        <w:t>6. Правила физической реализации</w:t>
      </w:r>
    </w:p>
    <w:p>
      <w:r>
        <w:t>В качестве целевой СУБД выбрана PostgreSQL. Идентификаторы основных таблиц имеют тип UUID, Telegram ID — BIGINT, денежные суммы в RUB — NUMERIC(12,2), количество криптовалюты — NUMERIC(28,9), время — TIMESTAMPTZ. Эти типы выбраны для проектной модели; схемы не объявляются уже развёрнутой производственной БД.</w:t>
      </w:r>
    </w:p>
    <w:p>
      <w:r>
        <w:t>Ключи и ограничения, не полностью представленные на диаграммах: Telegram ID покупателя и сотрудника уникален; наименование категории, коды ролей и прав — альтернативные ключи. Для платёжного требования уникален order_id, для блокчейн-перевода — (network, tx_hash, event_index). В актуальный момент один цифровой экземпляр не может иметь более одного действующего резервирования.</w:t>
      </w:r>
    </w:p>
    <w:p>
      <w:r>
        <w:t>При резервировании экземпляр выбирается атомарно в транзакции БД. Успешная оплата переводит заказ в оплаченный статус и допускает только одну запись выдачи (delivery.order_id — PK, FK). Повторная обработка блокчейн-события не создаёт повторной выдачи. Срок действия требования задаётся правилом expires_at = created_at + interval «15 minutes».</w:t>
      </w:r>
    </w:p>
    <w:p>
      <w:r>
        <w:t>Корректность криптовалютного платежа зависит от сочетания сети и актива: TON допускается только в TON; USDT — в TON или TRON. Система дополнительно сверяет адрес, точную сумму, время и необходимое число подтверждений, а также исключает повторное использование события. Невыполненные или неоднозначные проверки не должны автоматически переводить заказ в статус «Оплачен».</w:t>
      </w:r>
    </w:p>
    <w:p>
      <w:r>
        <w:t>Зашифрованное содержимое цифрового экземпляра хранится в BYTEA; ключ шифрования не хранится вместе с данными. Текст поддержки хранится только в объёме, необходимом для обращения. В support_messages ровно один автор: buyer_author_id либо staff_author_id. Для полной категоризации blockchain_transfers ровно одна дочерняя запись должна соответствовать asset=TON или asset=USDT; это межтабличное правило проверяется транзакционной логикой или триггером.</w:t>
      </w:r>
    </w:p>
    <w:p>
      <w:pPr>
        <w:pStyle w:val="Heading1"/>
      </w:pPr>
      <w:r>
        <w:t>7. Ограничения связей Parent Delete / Parent Update</w:t>
      </w:r>
    </w:p>
    <w:p>
      <w:r>
        <w:t>Таблица ниже задаёт проектные правила ссылочной целостности. RESTRICT запрещает удаление или изменение ключа родителя при наличии потомков; CASCADE удаляет зависимые назначения; SET NULL снимает необязательное назначение сотрудника. Для всех представленных внешних ключей Parent Update — RESTRICT.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Родитель — потомок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Комментарий</w:t>
            </w:r>
          </w:p>
        </w:tc>
      </w:tr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Категория — Товар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RESTRICT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Каталог нельзя разрушить, пока категория используется.</w:t>
            </w:r>
          </w:p>
        </w:tc>
      </w:tr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Товар — Цифровой экземпляр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RESTRICT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Экземпляры сохраняют связь с исходным товаром.</w:t>
            </w:r>
          </w:p>
        </w:tc>
      </w:tr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Товар — Заказ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RESTRICT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История заказов не удаляется вместе с товаром.</w:t>
            </w:r>
          </w:p>
        </w:tc>
      </w:tr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Покупатель — Заказ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RESTRICT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Связь заказа с техническим идентификатором сохраняется.</w:t>
            </w:r>
          </w:p>
        </w:tc>
      </w:tr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Заказ — Резервирование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RESTRICT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История выделения экземпляра сохраняется.</w:t>
            </w:r>
          </w:p>
        </w:tc>
      </w:tr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Экземпляр — Резервирование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RESTRICT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Заказанный экземпляр не удаляется.</w:t>
            </w:r>
          </w:p>
        </w:tc>
      </w:tr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Заказ — Выдача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RESTRICT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История выдачи защищена.</w:t>
            </w:r>
          </w:p>
        </w:tc>
      </w:tr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Заказ — Платёжное требование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RESTRICT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Условия выставленного счёта сохраняются.</w:t>
            </w:r>
          </w:p>
        </w:tc>
      </w:tr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Курс — Платёжное требование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RESTRICT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Фиксируется курс, использованный при выставлении счёта.</w:t>
            </w:r>
          </w:p>
        </w:tc>
      </w:tr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Платёжное требование — Транзакция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RESTRICT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Сохраняется связь события с ожидаемым платежом.</w:t>
            </w:r>
          </w:p>
        </w:tc>
      </w:tr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Криптотранзакция — Перевод TON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RESTRICT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Нельзя удалить общую запись отдельно от деталей.</w:t>
            </w:r>
          </w:p>
        </w:tc>
      </w:tr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Криптотранзакция — Перевод USDT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RESTRICT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Сохраняется типизированная история оплаты.</w:t>
            </w:r>
          </w:p>
        </w:tc>
      </w:tr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Сотрудник — Роль сотрудника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CASCADE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При удалении сотрудника назначения снимаются.</w:t>
            </w:r>
          </w:p>
        </w:tc>
      </w:tr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Роль — Роль сотрудника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CASCADE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При удалении роли назначения снимаются.</w:t>
            </w:r>
          </w:p>
        </w:tc>
      </w:tr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Роль — Право роли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CASCADE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При удалении роли её права снимаются.</w:t>
            </w:r>
          </w:p>
        </w:tc>
      </w:tr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Право доступа — Право роли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CASCADE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Удаляются только связующие назначения.</w:t>
            </w:r>
          </w:p>
        </w:tc>
      </w:tr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Покупатель — Обращение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RESTRICT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Обращение принадлежит конкретному покупателю.</w:t>
            </w:r>
          </w:p>
        </w:tc>
      </w:tr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Сотрудник — Обращение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SET NULL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Обращение остаётся при смене исполнителя.</w:t>
            </w:r>
          </w:p>
        </w:tc>
      </w:tr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Обращение — Сообщение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RESTRICT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Переписка не удаляется отдельно от истории обращения.</w:t>
            </w:r>
          </w:p>
        </w:tc>
      </w:tr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Покупатель — Сообщение (автор)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RESTRICT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Сообщения сохраняют автора.</w:t>
            </w:r>
          </w:p>
        </w:tc>
      </w:tr>
      <w:tr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Сотрудник — Сообщение (автор)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RESTRICT</w:t>
            </w:r>
          </w:p>
        </w:tc>
        <w:tc>
          <w:tcPr>
            <w:tcW w:type="dxa" w:w="3269"/>
          </w:tcPr>
          <w:p>
            <w:pPr>
              <w:spacing w:after="20" w:line="240" w:lineRule="auto"/>
            </w:pPr>
            <w:r>
              <w:rPr>
                <w:sz w:val="18"/>
              </w:rPr>
              <w:t>Сообщения сохраняют автора.</w:t>
            </w:r>
          </w:p>
        </w:tc>
      </w:tr>
    </w:tbl>
    <w:p>
      <w:r>
        <w:t>Нюанс PostgreSQL: ограничение ON DELETE SET NULL допустимо только при nullable FK assigned_staff_id. Удаление основных бизнес-сущностей ограничено для сохранения истории операций. Выбранные правила соответствуют проектной политике, а не автоматически подтверждают настройки некоторой существующей базы данных.</w:t>
      </w:r>
    </w:p>
    <w:p>
      <w:pPr>
        <w:pStyle w:val="Heading1"/>
      </w:pPr>
      <w:r>
        <w:t>8. Вывод</w:t>
      </w:r>
    </w:p>
    <w:p>
      <w:r>
        <w:t>Для анонимного интернет-магазина цифровых товаров построены логическая и физическая модели IDEF1X. Выделены 19 бизнес-сущностей, показаны идентифицирующие и неидентифицирующие отношения, полная специализация криптовалютных транзакций, первичные и альтернативные ключи, мощности и ограничения. Определены физические типы PostgreSQL и правила ссылочной целостности. Модель учитывает автоматическую сверку криптовалютных платежей, 15-минутное ожидание, резервирование и однократную выдачу цифрового товара.</w:t>
      </w:r>
    </w:p>
    <w:sectPr w:rsidR="00FC693F" w:rsidRPr="0006063C" w:rsidSect="00034616">
      <w:pgSz w:w="11906" w:h="16838"/>
      <w:pgMar w:top="1077" w:right="964" w:bottom="99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 w:after="140"/>
    </w:pPr>
    <w:rPr>
      <w:rFonts w:ascii="Times New Roman" w:hAnsi="Times New Roman"/>
      <w:color w:val="18212C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5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5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Times New Roman" w:hAnsi="Times New Roman"/>
      <w:b/>
      <w:color w:val="1F354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