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0"/>
        <w:jc w:val="center"/>
      </w:pPr>
      <w:r>
        <w:rPr>
          <w:b w:val="0"/>
          <w:sz w:val="24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after="0"/>
        <w:jc w:val="center"/>
      </w:pPr>
      <w:r>
        <w:rPr>
          <w:b w:val="0"/>
          <w:sz w:val="24"/>
        </w:rPr>
        <w:t>«ЧГУ им. Ульянова»</w:t>
      </w:r>
    </w:p>
    <w:p>
      <w:pPr>
        <w:spacing w:after="0"/>
        <w:jc w:val="center"/>
      </w:pPr>
      <w:r>
        <w:rPr>
          <w:b w:val="0"/>
          <w:sz w:val="24"/>
        </w:rPr>
        <w:t>Кафедра «Компьютерных технологий»</w:t>
      </w:r>
    </w:p>
    <w:p>
      <w:pPr>
        <w:spacing w:before="1600"/>
      </w:pPr>
    </w:p>
    <w:p>
      <w:pPr>
        <w:spacing w:after="80"/>
        <w:jc w:val="center"/>
      </w:pPr>
      <w:r>
        <w:rPr>
          <w:b/>
          <w:sz w:val="32"/>
        </w:rPr>
        <w:t>ЛАБОРАТОРНАЯ РАБОТА № 2</w:t>
      </w:r>
    </w:p>
    <w:p>
      <w:pPr>
        <w:spacing w:after="80"/>
        <w:jc w:val="center"/>
      </w:pPr>
      <w:r>
        <w:rPr>
          <w:b w:val="0"/>
          <w:sz w:val="28"/>
        </w:rPr>
        <w:t>по дисциплине «Проектирование программного обеспечения»</w:t>
      </w:r>
    </w:p>
    <w:p>
      <w:pPr>
        <w:spacing w:after="80"/>
        <w:jc w:val="center"/>
      </w:pPr>
      <w:r>
        <w:rPr>
          <w:b w:val="0"/>
          <w:sz w:val="28"/>
        </w:rPr>
        <w:t>Методология IDEF0.</w:t>
      </w:r>
    </w:p>
    <w:p>
      <w:pPr>
        <w:spacing w:after="80"/>
        <w:jc w:val="center"/>
      </w:pPr>
      <w:r>
        <w:rPr>
          <w:b w:val="0"/>
          <w:sz w:val="28"/>
        </w:rPr>
        <w:t>Построение диаграмм DFD</w:t>
      </w:r>
    </w:p>
    <w:p>
      <w:pPr>
        <w:spacing w:before="18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969"/>
        <w:gridCol w:w="4535"/>
      </w:tblGrid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Выполнил: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студент группы КТ-31-24</w:t>
              <w:br/>
              <w:t>Колсанов Максим</w:t>
            </w:r>
          </w:p>
        </w:tc>
      </w:tr>
      <w:tr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Проверил:</w:t>
            </w:r>
          </w:p>
        </w:tc>
        <w:tc>
          <w:tcPr>
            <w:tcW w:type="dxa" w:w="498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старший преподаватель</w:t>
              <w:br/>
              <w:t>Мытников А.Н.</w:t>
            </w:r>
          </w:p>
        </w:tc>
      </w:tr>
    </w:tbl>
    <w:p>
      <w:pPr>
        <w:spacing w:before="2200"/>
        <w:jc w:val="center"/>
      </w:pPr>
      <w:r>
        <w:rPr>
          <w:sz w:val="24"/>
        </w:rPr>
        <w:t>г. Чебоксары 2026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b/>
          <w:sz w:val="30"/>
        </w:rPr>
        <w:t>Содержание</w:t>
      </w:r>
    </w:p>
    <w:p>
      <w:pPr>
        <w:tabs>
          <w:tab w:pos="9071" w:val="left"/>
        </w:tabs>
        <w:spacing w:after="40"/>
      </w:pPr>
      <w:r>
        <w:t>1 Цель работы</w:t>
      </w:r>
      <w:r>
        <w:tab/>
        <w:t>2</w:t>
      </w:r>
    </w:p>
    <w:p>
      <w:pPr>
        <w:tabs>
          <w:tab w:pos="9071" w:val="left"/>
        </w:tabs>
        <w:spacing w:after="40"/>
      </w:pPr>
      <w:r>
        <w:t>2 Краткие теоретические сведения</w:t>
      </w:r>
      <w:r>
        <w:tab/>
        <w:t>2</w:t>
      </w:r>
    </w:p>
    <w:p>
      <w:pPr>
        <w:tabs>
          <w:tab w:pos="9071" w:val="left"/>
        </w:tabs>
        <w:spacing w:after="40"/>
      </w:pPr>
      <w:r>
        <w:t>3 Предметная область и границы проектной модели</w:t>
      </w:r>
      <w:r>
        <w:tab/>
        <w:t>2</w:t>
      </w:r>
    </w:p>
    <w:p>
      <w:pPr>
        <w:tabs>
          <w:tab w:pos="9071" w:val="left"/>
        </w:tabs>
        <w:spacing w:after="40"/>
      </w:pPr>
      <w:r>
        <w:t>4 Функциональная модель IDEF0 «Как есть»</w:t>
      </w:r>
      <w:r>
        <w:tab/>
        <w:t>4</w:t>
      </w:r>
    </w:p>
    <w:p>
      <w:pPr>
        <w:tabs>
          <w:tab w:pos="9071" w:val="left"/>
        </w:tabs>
        <w:spacing w:after="40"/>
      </w:pPr>
      <w:r>
        <w:t>4.1 Контекстная диаграмма A-0</w:t>
      </w:r>
      <w:r>
        <w:tab/>
        <w:t>4</w:t>
      </w:r>
    </w:p>
    <w:p>
      <w:pPr>
        <w:tabs>
          <w:tab w:pos="9071" w:val="left"/>
        </w:tabs>
        <w:spacing w:after="40"/>
      </w:pPr>
      <w:r>
        <w:t>4.2 Декомпозиция функции A0</w:t>
      </w:r>
      <w:r>
        <w:tab/>
        <w:t>5</w:t>
      </w:r>
    </w:p>
    <w:p>
      <w:pPr>
        <w:tabs>
          <w:tab w:pos="9071" w:val="left"/>
        </w:tabs>
        <w:spacing w:after="40"/>
      </w:pPr>
      <w:r>
        <w:t>4.3 Декомпозиция функции A4 «Проверять оплату и завершать продажу»</w:t>
      </w:r>
      <w:r>
        <w:tab/>
        <w:t>6</w:t>
      </w:r>
    </w:p>
    <w:p>
      <w:pPr>
        <w:tabs>
          <w:tab w:pos="9071" w:val="left"/>
        </w:tabs>
        <w:spacing w:after="40"/>
      </w:pPr>
      <w:r>
        <w:t>5 Контекстная модель IDEF0 «Как будет»</w:t>
      </w:r>
      <w:r>
        <w:tab/>
        <w:t>7</w:t>
      </w:r>
    </w:p>
    <w:p>
      <w:pPr>
        <w:tabs>
          <w:tab w:pos="9071" w:val="left"/>
        </w:tabs>
        <w:spacing w:after="40"/>
      </w:pPr>
      <w:r>
        <w:t>6 Построение диаграмм потоков данных DFD</w:t>
      </w:r>
      <w:r>
        <w:tab/>
        <w:t>7</w:t>
      </w:r>
    </w:p>
    <w:p>
      <w:pPr>
        <w:tabs>
          <w:tab w:pos="9071" w:val="left"/>
        </w:tabs>
        <w:spacing w:after="40"/>
      </w:pPr>
      <w:r>
        <w:t>6.1 Контекстная DFD функции A0</w:t>
      </w:r>
      <w:r>
        <w:tab/>
        <w:t>8</w:t>
      </w:r>
    </w:p>
    <w:p>
      <w:pPr>
        <w:tabs>
          <w:tab w:pos="9071" w:val="left"/>
        </w:tabs>
        <w:spacing w:after="40"/>
      </w:pPr>
      <w:r>
        <w:t>6.2 DFD первого уровня функции A0</w:t>
      </w:r>
      <w:r>
        <w:tab/>
        <w:t>9</w:t>
      </w:r>
    </w:p>
    <w:p>
      <w:pPr>
        <w:tabs>
          <w:tab w:pos="9071" w:val="left"/>
        </w:tabs>
        <w:spacing w:after="40"/>
      </w:pPr>
      <w:r>
        <w:t>6.3 DFD функции A4 «Проверять оплату и завершать продажу»</w:t>
      </w:r>
      <w:r>
        <w:tab/>
        <w:t>10</w:t>
      </w:r>
    </w:p>
    <w:p>
      <w:pPr>
        <w:tabs>
          <w:tab w:pos="9071" w:val="left"/>
        </w:tabs>
        <w:spacing w:after="40"/>
      </w:pPr>
      <w:r>
        <w:t>7 Вывод</w:t>
      </w:r>
      <w:r>
        <w:tab/>
        <w:t>11</w:t>
      </w:r>
    </w:p>
    <w:p>
      <w:pPr>
        <w:pageBreakBefore/>
      </w:pPr>
    </w:p>
    <w:p>
      <w:pPr>
        <w:pStyle w:val="Heading1"/>
        <w:spacing w:before="160" w:after="120"/>
      </w:pPr>
      <w:r>
        <w:t>1. Цель работы</w:t>
      </w:r>
    </w:p>
    <w:p>
      <w:pPr>
        <w:spacing w:line="300" w:lineRule="auto" w:after="80"/>
        <w:ind w:firstLine="709"/>
        <w:jc w:val="both"/>
      </w:pPr>
      <w:r>
        <w:t>Изучить основные принципы методологии функционального моделирования IDEF0 и получить практические навыки построения функциональных моделей. Научиться определять границы информационной системы, внешние источники и приёмники информации, а также строить диаграммы потоков данных DFD и выполнять их последовательную декомпозицию.</w:t>
      </w:r>
    </w:p>
    <w:p>
      <w:pPr>
        <w:spacing w:line="300" w:lineRule="auto" w:after="80"/>
        <w:ind w:firstLine="709"/>
        <w:jc w:val="both"/>
      </w:pPr>
      <w:r>
        <w:t>В качестве предметной области рассматривается анонимный интернет-магазин цифровых товаров с оплатой криптовалютой. Целевой программной системой является Telegram-магазин, который автоматизирует оформление заказа, резервирование товара, формирование платёжного запроса, проверку поступления средств и выдачу закрытых материалов.</w:t>
      </w:r>
    </w:p>
    <w:p>
      <w:pPr>
        <w:pStyle w:val="Heading1"/>
        <w:spacing w:before="160" w:after="120"/>
      </w:pPr>
      <w:r>
        <w:t>2. Краткие теоретические сведения</w:t>
      </w:r>
    </w:p>
    <w:p>
      <w:pPr>
        <w:spacing w:line="300" w:lineRule="auto" w:after="80"/>
        <w:ind w:firstLine="709"/>
        <w:jc w:val="both"/>
      </w:pPr>
      <w:r>
        <w:t>Методология IDEF0 используется для функционального моделирования. Функции изображаются прямоугольными блоками, а взаимодействия функций с окружающей средой и между собой - стрелками. Входы присоединяются к левой стороне блока, управления - к верхней, выходы - к правой, механизмы - к нижней. Контекстная диаграмма A-0 содержит один блок с локальным номером 0, после чего выполняется декомпозиция на функции нижнего уровня.</w:t>
      </w:r>
    </w:p>
    <w:p>
      <w:pPr>
        <w:spacing w:line="300" w:lineRule="auto" w:after="80"/>
        <w:ind w:firstLine="709"/>
        <w:jc w:val="both"/>
      </w:pPr>
      <w:r>
        <w:t>На дочерней IDEF0-диаграмме внутри блоков используются локальные номера 1, 2, 3 и т. д. Граничные стрелки дочерней диаграммы должны быть сбалансированы с интерфейсом родительского блока. Туннельная стрелка применяется только тогда, когда её отсутствие на соседнем уровне декомпозиции является осмысленным.</w:t>
      </w:r>
    </w:p>
    <w:p>
      <w:pPr>
        <w:spacing w:line="300" w:lineRule="auto" w:after="80"/>
        <w:ind w:firstLine="709"/>
        <w:jc w:val="both"/>
      </w:pPr>
      <w:r>
        <w:t>DFD применяется для описания движения и преобразования информации. На DFD отображаются внешние сущности, процессы, потоки данных и хранилища. Внешняя сущность и хранилище не связываются напрямую: обмен с внешней средой и работа с накопителями выполняются через процессы.</w:t>
      </w:r>
    </w:p>
    <w:p>
      <w:pPr>
        <w:pStyle w:val="Heading1"/>
        <w:spacing w:before="160" w:after="120"/>
      </w:pPr>
      <w:r>
        <w:t>3. Предметная область и границы проектной модели</w:t>
      </w:r>
    </w:p>
    <w:p>
      <w:pPr>
        <w:spacing w:line="300" w:lineRule="auto" w:after="80"/>
        <w:ind w:firstLine="709"/>
        <w:jc w:val="both"/>
      </w:pPr>
      <w:r>
        <w:t>Магазин предназначен для продажи цифровых товаров через Telegram без отдельной регистрации покупателя. Для идентификации заказа используется Telegram ID, однако ввод ФИО, телефона, электронной почты и адреса доставки не требуется. В модели рассматриваются покупатель, администратор и владелец магазина, а также внешняя блокчейн-инфраструктура и сервис получения курсов криптовалют.</w:t>
      </w:r>
    </w:p>
    <w:p>
      <w:pPr>
        <w:pStyle w:val="ListBullet"/>
        <w:spacing w:line="288" w:lineRule="auto" w:after="40"/>
        <w:ind w:left="397" w:hanging="227"/>
        <w:jc w:val="both"/>
      </w:pPr>
      <w:r>
        <w:t>публикация каталога цифровых товаров, цен и доступных остатков;</w:t>
      </w:r>
    </w:p>
    <w:p>
      <w:pPr>
        <w:pStyle w:val="ListBullet"/>
        <w:spacing w:line="288" w:lineRule="auto" w:after="40"/>
        <w:ind w:left="397" w:hanging="227"/>
        <w:jc w:val="both"/>
      </w:pPr>
      <w:r>
        <w:t>выбор товара, валюты и сети оплаты покупателем;</w:t>
      </w:r>
    </w:p>
    <w:p>
      <w:pPr>
        <w:pStyle w:val="ListBullet"/>
        <w:spacing w:line="288" w:lineRule="auto" w:after="40"/>
        <w:ind w:left="397" w:hanging="227"/>
        <w:jc w:val="both"/>
      </w:pPr>
      <w:r>
        <w:t>резервирование единицы товара и создание заказа;</w:t>
      </w:r>
    </w:p>
    <w:p>
      <w:pPr>
        <w:pStyle w:val="ListBullet"/>
        <w:spacing w:line="288" w:lineRule="auto" w:after="40"/>
        <w:ind w:left="397" w:hanging="227"/>
        <w:jc w:val="both"/>
      </w:pPr>
      <w:r>
        <w:t>формирование адреса, сети, точной уникальной суммы и срока оплаты;</w:t>
      </w:r>
    </w:p>
    <w:p>
      <w:pPr>
        <w:pStyle w:val="ListBullet"/>
        <w:spacing w:line="288" w:lineRule="auto" w:after="40"/>
        <w:ind w:left="397" w:hanging="227"/>
        <w:jc w:val="both"/>
      </w:pPr>
      <w:r>
        <w:t>автоматическое получение сведений о переводах и сопоставление их с ожидаемыми платежами;</w:t>
      </w:r>
    </w:p>
    <w:p>
      <w:pPr>
        <w:pStyle w:val="ListBullet"/>
        <w:spacing w:line="288" w:lineRule="auto" w:after="40"/>
        <w:ind w:left="397" w:hanging="227"/>
        <w:jc w:val="both"/>
      </w:pPr>
      <w:r>
        <w:t>фиксация оплаты, продажи и последующей выдачи закрытых материалов;</w:t>
      </w:r>
    </w:p>
    <w:p>
      <w:pPr>
        <w:pStyle w:val="ListBullet"/>
        <w:spacing w:line="288" w:lineRule="auto" w:after="40"/>
        <w:ind w:left="397" w:hanging="227"/>
        <w:jc w:val="both"/>
      </w:pPr>
      <w:r>
        <w:t>уведомление персонала, поддержка покупателей и обработка спорных поступлений владельцем.</w:t>
      </w:r>
    </w:p>
    <w:p>
      <w:pPr>
        <w:spacing w:line="300" w:lineRule="auto" w:after="80"/>
        <w:ind w:firstLine="709"/>
        <w:jc w:val="both"/>
      </w:pPr>
      <w:r>
        <w:t>Ключевое ограничение модели: обычное поступление средств не подтверждается администратором вручную. Проверка выполняется автоматически по данным блокчейна. Ручное рассмотрение относится только к исключительным ситуациям: неверная сеть, недоплата, переплата, поздний перевод или невозможность однозначного сопоставления.</w:t>
      </w:r>
    </w:p>
    <w:p>
      <w:pPr>
        <w:spacing w:line="300" w:lineRule="auto" w:after="80"/>
        <w:ind w:firstLine="709"/>
        <w:jc w:val="both"/>
      </w:pPr>
      <w:r>
        <w:t>На IDEF0-диаграммах базы данных не показываются как элементы бизнес-процесса. Программные и инфраструктурные компоненты могут выступать механизмами. Логические хранилища информации появляются только на DFD, где они являются самостоятельным элементом нотации.</w:t>
      </w:r>
    </w:p>
    <w:p>
      <w:pPr>
        <w:pageBreakBefore/>
      </w:pPr>
    </w:p>
    <w:p>
      <w:pPr>
        <w:pStyle w:val="Heading1"/>
        <w:spacing w:before="160" w:after="120"/>
      </w:pPr>
      <w:r>
        <w:t>4. Функциональная модель IDEF0 «Как есть»</w:t>
      </w:r>
    </w:p>
    <w:p>
      <w:pPr>
        <w:spacing w:line="300" w:lineRule="auto" w:after="80"/>
        <w:ind w:firstLine="709"/>
        <w:jc w:val="both"/>
      </w:pPr>
      <w:r>
        <w:t>Модель «Как есть» описывает продажу цифрового товара как бизнес-процесс до объединения всех операций в едином Telegram-магазине. Покупатель выбирает товар и выполняет криптовалютный перевод, а продавец организует каталог, заказ, выдачу и обработку исключений. Проверка поступлений рассматривается как отдельная функция и не заменяется подтверждением по скриншоту или кнопке пользователя.</w:t>
      </w:r>
    </w:p>
    <w:p>
      <w:pPr>
        <w:pStyle w:val="Heading2"/>
        <w:spacing w:before="160" w:after="120"/>
      </w:pPr>
      <w:r>
        <w:t>4.1. Контекстная диаграмма A-0</w:t>
      </w:r>
    </w:p>
    <w:p>
      <w:pPr>
        <w:spacing w:line="300" w:lineRule="auto" w:after="80"/>
        <w:ind w:firstLine="709"/>
        <w:jc w:val="both"/>
      </w:pPr>
      <w:r>
        <w:t>Основная функция контекстной диаграммы: A0 - Осуществлять продажу цифровых товаров с оплатой криптовалютой. Цель модели - определить состав функций продажи и их внешние интерфейсы. Точка зрения - организация интернет-магазина и покупатель.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def0_as_is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spacing w:before="160" w:after="120"/>
      </w:pPr>
      <w:r>
        <w:t>4.2. Декомпозиция функции A0</w:t>
      </w:r>
    </w:p>
    <w:p>
      <w:pPr>
        <w:spacing w:line="300" w:lineRule="auto" w:after="80"/>
        <w:ind w:firstLine="709"/>
        <w:jc w:val="both"/>
      </w:pPr>
      <w:r>
        <w:t>Верхний уровень процесса разбит на пять крупных функций. Блоки расположены по доминированию слева направо и сверху вниз. Внутри блоков используются только локальные номера 1-5. Граничные входы и управления наследуют интерфейс контекстной диаграммы.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f0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spacing w:before="160" w:after="120"/>
      </w:pPr>
      <w:r>
        <w:t>4.3. Декомпозиция функции A4 «Проверять оплату и завершать продажу»</w:t>
      </w:r>
    </w:p>
    <w:p>
      <w:pPr>
        <w:spacing w:line="300" w:lineRule="auto" w:after="80"/>
        <w:ind w:firstLine="709"/>
        <w:jc w:val="both"/>
      </w:pPr>
      <w:r>
        <w:t>Функция проверки оплаты детализирована так, чтобы показать автоматическое сопоставление ожидаемого платежа и фактического перевода. Администратор не подтверждает корректный перевод вручную. Система получает сведения о транзакции, проверяет сеть, токен, адрес, точную сумму, время и подтверждения, после чего фиксирует оплату и продажу.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5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ef0_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160" w:after="120"/>
      </w:pPr>
      <w:r>
        <w:t>5. Контекстная модель IDEF0 «Как будет»</w:t>
      </w:r>
    </w:p>
    <w:p>
      <w:pPr>
        <w:spacing w:line="300" w:lineRule="auto" w:after="80"/>
        <w:ind w:firstLine="709"/>
        <w:jc w:val="both"/>
      </w:pPr>
      <w:r>
        <w:t>После внедрения целевой системы основные операции объединяются в Telegram-магазине. Покупатель самостоятельно просматривает каталог, оформляет заказ, получает платёжные реквизиты и после автоматического подтверждения перевода получает цифровой товар. Администратор управляет каталогом и поддержкой, а владелец подключается к управлению персоналом и спорным поступлениям.</w:t>
      </w:r>
    </w:p>
    <w:p>
      <w:pPr>
        <w:spacing w:line="300" w:lineRule="auto" w:after="80"/>
        <w:ind w:firstLine="709"/>
        <w:jc w:val="both"/>
      </w:pPr>
      <w:r>
        <w:t>Основная функция целевой модели: A0 - Автоматизировать продажу цифровых товаров через Telegram-магазин.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def0_to_be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20"/>
      </w:pPr>
      <w:r>
        <w:t>6. Построение диаграмм потоков данных DFD</w:t>
      </w:r>
    </w:p>
    <w:p>
      <w:pPr>
        <w:spacing w:line="300" w:lineRule="auto" w:after="80"/>
        <w:ind w:firstLine="709"/>
        <w:jc w:val="both"/>
      </w:pPr>
      <w:r>
        <w:t>DFD используется для информационной детализации целевой модели. В работе построены три уровня: контекстная DFD функции A0, DFD первого уровня с процессами 1.0-5.0 и детальная DFD функции A4, соответствующей процессу 4.0 «Проверять оплату и завершать продажу».</w:t>
      </w:r>
    </w:p>
    <w:p>
      <w:pPr>
        <w:pageBreakBefore/>
      </w:pPr>
    </w:p>
    <w:p>
      <w:pPr>
        <w:pStyle w:val="Heading2"/>
        <w:spacing w:before="160" w:after="120"/>
      </w:pPr>
      <w:r>
        <w:t>6.1. Контекстная DFD функции A0</w:t>
      </w:r>
    </w:p>
    <w:p>
      <w:pPr>
        <w:spacing w:line="300" w:lineRule="auto" w:after="80"/>
        <w:ind w:firstLine="709"/>
        <w:jc w:val="both"/>
      </w:pPr>
      <w:r>
        <w:t>На контекстном уровне вся программная система представлена одним процессом. Внешними сущностями являются покупатель, администратор, владелец, блокчейн-инфраструктура и сервис курсов криптовалют. Потоки задают границу информационной системы и должны сохраняться при последующей декомпозиции.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26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fd_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spacing w:before="160" w:after="120"/>
      </w:pPr>
      <w:r>
        <w:t>6.2. DFD первого уровня функции A0</w:t>
      </w:r>
    </w:p>
    <w:p>
      <w:pPr>
        <w:spacing w:line="300" w:lineRule="auto" w:after="80"/>
        <w:ind w:firstLine="709"/>
        <w:jc w:val="both"/>
      </w:pPr>
      <w:r>
        <w:t>Функция A0 декомпозирована на пять информационных процессов, напрямую соответствующих функциям 1-5 IDEF0. На этом уровне показаны логические хранилища данных. Повторное изображение одной и той же внешней сущности или хранилища используется только для уменьшения пересечений и не означает создание нового объекта.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fd_level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2"/>
        <w:spacing w:before="160" w:after="120"/>
      </w:pPr>
      <w:r>
        <w:t>6.3. DFD функции A4 «Проверять оплату и завершать продажу»</w:t>
      </w:r>
    </w:p>
    <w:p>
      <w:pPr>
        <w:spacing w:line="300" w:lineRule="auto" w:after="80"/>
        <w:ind w:firstLine="709"/>
        <w:jc w:val="both"/>
      </w:pPr>
      <w:r>
        <w:t>Процесс 4.0 декомпозируется на подготовку ожидаемого платежа, получение подтверждённых переводов, проверку параметров транзакции, сопоставление суммы и заказа, а также фиксацию оплаты и продажи. Внешняя блокчейн-инфраструктура используется как источник достоверных сведений о переводе; скриншоты и ручное нажатие кнопки не являются подтверждением оплаты.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213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fd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Style w:val="Heading1"/>
        <w:spacing w:before="160" w:after="120"/>
      </w:pPr>
      <w:r>
        <w:t>7. Вывод</w:t>
      </w:r>
    </w:p>
    <w:p>
      <w:pPr>
        <w:spacing w:line="300" w:lineRule="auto" w:after="80"/>
        <w:ind w:firstLine="709"/>
        <w:jc w:val="both"/>
      </w:pPr>
      <w:r>
        <w:t>В ходе лабораторной работы была рассмотрена предметная область анонимного интернет-магазина цифровых товаров с оплатой криптовалютой и построена функциональная модель процесса продажи.</w:t>
      </w:r>
    </w:p>
    <w:p>
      <w:pPr>
        <w:spacing w:line="300" w:lineRule="auto" w:after="80"/>
        <w:ind w:firstLine="709"/>
        <w:jc w:val="both"/>
      </w:pPr>
      <w:r>
        <w:t>С использованием IDEF0 определены основные функции, их входы, управления, выходы и механизмы. Построены контекстная модель состояния «Как есть», декомпозиция функции A0, детальная модель автоматической проверки оплаты и контекстная модель «Как будет». В IDEF0 не использовались базы данных как элементы бизнес-процесса, а локальные номера функций размещены внутри блоков в соответствии с правилами нотации.</w:t>
      </w:r>
    </w:p>
    <w:p>
      <w:pPr>
        <w:spacing w:line="300" w:lineRule="auto" w:after="80"/>
        <w:ind w:firstLine="709"/>
        <w:jc w:val="both"/>
      </w:pPr>
      <w:r>
        <w:t>С использованием DFD определены границы информационной системы, внешние сущности, процессы, потоки и логические хранилища данных. DFD первого уровня напрямую связана с функциями IDEF0, а процесс проверки оплаты дополнительно детализирован. Все основные потоки направлены слева направо или по выделенным ортогональным трассам, внешние сущности и хранилища взаимодействуют только через процессы.</w:t>
      </w:r>
    </w:p>
    <w:p>
      <w:pPr>
        <w:spacing w:line="300" w:lineRule="auto" w:after="80"/>
        <w:ind w:firstLine="709"/>
        <w:jc w:val="both"/>
      </w:pPr>
      <w:r>
        <w:t>Отдельно учтено требование автоматической проверки оплаты: корректное поступление определяется программной системой по данным блокчейна и параметрам ожидаемого платежа. Ручная проверка владельцем рассматривается только как исключительный сценарий для спорных переводов.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