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b w:val="0"/>
          <w:sz w:val="24"/>
        </w:rPr>
        <w:t>высшего образования</w:t>
      </w:r>
    </w:p>
    <w:p>
      <w:pPr>
        <w:jc w:val="center"/>
      </w:pPr>
      <w:r>
        <w:rPr>
          <w:b w:val="0"/>
          <w:sz w:val="24"/>
        </w:rPr>
        <w:t>«ЧГУ им. Ульянова»</w:t>
      </w:r>
    </w:p>
    <w:p>
      <w:pPr>
        <w:jc w:val="center"/>
      </w:pPr>
      <w:r>
        <w:rPr>
          <w:b w:val="0"/>
          <w:sz w:val="24"/>
        </w:rPr>
        <w:t>Кафедра «Компьютерных технологий»</w:t>
      </w:r>
    </w:p>
    <w:p>
      <w:pPr>
        <w:spacing w:before="1600"/>
        <w:jc w:val="center"/>
      </w:pPr>
      <w:r>
        <w:rPr>
          <w:b/>
          <w:sz w:val="36"/>
        </w:rPr>
        <w:t>ЛАБОРАТОРНАЯ РАБОТА № 2</w:t>
      </w:r>
    </w:p>
    <w:p>
      <w:pPr>
        <w:jc w:val="center"/>
      </w:pPr>
      <w:r>
        <w:rPr>
          <w:b w:val="0"/>
          <w:sz w:val="28"/>
        </w:rPr>
        <w:t>по дисциплине «Проектирование программного обеспечения»</w:t>
      </w:r>
    </w:p>
    <w:p>
      <w:pPr>
        <w:jc w:val="center"/>
      </w:pPr>
      <w:r>
        <w:rPr>
          <w:b/>
          <w:sz w:val="28"/>
        </w:rPr>
        <w:t>Методология IDEF0.</w:t>
      </w:r>
    </w:p>
    <w:p>
      <w:pPr>
        <w:jc w:val="center"/>
      </w:pPr>
      <w:r>
        <w:rPr>
          <w:b w:val="0"/>
          <w:sz w:val="28"/>
        </w:rPr>
        <w:t>Построение диаграмм DFD</w:t>
      </w:r>
    </w:p>
    <w:p>
      <w:pPr>
        <w:spacing w:before="4400"/>
        <w:jc w:val="center"/>
      </w:pPr>
      <w:r>
        <w:t>г. Чебоксары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spacing w:line="276" w:lineRule="auto"/>
        <w:ind w:firstLine="709"/>
        <w:jc w:val="both"/>
      </w:pPr>
      <w:r>
        <w:t>Изучить основные принципы методологии функционального моделирования IDEF0, выполнить последовательную декомпозицию бизнес-процесса и построить связанную с выбранной функцией иерархию диаграмм потоков данных DFD.</w:t>
      </w:r>
    </w:p>
    <w:p>
      <w:pPr>
        <w:spacing w:line="276" w:lineRule="auto"/>
        <w:ind w:firstLine="709"/>
        <w:jc w:val="both"/>
      </w:pPr>
      <w:r>
        <w:t>Предметная область - анонимный интернет-магазин цифровых товаров с оплатой криптовалютой через Telegram. Направление автоматизации - продажа цифрового товара от выбора покупателем до автоматической проверки криптовалютного платежа и выдачи материала.</w:t>
      </w:r>
    </w:p>
    <w:p>
      <w:pPr>
        <w:pStyle w:val="Heading1"/>
      </w:pPr>
      <w:r>
        <w:t>2. Краткие теоретические сведения</w:t>
      </w:r>
    </w:p>
    <w:p>
      <w:pPr>
        <w:spacing w:line="276" w:lineRule="auto"/>
        <w:ind w:firstLine="709"/>
        <w:jc w:val="both"/>
      </w:pPr>
      <w:r>
        <w:t>В IDEF0 контекстная диаграмма имеет узловой номер A-0 и содержит единственный функциональный блок с локальным номером 0. Декомпозиция этого блока образует диаграмму A0. Блоки на A0 имеют локальные номера 1, 2, 3 и т. д.; при декомпозиции блока 2 получается диаграмма A2, а при дальнейшей декомпозиции, например, блока 4 на A2 - диаграмма A24.</w:t>
      </w:r>
    </w:p>
    <w:p>
      <w:pPr>
        <w:spacing w:line="276" w:lineRule="auto"/>
        <w:ind w:firstLine="709"/>
        <w:jc w:val="both"/>
      </w:pPr>
      <w:r>
        <w:t>Таким образом, переход A-0 → A0 является правильным. Переход A0 → A1/A2/A3 относится уже к декомпозиции конкретных блоков, находящихся на диаграмме A0. Именно эта иерархия используется далее в работе.</w:t>
      </w:r>
    </w:p>
    <w:p>
      <w:pPr>
        <w:spacing w:line="276" w:lineRule="auto"/>
        <w:ind w:firstLine="709"/>
        <w:jc w:val="both"/>
      </w:pPr>
      <w:r>
        <w:t>Входы IDEF0 подходят к блоку слева, управления - сверху, выходы - справа, механизмы - снизу. Имена граничных стрелок при переходе между родительской и дочерней диаграммами сохраняются без перефразирования. Буквенные обозначения I1, C1, O1 и M1 на стрелках не используются.</w:t>
      </w:r>
    </w:p>
    <w:p>
      <w:pPr>
        <w:spacing w:line="276" w:lineRule="auto"/>
        <w:ind w:firstLine="709"/>
        <w:jc w:val="both"/>
      </w:pPr>
      <w:r>
        <w:t>DFD описывает движение данных между внешними сущностями, процессами и хранилищами. В данной работе DFD строится для автоматизированного варианта функции продажи цифровых товаров и сохраняет ту же предметную границу.</w:t>
      </w:r>
    </w:p>
    <w:p>
      <w:pPr>
        <w:pStyle w:val="Heading1"/>
      </w:pPr>
      <w:r>
        <w:t>3. Предметная область и границы модели</w:t>
      </w:r>
    </w:p>
    <w:p>
      <w:pPr>
        <w:ind w:left="397" w:hanging="227"/>
      </w:pPr>
      <w:r>
        <w:t>•  магазин продаёт цифровые товары и не выполняет физическую доставку;</w:t>
      </w:r>
    </w:p>
    <w:p>
      <w:pPr>
        <w:ind w:left="397" w:hanging="227"/>
      </w:pPr>
      <w:r>
        <w:t>•  покупатель выбирает товар, оформляет заказ и оплачивает его криптовалютой;</w:t>
      </w:r>
    </w:p>
    <w:p>
      <w:pPr>
        <w:ind w:left="397" w:hanging="227"/>
      </w:pPr>
      <w:r>
        <w:t>•  до внедрения единого Telegram-магазина значительная часть операций выполняется продавцом или администратором вручную;</w:t>
      </w:r>
    </w:p>
    <w:p>
      <w:pPr>
        <w:ind w:left="397" w:hanging="227"/>
      </w:pPr>
      <w:r>
        <w:t>•  в целевой системе сведения о переводе проверяются автоматически; корректный платёж не подтверждается администратором вручную;</w:t>
      </w:r>
    </w:p>
    <w:p>
      <w:pPr>
        <w:ind w:left="397" w:hanging="227"/>
      </w:pPr>
      <w:r>
        <w:t>•  после подтверждения оплаты покупателю автоматически выдаётся цифровой товар и обновляется статус заказа.</w:t>
      </w:r>
    </w:p>
    <w:p>
      <w:pPr>
        <w:pStyle w:val="Heading1"/>
      </w:pPr>
      <w:r>
        <w:t>4. Функциональная модель IDEF0 «Как есть»</w:t>
      </w:r>
    </w:p>
    <w:p>
      <w:pPr>
        <w:spacing w:line="276" w:lineRule="auto"/>
        <w:ind w:firstLine="709"/>
        <w:jc w:val="both"/>
      </w:pPr>
      <w:r>
        <w:t>Чтобы иерархия была однозначной, модель начинается не с частной операции продажи, а с общей деятельности анонимного интернет-магазина. Затем на диаграмме A0 выделяется функция продажи цифровых товаров, которая получает локальный номер 2. Её декомпозиция поэтому имеет узловой номер A2.</w:t>
      </w:r>
    </w:p>
    <w:p>
      <w:pPr>
        <w:pStyle w:val="Heading2"/>
      </w:pPr>
      <w:r>
        <w:t>4.1. Контекстная диаграмма A-0</w:t>
      </w:r>
    </w:p>
    <w:p>
      <w:pPr>
        <w:spacing w:line="276" w:lineRule="auto"/>
        <w:ind w:firstLine="709"/>
        <w:jc w:val="both"/>
      </w:pPr>
      <w:r>
        <w:t>Контекстная функция - «Осуществлять деятельность анонимного интернет-магазина». Эта диаграмма задаёт границу модели состояния «Как есть». Механизм «Продавец / администратор» показан на верхнем уровне и туннелирован, чтобы не дублировать его на всех дочерних функциях.</w:t>
      </w:r>
    </w:p>
    <w:p>
      <w:pPr>
        <w:sectPr>
          <w:footerReference w:type="default" r:id="rId9"/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f0_as_is_A_minus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2"/>
      </w:pPr>
      <w:r>
        <w:t>4.2. Декомпозиция функции A0</w:t>
      </w:r>
    </w:p>
    <w:p>
      <w:pPr>
        <w:spacing w:line="276" w:lineRule="auto"/>
        <w:ind w:firstLine="709"/>
        <w:jc w:val="both"/>
      </w:pPr>
      <w:r>
        <w:t>Декомпозиция контекстного блока A-0 образует диаграмму A0. На ней деятельность магазина разделена на три крупные функции: управление ассортиментом, продажу цифровых товаров и обработку обращений покупателей. Функция «Осуществлять продажу цифровых товаров» имеет локальный номер 2, поэтому её дочерняя диаграмма называется A2.</w:t>
      </w:r>
    </w:p>
    <w:p>
      <w:pPr>
        <w:sectPr>
          <w:footerReference w:type="default" r:id="rId12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f0_as_is_A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3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2"/>
      </w:pPr>
      <w:r>
        <w:t>4.3. Декомпозиция функции A2 «Осуществлять продажу цифровых товаров»</w:t>
      </w:r>
    </w:p>
    <w:p>
      <w:pPr>
        <w:spacing w:line="276" w:lineRule="auto"/>
        <w:ind w:firstLine="709"/>
        <w:jc w:val="both"/>
      </w:pPr>
      <w:r>
        <w:t>На диаграмме A2 выбранный бизнес-процесс детализирован на пять функций состояния «Как есть»: предоставление сведений о товаре, приём заказа, передача реквизитов для оплаты, проверка перевода и выдача цифрового товара. Граничные стрелки «Запросы покупателей», «Актуальные сведения о товарах», «Сведения о переводах», «Платёжные реквизиты», «Выданные цифровые товары» и «Статус заказа» полностью совпадают с интерфейсом блока 2 на родительской диаграмме A0.</w:t>
      </w:r>
    </w:p>
    <w:p>
      <w:pPr>
        <w:sectPr>
          <w:footerReference w:type="default" r:id="rId15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f0_as_is_A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6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1"/>
      </w:pPr>
      <w:r>
        <w:t>5. Контекстная модель IDEF0 «Как будет»</w:t>
      </w:r>
    </w:p>
    <w:p>
      <w:pPr>
        <w:spacing w:line="276" w:lineRule="auto"/>
        <w:ind w:firstLine="709"/>
        <w:jc w:val="both"/>
      </w:pPr>
      <w:r>
        <w:t>Направлением автоматизации выбрана функция A2 «Осуществлять продажу цифровых товаров». В соответствии с заданием модель «Как будет» показывается только на контекстном уровне. Это отдельная IDEF0-модель целевого состояния, поэтому её контекстный узел снова имеет стандартный номер A-0; в правой части нижнего титульного блока явно указано «Как будет», чтобы не смешивать её с моделью состояния «Как есть».</w:t>
      </w:r>
    </w:p>
    <w:p>
      <w:pPr>
        <w:spacing w:line="276" w:lineRule="auto"/>
        <w:ind w:firstLine="709"/>
        <w:jc w:val="both"/>
      </w:pPr>
      <w:r>
        <w:t>После внедрения программного продукта функция выполняется единым Telegram-магазином. Проверка поступления криптовалюты выполняется автоматически по сведениям блокчейн-сети и параметрам ожидаемого платежа.</w:t>
      </w:r>
    </w:p>
    <w:p>
      <w:pPr>
        <w:sectPr>
          <w:footerReference w:type="default" r:id="rId18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def0_to_be_A_minus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9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1"/>
      </w:pPr>
      <w:r>
        <w:t>6. Построение диаграмм потоков данных DFD</w:t>
      </w:r>
    </w:p>
    <w:p>
      <w:pPr>
        <w:spacing w:line="276" w:lineRule="auto"/>
        <w:ind w:firstLine="709"/>
        <w:jc w:val="both"/>
      </w:pPr>
      <w:r>
        <w:t>DFD строится для той же автоматизируемой функции, которая показана на контекстной модели «Как будет»: «Осуществлять продажу цифровых товаров через единый Telegram-магазин». Поэтому DFD не является отдельной несвязанной схемой, а раскрывает информационную реализацию выбранного бизнес-процесса.</w:t>
      </w:r>
    </w:p>
    <w:p>
      <w:pPr>
        <w:pStyle w:val="Heading2"/>
      </w:pPr>
      <w:r>
        <w:t>6.1. Контекстная DFD</w:t>
      </w:r>
    </w:p>
    <w:p>
      <w:pPr>
        <w:spacing w:line="276" w:lineRule="auto"/>
        <w:ind w:firstLine="709"/>
        <w:jc w:val="both"/>
      </w:pPr>
      <w:r>
        <w:t>На контекстном уровне вся автоматизированная функция представлена процессом 0. Внешними источниками и приёмниками данных являются покупатель, каталог товаров и блокчейн-сеть. Названия основных потоков согласованы с контекстной IDEF0-моделью «Как будет».</w:t>
      </w:r>
    </w:p>
    <w:p>
      <w:pPr>
        <w:sectPr>
          <w:footerReference w:type="default" r:id="rId21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fd_contex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2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2"/>
      </w:pPr>
      <w:r>
        <w:t>6.2. DFD первого уровня</w:t>
      </w:r>
    </w:p>
    <w:p>
      <w:pPr>
        <w:spacing w:line="276" w:lineRule="auto"/>
        <w:ind w:firstLine="709"/>
        <w:jc w:val="both"/>
      </w:pPr>
      <w:r>
        <w:t>Процесс 0 декомпозирован слева направо на пять процессов: предоставление сведений о товаре, оформление заказа, формирование платёжного запроса, автоматическую проверку оплаты и выдачу цифрового товара. На дочернем уровне используются хранилища заказов, ожидаемых платежей и цифровых материалов.</w:t>
      </w:r>
    </w:p>
    <w:p>
      <w:pPr>
        <w:sectPr>
          <w:footerReference w:type="default" r:id="rId24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fd_level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5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2"/>
      </w:pPr>
      <w:r>
        <w:t>6.3. Детализация процесса 4.0 «Автоматически проверить оплату»</w:t>
      </w:r>
    </w:p>
    <w:p>
      <w:pPr>
        <w:spacing w:line="276" w:lineRule="auto"/>
        <w:ind w:firstLine="709"/>
        <w:jc w:val="both"/>
      </w:pPr>
      <w:r>
        <w:t>Процесс автоматической проверки оплаты декомпозирован на получение ожидаемого платежа, получение сведений о переводах, сопоставление перевода с заказом и подтверждение оплаты. После успешной проверки формируется поток «Оплаченный заказ», передаваемый процессу 5.0. Статус оплаты фиксируется в данных заказа автоматически.</w:t>
      </w:r>
    </w:p>
    <w:p>
      <w:pPr>
        <w:sectPr>
          <w:footerReference w:type="default" r:id="rId27"/>
          <w:type w:val="nextPage"/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08000" cy="5274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fd_process_4_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08000" cy="527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28"/>
          <w:type w:val="nextPage"/>
          <w:pgSz w:w="16838" w:h="11906" w:orient="landscape"/>
          <w:pgMar w:top="397" w:right="397" w:bottom="397" w:left="397" w:header="720" w:footer="720" w:gutter="0"/>
          <w:cols w:space="720"/>
          <w:docGrid w:linePitch="360"/>
        </w:sectPr>
      </w:pPr>
    </w:p>
    <w:p>
      <w:pPr>
        <w:pStyle w:val="Heading1"/>
      </w:pPr>
      <w:r>
        <w:t>7. Вывод</w:t>
      </w:r>
    </w:p>
    <w:p>
      <w:pPr>
        <w:spacing w:line="276" w:lineRule="auto"/>
        <w:ind w:firstLine="709"/>
        <w:jc w:val="both"/>
      </w:pPr>
      <w:r>
        <w:t>В исправленной версии устранено смешение уровней IDEF0. Контекстная диаграмма состояния «Как есть» имеет номер A-0; её декомпозиция - A0; выбранная функция продажи находится на A0 под номером 2, поэтому её дочерняя диаграмма имеет номер A2. Отдельная модель «Как будет» показывает автоматизированное состояние выбранной функции только на контекстном уровне A-0, как требуется заданием.</w:t>
      </w:r>
    </w:p>
    <w:p>
      <w:pPr>
        <w:spacing w:line="276" w:lineRule="auto"/>
        <w:ind w:firstLine="709"/>
        <w:jc w:val="both"/>
      </w:pPr>
      <w:r>
        <w:t>DFD построена для автоматизированной функции продажи и последовательно детализирована от контекстного процесса до процесса автоматической проверки оплаты. Все стрелки проложены ортогонально, названия граничных IDEF0-потоков сохранены между уровнями, а буквенные префиксы I1/C1/O1/M1 исключены.</w:t>
      </w:r>
    </w:p>
    <w:sectPr w:rsidR="00FC693F" w:rsidRPr="0006063C" w:rsidSect="00034616">
      <w:footerReference w:type="default" r:id="rId30"/>
      <w:type w:val="nextPage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image" Target="media/image4.png"/><Relationship Id="rId21" Type="http://schemas.openxmlformats.org/officeDocument/2006/relationships/footer" Target="footer9.xml"/><Relationship Id="rId22" Type="http://schemas.openxmlformats.org/officeDocument/2006/relationships/footer" Target="footer10.xml"/><Relationship Id="rId23" Type="http://schemas.openxmlformats.org/officeDocument/2006/relationships/image" Target="media/image5.png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image" Target="media/image6.png"/><Relationship Id="rId27" Type="http://schemas.openxmlformats.org/officeDocument/2006/relationships/footer" Target="footer13.xml"/><Relationship Id="rId28" Type="http://schemas.openxmlformats.org/officeDocument/2006/relationships/footer" Target="footer14.xml"/><Relationship Id="rId29" Type="http://schemas.openxmlformats.org/officeDocument/2006/relationships/image" Target="media/image7.png"/><Relationship Id="rId3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