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C7A2E"/>
          <w:sz w:val="20"/>
          <w:szCs w:val="20"/>
        </w:rPr>
        <w:t xml:space="preserve">FUNDAMENTOS DE LA PALABRA</w:t>
      </w:r>
    </w:p>
    <w:p>
      <w:pPr>
        <w:spacing w:after="60"/>
      </w:pPr>
      <w:r>
        <w:rPr>
          <w:b/>
          <w:bCs/>
          <w:color w:val="1F3A5F"/>
          <w:sz w:val="40"/>
          <w:szCs w:val="40"/>
        </w:rPr>
        <w:t xml:space="preserve">Propuesta técnica — Módulo 7 · Estudio Profundo</w:t>
      </w:r>
    </w:p>
    <w:p>
      <w:pPr>
        <w:spacing w:after="300"/>
      </w:pPr>
      <w:r>
        <w:rPr>
          <w:i/>
          <w:iCs/>
          <w:color w:val="555555"/>
          <w:sz w:val="20"/>
          <w:szCs w:val="20"/>
        </w:rPr>
        <w:t xml:space="preserve">Un repaso final del curso en profundidad: texto, contexto, idioma original y aplicación · 2 de agosto de 2026</w:t>
      </w:r>
    </w:p>
    <w:p>
      <w:pPr>
        <w:pBdr>
          <w:bottom w:val="single" w:color="CCCCCC" w:sz="6" w:space="1"/>
        </w:pBdr>
        <w:spacing w:after="200" w:before="200"/>
      </w:pPr>
      <w:r>
        <w:t xml:space="preserve"/>
      </w:r>
    </w:p>
    <w:p>
      <w:pPr>
        <w:pStyle w:val="Heading1"/>
        <w:spacing w:after="160" w:before="360"/>
      </w:pPr>
      <w:r>
        <w:rPr>
          <w:b/>
          <w:bCs/>
          <w:color w:val="1F3A5F"/>
          <w:sz w:val="30"/>
          <w:szCs w:val="30"/>
        </w:rPr>
        <w:t xml:space="preserve">1. Qué es y para qué sirve</w:t>
      </w:r>
    </w:p>
    <w:p>
      <w:pPr>
        <w:spacing w:after="160" w:line="300"/>
      </w:pPr>
      <w:r>
        <w:rPr>
          <w:sz w:val="22"/>
          <w:szCs w:val="22"/>
        </w:rPr>
        <w:t xml:space="preserve">El Módulo 7 no enseña contenido nuevo: es un repaso profundo de todo lo aprendido en los módulos 1 a 6, pero mirando cada tema con más capas de las que da tiempo a ver semana a semana en clase. El objetivo no es que la IA “revele” significados ocultos, sino que ayude al alumno a distinguir con rigor entre lo que el texto dice, lo que aporta el contexto histórico y literario, lo que el hebreo o el griego aclaran en puntos concretos, y lo que ya es interpretación o aplicación personal.</w:t>
      </w:r>
    </w:p>
    <w:p>
      <w:pPr>
        <w:spacing w:after="160" w:line="300"/>
      </w:pPr>
      <w:r>
        <w:rPr>
          <w:sz w:val="22"/>
          <w:szCs w:val="22"/>
        </w:rPr>
        <w:t xml:space="preserve">Se apoya en un método de ocho capas fijas (propuesto por Lumen) que se repite para cada pasaje de repaso, de modo que el alumno aprende también el método, no solo el contenido:</w:t>
      </w:r>
    </w:p>
    <w:p>
      <w:pPr>
        <w:pStyle w:val="ListParagraph"/>
        <w:numPr>
          <w:ilvl w:val="0"/>
          <w:numId w:val="2"/>
        </w:numPr>
        <w:spacing w:after="90" w:line="280"/>
      </w:pPr>
      <w:r>
        <w:rPr>
          <w:sz w:val="22"/>
          <w:szCs w:val="22"/>
        </w:rPr>
        <w:t xml:space="preserve">1. Texto — el pasaje completo en su contexto, nunca un versículo suelto.</w:t>
      </w:r>
    </w:p>
    <w:p>
      <w:pPr>
        <w:pStyle w:val="ListParagraph"/>
        <w:numPr>
          <w:ilvl w:val="0"/>
          <w:numId w:val="2"/>
        </w:numPr>
        <w:spacing w:after="90" w:line="280"/>
      </w:pPr>
      <w:r>
        <w:rPr>
          <w:sz w:val="22"/>
          <w:szCs w:val="22"/>
        </w:rPr>
        <w:t xml:space="preserve">2. Contexto histórico — quién escribe, a quién, y qué ocurría en ese momento.</w:t>
      </w:r>
    </w:p>
    <w:p>
      <w:pPr>
        <w:pStyle w:val="ListParagraph"/>
        <w:numPr>
          <w:ilvl w:val="0"/>
          <w:numId w:val="2"/>
        </w:numPr>
        <w:spacing w:after="90" w:line="280"/>
      </w:pPr>
      <w:r>
        <w:rPr>
          <w:sz w:val="22"/>
          <w:szCs w:val="22"/>
        </w:rPr>
        <w:t xml:space="preserve">3. Contexto literario — género (narración, poesía, profecía, carta) y qué rodea al pasaje.</w:t>
      </w:r>
    </w:p>
    <w:p>
      <w:pPr>
        <w:pStyle w:val="ListParagraph"/>
        <w:numPr>
          <w:ilvl w:val="0"/>
          <w:numId w:val="2"/>
        </w:numPr>
        <w:spacing w:after="90" w:line="280"/>
      </w:pPr>
      <w:r>
        <w:rPr>
          <w:sz w:val="22"/>
          <w:szCs w:val="22"/>
        </w:rPr>
        <w:t xml:space="preserve">4. Hebreo o griego — solo cuando una palabra cambia realmente el sentido en español.</w:t>
      </w:r>
    </w:p>
    <w:p>
      <w:pPr>
        <w:pStyle w:val="ListParagraph"/>
        <w:numPr>
          <w:ilvl w:val="0"/>
          <w:numId w:val="2"/>
        </w:numPr>
        <w:spacing w:after="90" w:line="280"/>
      </w:pPr>
      <w:r>
        <w:rPr>
          <w:sz w:val="22"/>
          <w:szCs w:val="22"/>
        </w:rPr>
        <w:t xml:space="preserve">5. Conexiones con el resto de la Escritura — cómo se relaciona con Génesis, los Profetas, los Evangelios o las cartas.</w:t>
      </w:r>
    </w:p>
    <w:p>
      <w:pPr>
        <w:pStyle w:val="ListParagraph"/>
        <w:numPr>
          <w:ilvl w:val="0"/>
          <w:numId w:val="2"/>
        </w:numPr>
        <w:spacing w:after="90" w:line="280"/>
      </w:pPr>
      <w:r>
        <w:rPr>
          <w:sz w:val="22"/>
          <w:szCs w:val="22"/>
        </w:rPr>
        <w:t xml:space="preserve">6. Historia de la interpretación — qué entendieron los primeros cristianos y qué consenso existe.</w:t>
      </w:r>
    </w:p>
    <w:p>
      <w:pPr>
        <w:pStyle w:val="ListParagraph"/>
        <w:numPr>
          <w:ilvl w:val="0"/>
          <w:numId w:val="2"/>
        </w:numPr>
        <w:spacing w:after="90" w:line="280"/>
      </w:pPr>
      <w:r>
        <w:rPr>
          <w:sz w:val="22"/>
          <w:szCs w:val="22"/>
        </w:rPr>
        <w:t xml:space="preserve">7. Aplicación práctica — qué revela sobre Dios, sobre el ser humano, y cómo transforma la vida.</w:t>
      </w:r>
    </w:p>
    <w:p>
      <w:pPr>
        <w:pStyle w:val="ListParagraph"/>
        <w:numPr>
          <w:ilvl w:val="0"/>
          <w:numId w:val="2"/>
        </w:numPr>
        <w:spacing w:after="90" w:line="280"/>
      </w:pPr>
      <w:r>
        <w:rPr>
          <w:sz w:val="22"/>
          <w:szCs w:val="22"/>
        </w:rPr>
        <w:t xml:space="preserve">8. Límites — separando siempre lo que el texto afirma, lo que es una deducción razonable y lo que es opinión.</w:t>
      </w:r>
    </w:p>
    <w:p>
      <w:pPr>
        <w:pStyle w:val="Heading1"/>
        <w:spacing w:after="160" w:before="360"/>
      </w:pPr>
      <w:r>
        <w:rPr>
          <w:b/>
          <w:bCs/>
          <w:color w:val="1F3A5F"/>
          <w:sz w:val="30"/>
          <w:szCs w:val="30"/>
        </w:rPr>
        <w:t xml:space="preserve">2. Cómo encaja en la web actual</w:t>
      </w:r>
    </w:p>
    <w:p>
      <w:pPr>
        <w:spacing w:after="160" w:line="300"/>
      </w:pPr>
      <w:r>
        <w:rPr>
          <w:sz w:val="22"/>
          <w:szCs w:val="22"/>
        </w:rPr>
        <w:t xml:space="preserve">No hace falta rehacer el curso. La estructura de módulos y lecciones que ya existe en courseData.js admite un módulo más de forma natural.</w:t>
      </w:r>
    </w:p>
    <w:p>
      <w:pPr>
        <w:spacing w:after="60" w:before="200"/>
      </w:pPr>
      <w:r>
        <w:rPr>
          <w:b/>
          <w:bCs/>
          <w:color w:val="9C7A2E"/>
          <w:sz w:val="22"/>
          <w:szCs w:val="22"/>
        </w:rPr>
        <w:t xml:space="preserve">Lo que se reutiliza tal cual:</w:t>
      </w:r>
    </w:p>
    <w:p>
      <w:pPr>
        <w:pStyle w:val="ListParagraph"/>
        <w:numPr>
          <w:ilvl w:val="0"/>
          <w:numId w:val="2"/>
        </w:numPr>
        <w:spacing w:after="90" w:line="280"/>
      </w:pPr>
      <w:r>
        <w:rPr>
          <w:sz w:val="22"/>
          <w:szCs w:val="22"/>
        </w:rPr>
        <w:t xml:space="preserve">El patrón de módulos: se añade un séptimo bloque (“Módulo 7: Estudio Profundo”) junto a los otros seis en el índice de la izquierda.</w:t>
      </w:r>
    </w:p>
    <w:p>
      <w:pPr>
        <w:pStyle w:val="ListParagraph"/>
        <w:numPr>
          <w:ilvl w:val="0"/>
          <w:numId w:val="2"/>
        </w:numPr>
        <w:spacing w:after="90" w:line="280"/>
      </w:pPr>
      <w:r>
        <w:rPr>
          <w:sz w:val="22"/>
          <w:szCs w:val="22"/>
        </w:rPr>
        <w:t xml:space="preserve">El flag disponible: true/false, para que el módulo esté preparado pero invisible/bloqueado hasta que tú des el visto bueno — igual que cualquier lección normal.</w:t>
      </w:r>
    </w:p>
    <w:p>
      <w:pPr>
        <w:pStyle w:val="ListParagraph"/>
        <w:numPr>
          <w:ilvl w:val="0"/>
          <w:numId w:val="2"/>
        </w:numPr>
        <w:spacing w:after="90" w:line="280"/>
      </w:pPr>
      <w:r>
        <w:rPr>
          <w:sz w:val="22"/>
          <w:szCs w:val="22"/>
        </w:rPr>
        <w:t xml:space="preserve">El sistema de progreso y “lección completada” que ya existe.</w:t>
      </w:r>
    </w:p>
    <w:p>
      <w:pPr>
        <w:spacing w:after="60" w:before="200"/>
      </w:pPr>
      <w:r>
        <w:rPr>
          <w:b/>
          <w:bCs/>
          <w:color w:val="9C7A2E"/>
          <w:sz w:val="22"/>
          <w:szCs w:val="22"/>
        </w:rPr>
        <w:t xml:space="preserve">Lo que sí es nuevo:</w:t>
      </w:r>
    </w:p>
    <w:p>
      <w:pPr>
        <w:spacing w:after="160" w:line="300"/>
      </w:pPr>
      <w:r>
        <w:rPr>
          <w:sz w:val="22"/>
          <w:szCs w:val="22"/>
        </w:rPr>
        <w:t xml:space="preserve">Cada lección normal se muestra hoy con 4 pestañas fijas: Resumen, Actividad, Test y Material. El repaso de Estudio Profundo no encaja en ese formato porque cada pasaje tiene 8 capas propias, no 4 pestañas genéricas. Lo más limpio es crear una vista nueva (un componente aparte, por ejemplo EstudioProfundo.jsx) pensada para mostrar las 8 capas de un pasaje, enlazada desde el Módulo 7. El resto de la web (login, progreso, certificado) no se toca.</w:t>
      </w:r>
    </w:p>
    <w:p>
      <w:pPr>
        <w:pStyle w:val="Heading1"/>
        <w:spacing w:after="160" w:before="360"/>
      </w:pPr>
      <w:r>
        <w:rPr>
          <w:b/>
          <w:bCs/>
          <w:color w:val="1F3A5F"/>
          <w:sz w:val="30"/>
          <w:szCs w:val="30"/>
        </w:rPr>
        <w:t xml:space="preserve">3. Los datos que hacen falta</w:t>
      </w:r>
    </w:p>
    <w:p>
      <w:pPr>
        <w:spacing w:after="160" w:line="300"/>
      </w:pPr>
      <w:r>
        <w:rPr>
          <w:sz w:val="22"/>
          <w:szCs w:val="22"/>
        </w:rPr>
        <w:t xml:space="preserve">Aquí está el trabajo real del proyecto: no es “conectar una IA a la Biblia”, es preparar una base de pasajes bien estructurada, y que la IA se apoye en ella — nunca que improvise sobre la marcha.</w:t>
      </w:r>
    </w:p>
    <w:p>
      <w:pPr>
        <w:pStyle w:val="Heading2"/>
        <w:spacing w:after="120" w:before="280"/>
      </w:pPr>
      <w:r>
        <w:rPr>
          <w:b/>
          <w:bCs/>
          <w:color w:val="1F3A5F"/>
          <w:sz w:val="24"/>
          <w:szCs w:val="24"/>
        </w:rPr>
        <w:t xml:space="preserve">3.1 El texto en español: el problema del copyright</w:t>
      </w:r>
    </w:p>
    <w:p>
      <w:pPr>
        <w:spacing w:after="160" w:line="300"/>
      </w:pPr>
      <w:r>
        <w:rPr>
          <w:sz w:val="22"/>
          <w:szCs w:val="22"/>
        </w:rPr>
        <w:t xml:space="preserve">La Reina-Valera 1960 (RV1960) que usáis en clase no es de dominio público: la editorial (Sociedades Bíblicas Unidas) permite citar hasta 500 palabras o el 25% de una obra sin permiso; por encima de eso hace falta autorización formal. Un módulo de repaso que reproduce el texto completo de muchos pasajes, capa por capa, puede superar ese límite con facilidad.</w:t>
      </w:r>
    </w:p>
    <w:p>
      <w:pPr>
        <w:spacing w:after="160" w:line="300"/>
      </w:pPr>
      <w:r>
        <w:rPr>
          <w:sz w:val="22"/>
          <w:szCs w:val="22"/>
        </w:rPr>
        <w:t xml:space="preserve">Dos caminos, no excluyentes:</w:t>
      </w:r>
    </w:p>
    <w:p>
      <w:pPr>
        <w:pStyle w:val="ListParagraph"/>
        <w:numPr>
          <w:ilvl w:val="0"/>
          <w:numId w:val="2"/>
        </w:numPr>
        <w:spacing w:after="90" w:line="280"/>
      </w:pPr>
      <w:r>
        <w:rPr>
          <w:sz w:val="22"/>
          <w:szCs w:val="22"/>
        </w:rPr>
        <w:t xml:space="preserve">Pedir permiso de uso a Sociedades Bíblicas Unidas (licensing@americanbible.org) para este uso educativo concreto — lo más correcto si el curso sigue creciendo.</w:t>
      </w:r>
    </w:p>
    <w:p>
      <w:pPr>
        <w:pStyle w:val="ListParagraph"/>
        <w:numPr>
          <w:ilvl w:val="0"/>
          <w:numId w:val="2"/>
        </w:numPr>
        <w:spacing w:after="90" w:line="280"/>
      </w:pPr>
      <w:r>
        <w:rPr>
          <w:sz w:val="22"/>
          <w:szCs w:val="22"/>
        </w:rPr>
        <w:t xml:space="preserve">Mientras tanto, usar como base técnica una versión española de dominio público (por ejemplo, la Reina-Valera Antigua de 1909) para el texto que se muestra y se procesa por capas, dejando claro que la clase en vivo sigue enseñando con RV1960 tal como ya hacéis.</w:t>
      </w:r>
    </w:p>
    <w:p>
      <w:pPr>
        <w:pStyle w:val="Heading2"/>
        <w:spacing w:after="120" w:before="280"/>
      </w:pPr>
      <w:r>
        <w:rPr>
          <w:b/>
          <w:bCs/>
          <w:color w:val="1F3A5F"/>
          <w:sz w:val="24"/>
          <w:szCs w:val="24"/>
        </w:rPr>
        <w:t xml:space="preserve">3.2 Hebreo y griego: fuentes abiertas ya existentes</w:t>
      </w:r>
    </w:p>
    <w:p>
      <w:pPr>
        <w:spacing w:after="160" w:line="300"/>
      </w:pPr>
      <w:r>
        <w:rPr>
          <w:sz w:val="22"/>
          <w:szCs w:val="22"/>
        </w:rPr>
        <w:t xml:space="preserve">No hace falta crear un léxico hebreo-griego desde cero. Existen proyectos abiertos y gratuitos, ya usados por software bíblico serio, que se pueden integrar directamente: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c>
          <w:tcPr>
            <w:tcW w:type="dxa" w:w="2800"/>
            <w:shd w:fill="1F3A5F" w:val="clear"/>
            <w:tcMar>
              <w:top w:type="dxa" w:w="100"/>
              <w:left w:type="dxa" w:w="120"/>
              <w:bottom w:type="dxa" w:w="100"/>
              <w:right w:type="dxa" w:w="120"/>
            </w:tcMar>
          </w:tcPr>
          <w:p>
            <w:r>
              <w:rPr>
                <w:b/>
                <w:bCs/>
                <w:color w:val="FFFFFF"/>
                <w:sz w:val="20"/>
                <w:szCs w:val="20"/>
              </w:rPr>
              <w:t xml:space="preserve">Recurso</w:t>
            </w:r>
          </w:p>
        </w:tc>
        <w:tc>
          <w:tcPr>
            <w:tcW w:type="dxa" w:w="3800"/>
            <w:shd w:fill="1F3A5F" w:val="clear"/>
            <w:tcMar>
              <w:top w:type="dxa" w:w="100"/>
              <w:left w:type="dxa" w:w="120"/>
              <w:bottom w:type="dxa" w:w="100"/>
              <w:right w:type="dxa" w:w="120"/>
            </w:tcMar>
          </w:tcPr>
          <w:p>
            <w:r>
              <w:rPr>
                <w:b/>
                <w:bCs/>
                <w:color w:val="FFFFFF"/>
                <w:sz w:val="20"/>
                <w:szCs w:val="20"/>
              </w:rPr>
              <w:t xml:space="preserve">Qué aporta</w:t>
            </w:r>
          </w:p>
        </w:tc>
        <w:tc>
          <w:tcPr>
            <w:tcW w:type="dxa" w:w="2800"/>
            <w:shd w:fill="1F3A5F" w:val="clear"/>
            <w:tcMar>
              <w:top w:type="dxa" w:w="100"/>
              <w:left w:type="dxa" w:w="120"/>
              <w:bottom w:type="dxa" w:w="100"/>
              <w:right w:type="dxa" w:w="120"/>
            </w:tcMar>
          </w:tcPr>
          <w:p>
            <w:r>
              <w:rPr>
                <w:b/>
                <w:bCs/>
                <w:color w:val="FFFFFF"/>
                <w:sz w:val="20"/>
                <w:szCs w:val="20"/>
              </w:rPr>
              <w:t xml:space="preserve">Licencia / coste</w:t>
            </w:r>
          </w:p>
        </w:tc>
      </w:tr>
      <w:tr>
        <w:tc>
          <w:tcPr>
            <w:tcW w:type="dxa" w:w="2800"/>
            <w:tcMar>
              <w:top w:type="dxa" w:w="100"/>
              <w:left w:type="dxa" w:w="120"/>
              <w:bottom w:type="dxa" w:w="100"/>
              <w:right w:type="dxa" w:w="120"/>
            </w:tcMar>
          </w:tcPr>
          <w:p>
            <w:r>
              <w:rPr>
                <w:b w:val="false"/>
                <w:bCs w:val="false"/>
                <w:color w:val="1A1A1A"/>
                <w:sz w:val="20"/>
                <w:szCs w:val="20"/>
              </w:rPr>
              <w:t xml:space="preserve">Open Scriptures Hebrew Bible (OSHB)</w:t>
            </w:r>
          </w:p>
        </w:tc>
        <w:tc>
          <w:tcPr>
            <w:tcW w:type="dxa" w:w="3800"/>
            <w:tcMar>
              <w:top w:type="dxa" w:w="100"/>
              <w:left w:type="dxa" w:w="120"/>
              <w:bottom w:type="dxa" w:w="100"/>
              <w:right w:type="dxa" w:w="120"/>
            </w:tcMar>
          </w:tcPr>
          <w:p>
            <w:r>
              <w:rPr>
                <w:b w:val="false"/>
                <w:bCs w:val="false"/>
                <w:color w:val="1A1A1A"/>
                <w:sz w:val="20"/>
                <w:szCs w:val="20"/>
              </w:rPr>
              <w:t xml:space="preserve">Antiguo Testamento en hebreo (Códice de Leningrado) con números Strong y morfología</w:t>
            </w:r>
          </w:p>
        </w:tc>
        <w:tc>
          <w:tcPr>
            <w:tcW w:type="dxa" w:w="2800"/>
            <w:tcMar>
              <w:top w:type="dxa" w:w="100"/>
              <w:left w:type="dxa" w:w="120"/>
              <w:bottom w:type="dxa" w:w="100"/>
              <w:right w:type="dxa" w:w="120"/>
            </w:tcMar>
          </w:tcPr>
          <w:p>
            <w:r>
              <w:rPr>
                <w:b w:val="false"/>
                <w:bCs w:val="false"/>
                <w:color w:val="1A1A1A"/>
                <w:sz w:val="20"/>
                <w:szCs w:val="20"/>
              </w:rPr>
              <w:t xml:space="preserve">Abierta, gratuita, citando la fuente</w:t>
            </w:r>
          </w:p>
        </w:tc>
      </w:tr>
      <w:tr>
        <w:tc>
          <w:tcPr>
            <w:tcW w:type="dxa" w:w="2800"/>
            <w:tcMar>
              <w:top w:type="dxa" w:w="100"/>
              <w:left w:type="dxa" w:w="120"/>
              <w:bottom w:type="dxa" w:w="100"/>
              <w:right w:type="dxa" w:w="120"/>
            </w:tcMar>
          </w:tcPr>
          <w:p>
            <w:r>
              <w:rPr>
                <w:b w:val="false"/>
                <w:bCs w:val="false"/>
                <w:color w:val="1A1A1A"/>
                <w:sz w:val="20"/>
                <w:szCs w:val="20"/>
              </w:rPr>
              <w:t xml:space="preserve">Berean Interlinear / Berean Study Bible</w:t>
            </w:r>
          </w:p>
        </w:tc>
        <w:tc>
          <w:tcPr>
            <w:tcW w:type="dxa" w:w="3800"/>
            <w:tcMar>
              <w:top w:type="dxa" w:w="100"/>
              <w:left w:type="dxa" w:w="120"/>
              <w:bottom w:type="dxa" w:w="100"/>
              <w:right w:type="dxa" w:w="120"/>
            </w:tcMar>
          </w:tcPr>
          <w:p>
            <w:r>
              <w:rPr>
                <w:b w:val="false"/>
                <w:bCs w:val="false"/>
                <w:color w:val="1A1A1A"/>
                <w:sz w:val="20"/>
                <w:szCs w:val="20"/>
              </w:rPr>
              <w:t xml:space="preserve">Nuevo Testamento griego con traducción interlineal palabra por palabra</w:t>
            </w:r>
          </w:p>
        </w:tc>
        <w:tc>
          <w:tcPr>
            <w:tcW w:type="dxa" w:w="2800"/>
            <w:tcMar>
              <w:top w:type="dxa" w:w="100"/>
              <w:left w:type="dxa" w:w="120"/>
              <w:bottom w:type="dxa" w:w="100"/>
              <w:right w:type="dxa" w:w="120"/>
            </w:tcMar>
          </w:tcPr>
          <w:p>
            <w:r>
              <w:rPr>
                <w:b w:val="false"/>
                <w:bCs w:val="false"/>
                <w:color w:val="1A1A1A"/>
                <w:sz w:val="20"/>
                <w:szCs w:val="20"/>
              </w:rPr>
              <w:t xml:space="preserve">Gratuita para uso no comercial y proyectos ministeriales</w:t>
            </w:r>
          </w:p>
        </w:tc>
      </w:tr>
      <w:tr>
        <w:tc>
          <w:tcPr>
            <w:tcW w:type="dxa" w:w="2800"/>
            <w:tcMar>
              <w:top w:type="dxa" w:w="100"/>
              <w:left w:type="dxa" w:w="120"/>
              <w:bottom w:type="dxa" w:w="100"/>
              <w:right w:type="dxa" w:w="120"/>
            </w:tcMar>
          </w:tcPr>
          <w:p>
            <w:r>
              <w:rPr>
                <w:b w:val="false"/>
                <w:bCs w:val="false"/>
                <w:color w:val="1A1A1A"/>
                <w:sz w:val="20"/>
                <w:szCs w:val="20"/>
              </w:rPr>
              <w:t xml:space="preserve">STEP Bible (Tyndale House)</w:t>
            </w:r>
          </w:p>
        </w:tc>
        <w:tc>
          <w:tcPr>
            <w:tcW w:type="dxa" w:w="3800"/>
            <w:tcMar>
              <w:top w:type="dxa" w:w="100"/>
              <w:left w:type="dxa" w:w="120"/>
              <w:bottom w:type="dxa" w:w="100"/>
              <w:right w:type="dxa" w:w="120"/>
            </w:tcMar>
          </w:tcPr>
          <w:p>
            <w:r>
              <w:rPr>
                <w:b w:val="false"/>
                <w:bCs w:val="false"/>
                <w:color w:val="1A1A1A"/>
                <w:sz w:val="20"/>
                <w:szCs w:val="20"/>
              </w:rPr>
              <w:t xml:space="preserve">Herramienta y datos para explorar hebreo/griego con Strong's y léxicos</w:t>
            </w:r>
          </w:p>
        </w:tc>
        <w:tc>
          <w:tcPr>
            <w:tcW w:type="dxa" w:w="2800"/>
            <w:tcMar>
              <w:top w:type="dxa" w:w="100"/>
              <w:left w:type="dxa" w:w="120"/>
              <w:bottom w:type="dxa" w:w="100"/>
              <w:right w:type="dxa" w:w="120"/>
            </w:tcMar>
          </w:tcPr>
          <w:p>
            <w:r>
              <w:rPr>
                <w:b w:val="false"/>
                <w:bCs w:val="false"/>
                <w:color w:val="1A1A1A"/>
                <w:sz w:val="20"/>
                <w:szCs w:val="20"/>
              </w:rPr>
              <w:t xml:space="preserve">Abierta, gratuita</w:t>
            </w:r>
          </w:p>
        </w:tc>
      </w:tr>
      <w:tr>
        <w:tc>
          <w:tcPr>
            <w:tcW w:type="dxa" w:w="2800"/>
            <w:tcMar>
              <w:top w:type="dxa" w:w="100"/>
              <w:left w:type="dxa" w:w="120"/>
              <w:bottom w:type="dxa" w:w="100"/>
              <w:right w:type="dxa" w:w="120"/>
            </w:tcMar>
          </w:tcPr>
          <w:p>
            <w:r>
              <w:rPr>
                <w:b w:val="false"/>
                <w:bCs w:val="false"/>
                <w:color w:val="1A1A1A"/>
                <w:sz w:val="20"/>
                <w:szCs w:val="20"/>
              </w:rPr>
              <w:t xml:space="preserve">Diccionario Strong's (hebreo y griego)</w:t>
            </w:r>
          </w:p>
        </w:tc>
        <w:tc>
          <w:tcPr>
            <w:tcW w:type="dxa" w:w="3800"/>
            <w:tcMar>
              <w:top w:type="dxa" w:w="100"/>
              <w:left w:type="dxa" w:w="120"/>
              <w:bottom w:type="dxa" w:w="100"/>
              <w:right w:type="dxa" w:w="120"/>
            </w:tcMar>
          </w:tcPr>
          <w:p>
            <w:r>
              <w:rPr>
                <w:b w:val="false"/>
                <w:bCs w:val="false"/>
                <w:color w:val="1A1A1A"/>
                <w:sz w:val="20"/>
                <w:szCs w:val="20"/>
              </w:rPr>
              <w:t xml:space="preserve">Definiciones cortas de cada palabra original, la pieza que enlaza número Strong con significado</w:t>
            </w:r>
          </w:p>
        </w:tc>
        <w:tc>
          <w:tcPr>
            <w:tcW w:type="dxa" w:w="2800"/>
            <w:tcMar>
              <w:top w:type="dxa" w:w="100"/>
              <w:left w:type="dxa" w:w="120"/>
              <w:bottom w:type="dxa" w:w="100"/>
              <w:right w:type="dxa" w:w="120"/>
            </w:tcMar>
          </w:tcPr>
          <w:p>
            <w:r>
              <w:rPr>
                <w:b w:val="false"/>
                <w:bCs w:val="false"/>
                <w:color w:val="1A1A1A"/>
                <w:sz w:val="20"/>
                <w:szCs w:val="20"/>
              </w:rPr>
              <w:t xml:space="preserve">Dominio público</w:t>
            </w:r>
          </w:p>
        </w:tc>
      </w:tr>
    </w:tbl>
    <w:p>
      <w:pPr>
        <w:spacing w:after="160" w:line="300"/>
      </w:pPr>
      <w:r>
        <w:rPr>
          <w:sz w:val="22"/>
          <w:szCs w:val="22"/>
        </w:rPr>
        <w:t xml:space="preserve"> </w:t>
      </w:r>
    </w:p>
    <w:p>
      <w:pPr>
        <w:pStyle w:val="Heading2"/>
        <w:spacing w:after="120" w:before="280"/>
      </w:pPr>
      <w:r>
        <w:rPr>
          <w:b/>
          <w:bCs/>
          <w:color w:val="1F3A5F"/>
          <w:sz w:val="24"/>
          <w:szCs w:val="24"/>
        </w:rPr>
        <w:t xml:space="preserve">3.3 Estructura de la información por pasaje</w:t>
      </w:r>
    </w:p>
    <w:p>
      <w:pPr>
        <w:spacing w:after="160" w:line="300"/>
      </w:pPr>
      <w:r>
        <w:rPr>
          <w:sz w:val="22"/>
          <w:szCs w:val="22"/>
        </w:rPr>
        <w:t xml:space="preserve">Cada pasaje del repaso necesitaría, como mínimo, estos campos (se pueden guardar en Supabase, igual que ya se guarda el progreso de los alumnos):</w:t>
      </w:r>
    </w:p>
    <w:p>
      <w:pPr>
        <w:pStyle w:val="ListParagraph"/>
        <w:numPr>
          <w:ilvl w:val="0"/>
          <w:numId w:val="2"/>
        </w:numPr>
        <w:spacing w:after="90" w:line="280"/>
      </w:pPr>
      <w:r>
        <w:rPr>
          <w:sz w:val="22"/>
          <w:szCs w:val="22"/>
        </w:rPr>
        <w:t xml:space="preserve">Referencia y texto (RV1960 o RV1909 según se resuelva el punto 3.1).</w:t>
      </w:r>
    </w:p>
    <w:p>
      <w:pPr>
        <w:pStyle w:val="ListParagraph"/>
        <w:numPr>
          <w:ilvl w:val="0"/>
          <w:numId w:val="2"/>
        </w:numPr>
        <w:spacing w:after="90" w:line="280"/>
      </w:pPr>
      <w:r>
        <w:rPr>
          <w:sz w:val="22"/>
          <w:szCs w:val="22"/>
        </w:rPr>
        <w:t xml:space="preserve">Contexto histórico y literario (texto redactado, como el summary de una lección).</w:t>
      </w:r>
    </w:p>
    <w:p>
      <w:pPr>
        <w:pStyle w:val="ListParagraph"/>
        <w:numPr>
          <w:ilvl w:val="0"/>
          <w:numId w:val="2"/>
        </w:numPr>
        <w:spacing w:after="90" w:line="280"/>
      </w:pPr>
      <w:r>
        <w:rPr>
          <w:sz w:val="22"/>
          <w:szCs w:val="22"/>
        </w:rPr>
        <w:t xml:space="preserve">Palabras clave en hebreo/griego: palabra original, número Strong, transliteración, y por qué importa aquí — no un análisis palabra por palabra de todo el pasaje, solo los puntos que de verdad cambian el sentido.</w:t>
      </w:r>
    </w:p>
    <w:p>
      <w:pPr>
        <w:pStyle w:val="ListParagraph"/>
        <w:numPr>
          <w:ilvl w:val="0"/>
          <w:numId w:val="2"/>
        </w:numPr>
        <w:spacing w:after="90" w:line="280"/>
      </w:pPr>
      <w:r>
        <w:rPr>
          <w:sz w:val="22"/>
          <w:szCs w:val="22"/>
        </w:rPr>
        <w:t xml:space="preserve">Conexiones con otros pasajes (referencias cruzadas).</w:t>
      </w:r>
    </w:p>
    <w:p>
      <w:pPr>
        <w:pStyle w:val="ListParagraph"/>
        <w:numPr>
          <w:ilvl w:val="0"/>
          <w:numId w:val="2"/>
        </w:numPr>
        <w:spacing w:after="90" w:line="280"/>
      </w:pPr>
      <w:r>
        <w:rPr>
          <w:sz w:val="22"/>
          <w:szCs w:val="22"/>
        </w:rPr>
        <w:t xml:space="preserve">Notas de interpretación histórica.</w:t>
      </w:r>
    </w:p>
    <w:p>
      <w:pPr>
        <w:pStyle w:val="ListParagraph"/>
        <w:numPr>
          <w:ilvl w:val="0"/>
          <w:numId w:val="2"/>
        </w:numPr>
        <w:spacing w:after="90" w:line="280"/>
      </w:pPr>
      <w:r>
        <w:rPr>
          <w:sz w:val="22"/>
          <w:szCs w:val="22"/>
        </w:rPr>
        <w:t xml:space="preserve">Aplicación práctica.</w:t>
      </w:r>
    </w:p>
    <w:p>
      <w:pPr>
        <w:pStyle w:val="ListParagraph"/>
        <w:numPr>
          <w:ilvl w:val="0"/>
          <w:numId w:val="2"/>
        </w:numPr>
        <w:spacing w:after="90" w:line="280"/>
      </w:pPr>
      <w:r>
        <w:rPr>
          <w:sz w:val="22"/>
          <w:szCs w:val="22"/>
        </w:rPr>
        <w:t xml:space="preserve">Un bloque de “limitaciones”: qué es afirmación directa del texto, qué es inferencia razonable, qué es tradición interpretativa.</w:t>
      </w:r>
    </w:p>
    <w:p>
      <w:pPr>
        <w:pStyle w:val="Heading1"/>
        <w:spacing w:after="160" w:before="360"/>
      </w:pPr>
      <w:r>
        <w:rPr>
          <w:b/>
          <w:bCs/>
          <w:color w:val="1F3A5F"/>
          <w:sz w:val="30"/>
          <w:szCs w:val="30"/>
        </w:rPr>
        <w:t xml:space="preserve">4. El papel de la IA</w:t>
      </w:r>
    </w:p>
    <w:p>
      <w:pPr>
        <w:spacing w:after="160" w:line="300"/>
      </w:pPr>
      <w:r>
        <w:rPr>
          <w:sz w:val="22"/>
          <w:szCs w:val="22"/>
        </w:rPr>
        <w:t xml:space="preserve">Con la base de datos anterior ya montada, la IA cumple un papel de ayudante de estudio, no de fuente de verdad:</w:t>
      </w:r>
    </w:p>
    <w:p>
      <w:pPr>
        <w:pStyle w:val="ListParagraph"/>
        <w:numPr>
          <w:ilvl w:val="0"/>
          <w:numId w:val="2"/>
        </w:numPr>
        <w:spacing w:after="90" w:line="280"/>
      </w:pPr>
      <w:r>
        <w:rPr>
          <w:sz w:val="22"/>
          <w:szCs w:val="22"/>
        </w:rPr>
        <w:t xml:space="preserve">Búsqueda semántica dentro de los pasajes ya preparados y sus conexiones (no sobre la Biblia entera sin filtrar, al menos al principio).</w:t>
      </w:r>
    </w:p>
    <w:p>
      <w:pPr>
        <w:pStyle w:val="ListParagraph"/>
        <w:numPr>
          <w:ilvl w:val="0"/>
          <w:numId w:val="2"/>
        </w:numPr>
        <w:spacing w:after="90" w:line="280"/>
      </w:pPr>
      <w:r>
        <w:rPr>
          <w:sz w:val="22"/>
          <w:szCs w:val="22"/>
        </w:rPr>
        <w:t xml:space="preserve">Redacción asistida de cada capa a partir de fuentes fiables, revisada siempre por ti o por Lumen antes de publicarse — igual que ya se prepara el resto del contenido del curso.</w:t>
      </w:r>
    </w:p>
    <w:p>
      <w:pPr>
        <w:pStyle w:val="ListParagraph"/>
        <w:numPr>
          <w:ilvl w:val="0"/>
          <w:numId w:val="2"/>
        </w:numPr>
        <w:spacing w:after="90" w:line="280"/>
      </w:pPr>
      <w:r>
        <w:rPr>
          <w:sz w:val="22"/>
          <w:szCs w:val="22"/>
        </w:rPr>
        <w:t xml:space="preserve">Etiquetas de certeza junto a cada afirmación (“explícito en el texto”, “inferencia razonable”, “interpretación tradicional”), generadas al preparar el contenido, no inventadas en tiempo real delante del alumno.</w:t>
      </w:r>
    </w:p>
    <w:p>
      <w:pPr>
        <w:spacing w:after="160" w:line="300"/>
      </w:pPr>
      <w:r>
        <w:rPr>
          <w:sz w:val="22"/>
          <w:szCs w:val="22"/>
        </w:rPr>
        <w:t xml:space="preserve">Lo que se descarta deliberadamente: pedirle a una IA que “encuentre mensajes ocultos” en tiempo real sin base documental. Eso es justo lo que este diseño evita.</w:t>
      </w:r>
    </w:p>
    <w:p>
      <w:pPr>
        <w:pStyle w:val="Heading1"/>
        <w:spacing w:after="160" w:before="360"/>
      </w:pPr>
      <w:r>
        <w:rPr>
          <w:b/>
          <w:bCs/>
          <w:color w:val="1F3A5F"/>
          <w:sz w:val="30"/>
          <w:szCs w:val="30"/>
        </w:rPr>
        <w:t xml:space="preserve">5. Fases de implementación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500"/>
      </w:tblGrid>
      <w:tr>
        <w:tc>
          <w:tcPr>
            <w:tcW w:type="dxa" w:w="1600"/>
            <w:shd w:fill="1F3A5F" w:val="clear"/>
            <w:tcMar>
              <w:top w:type="dxa" w:w="100"/>
              <w:left w:type="dxa" w:w="120"/>
              <w:bottom w:type="dxa" w:w="100"/>
              <w:right w:type="dxa" w:w="120"/>
            </w:tcMar>
          </w:tcPr>
          <w:p>
            <w:r>
              <w:rPr>
                <w:b/>
                <w:bCs/>
                <w:color w:val="FFFFFF"/>
                <w:sz w:val="20"/>
                <w:szCs w:val="20"/>
              </w:rPr>
              <w:t xml:space="preserve">Fase</w:t>
            </w:r>
          </w:p>
        </w:tc>
        <w:tc>
          <w:tcPr>
            <w:tcW w:type="dxa" w:w="5300"/>
            <w:shd w:fill="1F3A5F" w:val="clear"/>
            <w:tcMar>
              <w:top w:type="dxa" w:w="100"/>
              <w:left w:type="dxa" w:w="120"/>
              <w:bottom w:type="dxa" w:w="100"/>
              <w:right w:type="dxa" w:w="120"/>
            </w:tcMar>
          </w:tcPr>
          <w:p>
            <w:r>
              <w:rPr>
                <w:b/>
                <w:bCs/>
                <w:color w:val="FFFFFF"/>
                <w:sz w:val="20"/>
                <w:szCs w:val="20"/>
              </w:rPr>
              <w:t xml:space="preserve">Qué incluye</w:t>
            </w:r>
          </w:p>
        </w:tc>
        <w:tc>
          <w:tcPr>
            <w:tcW w:type="dxa" w:w="2500"/>
            <w:shd w:fill="1F3A5F" w:val="clear"/>
            <w:tcMar>
              <w:top w:type="dxa" w:w="100"/>
              <w:left w:type="dxa" w:w="120"/>
              <w:bottom w:type="dxa" w:w="100"/>
              <w:right w:type="dxa" w:w="120"/>
            </w:tcMar>
          </w:tcPr>
          <w:p>
            <w:r>
              <w:rPr>
                <w:b/>
                <w:bCs/>
                <w:color w:val="FFFFFF"/>
                <w:sz w:val="20"/>
                <w:szCs w:val="20"/>
              </w:rPr>
              <w:t xml:space="preserve">Resultado visible</w:t>
            </w:r>
          </w:p>
        </w:tc>
      </w:tr>
      <w:tr>
        <w:tc>
          <w:tcPr>
            <w:tcW w:type="dxa" w:w="1600"/>
            <w:tcMar>
              <w:top w:type="dxa" w:w="100"/>
              <w:left w:type="dxa" w:w="120"/>
              <w:bottom w:type="dxa" w:w="100"/>
              <w:right w:type="dxa" w:w="120"/>
            </w:tcMar>
          </w:tcPr>
          <w:p>
            <w:r>
              <w:rPr>
                <w:b w:val="false"/>
                <w:bCs w:val="false"/>
                <w:color w:val="1A1A1A"/>
                <w:sz w:val="20"/>
                <w:szCs w:val="20"/>
              </w:rPr>
              <w:t xml:space="preserve">0 · Cimientos</w:t>
            </w:r>
          </w:p>
        </w:tc>
        <w:tc>
          <w:tcPr>
            <w:tcW w:type="dxa" w:w="5300"/>
            <w:tcMar>
              <w:top w:type="dxa" w:w="100"/>
              <w:left w:type="dxa" w:w="120"/>
              <w:bottom w:type="dxa" w:w="100"/>
              <w:right w:type="dxa" w:w="120"/>
            </w:tcMar>
          </w:tcPr>
          <w:p>
            <w:r>
              <w:rPr>
                <w:b w:val="false"/>
                <w:bCs w:val="false"/>
                <w:color w:val="1A1A1A"/>
                <w:sz w:val="20"/>
                <w:szCs w:val="20"/>
              </w:rPr>
              <w:t xml:space="preserve">Elegir 5-8 pasajes clave del curso (uno por módulo). Preparar manualmente sus 8 capas con ayuda de Lumen, sin automatizar nada todavía.</w:t>
            </w:r>
          </w:p>
        </w:tc>
        <w:tc>
          <w:tcPr>
            <w:tcW w:type="dxa" w:w="2500"/>
            <w:tcMar>
              <w:top w:type="dxa" w:w="100"/>
              <w:left w:type="dxa" w:w="120"/>
              <w:bottom w:type="dxa" w:w="100"/>
              <w:right w:type="dxa" w:w="120"/>
            </w:tcMar>
          </w:tcPr>
          <w:p>
            <w:r>
              <w:rPr>
                <w:b w:val="false"/>
                <w:bCs w:val="false"/>
                <w:color w:val="1A1A1A"/>
                <w:sz w:val="20"/>
                <w:szCs w:val="20"/>
              </w:rPr>
              <w:t xml:space="preserve">Contenido real, cero riesgo técnico</w:t>
            </w:r>
          </w:p>
        </w:tc>
      </w:tr>
      <w:tr>
        <w:tc>
          <w:tcPr>
            <w:tcW w:type="dxa" w:w="1600"/>
            <w:tcMar>
              <w:top w:type="dxa" w:w="100"/>
              <w:left w:type="dxa" w:w="120"/>
              <w:bottom w:type="dxa" w:w="100"/>
              <w:right w:type="dxa" w:w="120"/>
            </w:tcMar>
          </w:tcPr>
          <w:p>
            <w:r>
              <w:rPr>
                <w:b w:val="false"/>
                <w:bCs w:val="false"/>
                <w:color w:val="1A1A1A"/>
                <w:sz w:val="20"/>
                <w:szCs w:val="20"/>
              </w:rPr>
              <w:t xml:space="preserve">1 · Módulo 7 visible internamente</w:t>
            </w:r>
          </w:p>
        </w:tc>
        <w:tc>
          <w:tcPr>
            <w:tcW w:type="dxa" w:w="5300"/>
            <w:tcMar>
              <w:top w:type="dxa" w:w="100"/>
              <w:left w:type="dxa" w:w="120"/>
              <w:bottom w:type="dxa" w:w="100"/>
              <w:right w:type="dxa" w:w="120"/>
            </w:tcMar>
          </w:tcPr>
          <w:p>
            <w:r>
              <w:rPr>
                <w:b w:val="false"/>
                <w:bCs w:val="false"/>
                <w:color w:val="1A1A1A"/>
                <w:sz w:val="20"/>
                <w:szCs w:val="20"/>
              </w:rPr>
              <w:t xml:space="preserve">Construir la vista EstudioProfundo.jsx, cargar esos pasajes desde courseData.js, activar disponible: true solo para ti (modo admin)</w:t>
            </w:r>
          </w:p>
        </w:tc>
        <w:tc>
          <w:tcPr>
            <w:tcW w:type="dxa" w:w="2500"/>
            <w:tcMar>
              <w:top w:type="dxa" w:w="100"/>
              <w:left w:type="dxa" w:w="120"/>
              <w:bottom w:type="dxa" w:w="100"/>
              <w:right w:type="dxa" w:w="120"/>
            </w:tcMar>
          </w:tcPr>
          <w:p>
            <w:r>
              <w:rPr>
                <w:b w:val="false"/>
                <w:bCs w:val="false"/>
                <w:color w:val="1A1A1A"/>
                <w:sz w:val="20"/>
                <w:szCs w:val="20"/>
              </w:rPr>
              <w:t xml:space="preserve">Tú puedes probarlo antes que nadie</w:t>
            </w:r>
          </w:p>
        </w:tc>
      </w:tr>
      <w:tr>
        <w:tc>
          <w:tcPr>
            <w:tcW w:type="dxa" w:w="1600"/>
            <w:tcMar>
              <w:top w:type="dxa" w:w="100"/>
              <w:left w:type="dxa" w:w="120"/>
              <w:bottom w:type="dxa" w:w="100"/>
              <w:right w:type="dxa" w:w="120"/>
            </w:tcMar>
          </w:tcPr>
          <w:p>
            <w:r>
              <w:rPr>
                <w:b w:val="false"/>
                <w:bCs w:val="false"/>
                <w:color w:val="1A1A1A"/>
                <w:sz w:val="20"/>
                <w:szCs w:val="20"/>
              </w:rPr>
              <w:t xml:space="preserve">2 · Publicación a alumnos</w:t>
            </w:r>
          </w:p>
        </w:tc>
        <w:tc>
          <w:tcPr>
            <w:tcW w:type="dxa" w:w="5300"/>
            <w:tcMar>
              <w:top w:type="dxa" w:w="100"/>
              <w:left w:type="dxa" w:w="120"/>
              <w:bottom w:type="dxa" w:w="100"/>
              <w:right w:type="dxa" w:w="120"/>
            </w:tcMar>
          </w:tcPr>
          <w:p>
            <w:r>
              <w:rPr>
                <w:b w:val="false"/>
                <w:bCs w:val="false"/>
                <w:color w:val="1A1A1A"/>
                <w:sz w:val="20"/>
                <w:szCs w:val="20"/>
              </w:rPr>
              <w:t xml:space="preserve">Revisar, ajustar textos, decidir el tema del copyright de RV1960, publicar el módulo completo</w:t>
            </w:r>
          </w:p>
        </w:tc>
        <w:tc>
          <w:tcPr>
            <w:tcW w:type="dxa" w:w="2500"/>
            <w:tcMar>
              <w:top w:type="dxa" w:w="100"/>
              <w:left w:type="dxa" w:w="120"/>
              <w:bottom w:type="dxa" w:w="100"/>
              <w:right w:type="dxa" w:w="120"/>
            </w:tcMar>
          </w:tcPr>
          <w:p>
            <w:r>
              <w:rPr>
                <w:b w:val="false"/>
                <w:bCs w:val="false"/>
                <w:color w:val="1A1A1A"/>
                <w:sz w:val="20"/>
                <w:szCs w:val="20"/>
              </w:rPr>
              <w:t xml:space="preserve">Módulo 7 activo para todos</w:t>
            </w:r>
          </w:p>
        </w:tc>
      </w:tr>
      <w:tr>
        <w:tc>
          <w:tcPr>
            <w:tcW w:type="dxa" w:w="1600"/>
            <w:tcMar>
              <w:top w:type="dxa" w:w="100"/>
              <w:left w:type="dxa" w:w="120"/>
              <w:bottom w:type="dxa" w:w="100"/>
              <w:right w:type="dxa" w:w="120"/>
            </w:tcMar>
          </w:tcPr>
          <w:p>
            <w:r>
              <w:rPr>
                <w:b w:val="false"/>
                <w:bCs w:val="false"/>
                <w:color w:val="1A1A1A"/>
                <w:sz w:val="20"/>
                <w:szCs w:val="20"/>
              </w:rPr>
              <w:t xml:space="preserve">3 · Herramientas de IA</w:t>
            </w:r>
          </w:p>
        </w:tc>
        <w:tc>
          <w:tcPr>
            <w:tcW w:type="dxa" w:w="5300"/>
            <w:tcMar>
              <w:top w:type="dxa" w:w="100"/>
              <w:left w:type="dxa" w:w="120"/>
              <w:bottom w:type="dxa" w:w="100"/>
              <w:right w:type="dxa" w:w="120"/>
            </w:tcMar>
          </w:tcPr>
          <w:p>
            <w:r>
              <w:rPr>
                <w:b w:val="false"/>
                <w:bCs w:val="false"/>
                <w:color w:val="1A1A1A"/>
                <w:sz w:val="20"/>
                <w:szCs w:val="20"/>
              </w:rPr>
              <w:t xml:space="preserve">Búsqueda semántica dentro de los pasajes ya preparados; niveles de certeza ("explícito" / "inferencia" / "tradición") generados junto al contenido, no en directo por el alumno</w:t>
            </w:r>
          </w:p>
        </w:tc>
        <w:tc>
          <w:tcPr>
            <w:tcW w:type="dxa" w:w="2500"/>
            <w:tcMar>
              <w:top w:type="dxa" w:w="100"/>
              <w:left w:type="dxa" w:w="120"/>
              <w:bottom w:type="dxa" w:w="100"/>
              <w:right w:type="dxa" w:w="120"/>
            </w:tcMar>
          </w:tcPr>
          <w:p>
            <w:r>
              <w:rPr>
                <w:b w:val="false"/>
                <w:bCs w:val="false"/>
                <w:color w:val="1A1A1A"/>
                <w:sz w:val="20"/>
                <w:szCs w:val="20"/>
              </w:rPr>
              <w:t xml:space="preserve">El repaso se vuelve interactivo</w:t>
            </w:r>
          </w:p>
        </w:tc>
      </w:tr>
      <w:tr>
        <w:tc>
          <w:tcPr>
            <w:tcW w:type="dxa" w:w="1600"/>
            <w:tcMar>
              <w:top w:type="dxa" w:w="100"/>
              <w:left w:type="dxa" w:w="120"/>
              <w:bottom w:type="dxa" w:w="100"/>
              <w:right w:type="dxa" w:w="120"/>
            </w:tcMar>
          </w:tcPr>
          <w:p>
            <w:r>
              <w:rPr>
                <w:b w:val="false"/>
                <w:bCs w:val="false"/>
                <w:color w:val="1A1A1A"/>
                <w:sz w:val="20"/>
                <w:szCs w:val="20"/>
              </w:rPr>
              <w:t xml:space="preserve">4 · Grafo de conexiones (opcional, a futuro)</w:t>
            </w:r>
          </w:p>
        </w:tc>
        <w:tc>
          <w:tcPr>
            <w:tcW w:type="dxa" w:w="5300"/>
            <w:tcMar>
              <w:top w:type="dxa" w:w="100"/>
              <w:left w:type="dxa" w:w="120"/>
              <w:bottom w:type="dxa" w:w="100"/>
              <w:right w:type="dxa" w:w="120"/>
            </w:tcMar>
          </w:tcPr>
          <w:p>
            <w:r>
              <w:rPr>
                <w:b w:val="false"/>
                <w:bCs w:val="false"/>
                <w:color w:val="1A1A1A"/>
                <w:sz w:val="20"/>
                <w:szCs w:val="20"/>
              </w:rPr>
              <w:t xml:space="preserve">Mapa visual de personas, lugares y temas conectados entre pasajes, si el proyecto crece más allá del curso</w:t>
            </w:r>
          </w:p>
        </w:tc>
        <w:tc>
          <w:tcPr>
            <w:tcW w:type="dxa" w:w="2500"/>
            <w:tcMar>
              <w:top w:type="dxa" w:w="100"/>
              <w:left w:type="dxa" w:w="120"/>
              <w:bottom w:type="dxa" w:w="100"/>
              <w:right w:type="dxa" w:w="120"/>
            </w:tcMar>
          </w:tcPr>
          <w:p>
            <w:r>
              <w:rPr>
                <w:b w:val="false"/>
                <w:bCs w:val="false"/>
                <w:color w:val="1A1A1A"/>
                <w:sz w:val="20"/>
                <w:szCs w:val="20"/>
              </w:rPr>
              <w:t xml:space="preserve">Fuera del alcance inicial</w:t>
            </w:r>
          </w:p>
        </w:tc>
      </w:tr>
    </w:tbl>
    <w:p>
      <w:pPr>
        <w:spacing w:after="160" w:line="300"/>
      </w:pPr>
      <w:r>
        <w:rPr>
          <w:sz w:val="22"/>
          <w:szCs w:val="22"/>
        </w:rPr>
        <w:t xml:space="preserve"> </w:t>
      </w:r>
    </w:p>
    <w:p>
      <w:pPr>
        <w:spacing w:after="160" w:line="300"/>
      </w:pPr>
      <w:r>
        <w:rPr>
          <w:sz w:val="22"/>
          <w:szCs w:val="22"/>
        </w:rPr>
        <w:t xml:space="preserve">Recomiendo empezar por la Fase 0 con muy pocos pasajes (5-8, uno representativo por módulo) para validar el formato y el tono antes de escalarlo a todo el curso.</w:t>
      </w:r>
    </w:p>
    <w:p>
      <w:pPr>
        <w:pStyle w:val="Heading1"/>
        <w:spacing w:after="160" w:before="360"/>
      </w:pPr>
      <w:r>
        <w:rPr>
          <w:b/>
          <w:bCs/>
          <w:color w:val="1F3A5F"/>
          <w:sz w:val="30"/>
          <w:szCs w:val="30"/>
        </w:rPr>
        <w:t xml:space="preserve">6. Qué permanece oculto y cuándo se publica</w:t>
      </w:r>
    </w:p>
    <w:p>
      <w:pPr>
        <w:spacing w:after="160" w:line="300"/>
      </w:pPr>
      <w:r>
        <w:rPr>
          <w:sz w:val="22"/>
          <w:szCs w:val="22"/>
        </w:rPr>
        <w:t xml:space="preserve">Como con cualquier contenido nuevo del curso, el Módulo 7 se construye completo en el código pero con disponible: false, de modo que no es visible ni accesible para los alumnos hasta que tú confirmes explícitamente que se puede publicar. Podrás probarlo tú primero (con tu usuario admin) antes de activarlo para todo el grupo.</w:t>
      </w:r>
    </w:p>
    <w:p>
      <w:pPr>
        <w:pStyle w:val="Heading1"/>
        <w:spacing w:after="160" w:before="360"/>
      </w:pPr>
      <w:r>
        <w:rPr>
          <w:b/>
          <w:bCs/>
          <w:color w:val="1F3A5F"/>
          <w:sz w:val="30"/>
          <w:szCs w:val="30"/>
        </w:rPr>
        <w:t xml:space="preserve">7. Decisiones que necesito de ti</w:t>
      </w:r>
    </w:p>
    <w:p>
      <w:pPr>
        <w:pStyle w:val="ListParagraph"/>
        <w:numPr>
          <w:ilvl w:val="0"/>
          <w:numId w:val="2"/>
        </w:numPr>
        <w:spacing w:after="90" w:line="280"/>
      </w:pPr>
      <w:r>
        <w:rPr>
          <w:sz w:val="22"/>
          <w:szCs w:val="22"/>
        </w:rPr>
        <w:t xml:space="preserve">¿Empezamos por la Fase 0 (elegir los 5-8 pasajes y preparar sus capas con Lumen) o prefieres primero que monte el esqueleto técnico vacío?</w:t>
      </w:r>
    </w:p>
    <w:p>
      <w:pPr>
        <w:pStyle w:val="ListParagraph"/>
        <w:numPr>
          <w:ilvl w:val="0"/>
          <w:numId w:val="2"/>
        </w:numPr>
        <w:spacing w:after="90" w:line="280"/>
      </w:pPr>
      <w:r>
        <w:rPr>
          <w:sz w:val="22"/>
          <w:szCs w:val="22"/>
        </w:rPr>
        <w:t xml:space="preserve">Para el texto bíblico: ¿pedimos permiso a Sociedades Bíblicas Unidas para RV1960, o usamos RV1909 (dominio público) como base técnica mientras tanto?</w:t>
      </w:r>
    </w:p>
    <w:p>
      <w:pPr>
        <w:pStyle w:val="ListParagraph"/>
        <w:numPr>
          <w:ilvl w:val="0"/>
          <w:numId w:val="2"/>
        </w:numPr>
        <w:spacing w:after="90" w:line="280"/>
      </w:pPr>
      <w:r>
        <w:rPr>
          <w:sz w:val="22"/>
          <w:szCs w:val="22"/>
        </w:rPr>
        <w:t xml:space="preserve">¿Qué pasajes te gustaría priorizar para esos primeros 5-8 casos de ejemplo?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2026-08-02T14:28:51.752Z</dcterms:created>
  <dcterms:modified xsi:type="dcterms:W3CDTF">2026-08-02T14:28:51.752Z</dcterms:modified>
</cp:coreProperties>
</file>

<file path=docProps/custom.xml><?xml version="1.0" encoding="utf-8"?>
<Properties xmlns="http://schemas.openxmlformats.org/officeDocument/2006/custom-properties" xmlns:vt="http://schemas.openxmlformats.org/officeDocument/2006/docPropsVTypes"/>
</file>