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ECF30" w14:textId="77777777" w:rsidR="001256F9" w:rsidRPr="00DE3FE7" w:rsidRDefault="001256F9" w:rsidP="001256F9">
      <w:pPr>
        <w:pStyle w:val="Puesto"/>
        <w:rPr>
          <w:lang w:val="es-ES_tradnl"/>
        </w:rPr>
      </w:pPr>
    </w:p>
    <w:p w14:paraId="1F4F6E88" w14:textId="77777777" w:rsidR="001256F9" w:rsidRPr="00DE3FE7" w:rsidRDefault="001256F9" w:rsidP="001256F9">
      <w:pPr>
        <w:pStyle w:val="Puesto"/>
        <w:rPr>
          <w:lang w:val="es-ES_tradnl"/>
        </w:rPr>
      </w:pPr>
    </w:p>
    <w:p w14:paraId="45502841" w14:textId="77777777" w:rsidR="001256F9" w:rsidRPr="00DE3FE7" w:rsidRDefault="001256F9" w:rsidP="001256F9">
      <w:pPr>
        <w:pStyle w:val="Puesto"/>
        <w:rPr>
          <w:lang w:val="es-ES_tradnl"/>
        </w:rPr>
      </w:pPr>
      <w:r w:rsidRPr="00DE3FE7">
        <w:rPr>
          <w:lang w:val="es-ES_tradnl"/>
        </w:rPr>
        <w:t>Guía de interpretación del Índice del Derecho a la Información en México</w:t>
      </w:r>
    </w:p>
    <w:p w14:paraId="2F251F14" w14:textId="77777777" w:rsidR="001256F9" w:rsidRPr="00DE3FE7" w:rsidRDefault="001256F9" w:rsidP="001256F9">
      <w:pPr>
        <w:pStyle w:val="Puesto"/>
        <w:rPr>
          <w:sz w:val="24"/>
          <w:lang w:val="es-ES_tradnl"/>
        </w:rPr>
      </w:pPr>
    </w:p>
    <w:p w14:paraId="3E261776" w14:textId="77777777" w:rsidR="001256F9" w:rsidRPr="00DE3FE7" w:rsidRDefault="001256F9" w:rsidP="001256F9"/>
    <w:p w14:paraId="565ED17F" w14:textId="77777777" w:rsidR="001256F9" w:rsidRPr="00DE3FE7" w:rsidRDefault="001256F9" w:rsidP="001256F9"/>
    <w:p w14:paraId="0E97E7DB" w14:textId="77777777" w:rsidR="001256F9" w:rsidRPr="00DE3FE7" w:rsidRDefault="001256F9" w:rsidP="001256F9">
      <w:pPr>
        <w:pStyle w:val="Puesto"/>
        <w:rPr>
          <w:sz w:val="24"/>
          <w:lang w:val="es-ES_tradnl"/>
        </w:rPr>
      </w:pPr>
    </w:p>
    <w:p w14:paraId="74A6738E" w14:textId="77777777" w:rsidR="001256F9" w:rsidRPr="00DE3FE7" w:rsidRDefault="001256F9" w:rsidP="00DA2E63">
      <w:pPr>
        <w:pStyle w:val="Subttulo"/>
        <w:ind w:left="708" w:hanging="708"/>
        <w:jc w:val="right"/>
        <w:rPr>
          <w:lang w:val="es-ES_tradnl"/>
        </w:rPr>
      </w:pPr>
      <w:r w:rsidRPr="00DE3FE7">
        <w:rPr>
          <w:lang w:val="es-ES_tradnl"/>
        </w:rPr>
        <w:t>Renata Terrazas, Coordinadora</w:t>
      </w:r>
    </w:p>
    <w:p w14:paraId="30ABF4DD" w14:textId="77777777" w:rsidR="001256F9" w:rsidRPr="00DE3FE7" w:rsidRDefault="001256F9" w:rsidP="001256F9">
      <w:pPr>
        <w:pStyle w:val="Subttulo"/>
        <w:jc w:val="right"/>
        <w:rPr>
          <w:lang w:val="es-ES_tradnl"/>
        </w:rPr>
      </w:pPr>
      <w:r w:rsidRPr="00DE3FE7">
        <w:rPr>
          <w:lang w:val="es-ES_tradnl"/>
        </w:rPr>
        <w:t xml:space="preserve"> </w:t>
      </w:r>
    </w:p>
    <w:p w14:paraId="4FDD99E0" w14:textId="77777777" w:rsidR="001256F9" w:rsidRPr="00DE3FE7" w:rsidRDefault="001256F9" w:rsidP="001256F9">
      <w:pPr>
        <w:pStyle w:val="Puesto"/>
        <w:rPr>
          <w:lang w:val="es-ES_tradnl"/>
        </w:rPr>
      </w:pPr>
      <w:r w:rsidRPr="00DE3FE7">
        <w:rPr>
          <w:lang w:val="es-ES_tradnl"/>
        </w:rPr>
        <w:br w:type="page"/>
      </w:r>
    </w:p>
    <w:p w14:paraId="03650D2E" w14:textId="77777777" w:rsidR="001256F9" w:rsidRPr="00DE3FE7" w:rsidRDefault="001256F9" w:rsidP="001256F9">
      <w:pPr>
        <w:rPr>
          <w:sz w:val="24"/>
        </w:rPr>
      </w:pPr>
    </w:p>
    <w:p w14:paraId="56B75947" w14:textId="77777777" w:rsidR="001256F9" w:rsidRPr="00291E7F" w:rsidRDefault="001256F9" w:rsidP="001256F9">
      <w:pPr>
        <w:rPr>
          <w:b/>
          <w:sz w:val="24"/>
        </w:rPr>
      </w:pPr>
      <w:bookmarkStart w:id="0" w:name="_GoBack"/>
      <w:r w:rsidRPr="00291E7F">
        <w:rPr>
          <w:b/>
          <w:sz w:val="24"/>
        </w:rPr>
        <w:t>Índice</w:t>
      </w:r>
    </w:p>
    <w:bookmarkEnd w:id="0"/>
    <w:p w14:paraId="52E8E224" w14:textId="4647ECCC" w:rsidR="001256F9" w:rsidRPr="0032028D" w:rsidRDefault="001256F9" w:rsidP="006340A3">
      <w:pPr>
        <w:pStyle w:val="Prrafodelista"/>
        <w:spacing w:line="360" w:lineRule="auto"/>
        <w:jc w:val="both"/>
        <w:rPr>
          <w:rFonts w:asciiTheme="majorHAnsi" w:hAnsiTheme="majorHAnsi"/>
          <w:sz w:val="22"/>
          <w:szCs w:val="22"/>
        </w:rPr>
      </w:pPr>
      <w:r w:rsidRPr="0032028D">
        <w:rPr>
          <w:rFonts w:asciiTheme="majorHAnsi" w:hAnsiTheme="majorHAnsi"/>
          <w:sz w:val="22"/>
          <w:szCs w:val="22"/>
        </w:rPr>
        <w:t>Introducción</w:t>
      </w:r>
      <w:r w:rsidR="007F5FDF" w:rsidRPr="00D138A3">
        <w:rPr>
          <w:rFonts w:asciiTheme="majorHAnsi" w:hAnsiTheme="majorHAnsi"/>
          <w:sz w:val="22"/>
          <w:szCs w:val="22"/>
          <w:u w:val="single"/>
        </w:rPr>
        <w:t xml:space="preserve"> </w:t>
      </w:r>
      <w:r w:rsidR="00D138A3" w:rsidRPr="00D138A3">
        <w:rPr>
          <w:rFonts w:asciiTheme="majorHAnsi" w:hAnsiTheme="majorHAnsi"/>
          <w:sz w:val="22"/>
          <w:szCs w:val="22"/>
          <w:u w:val="single"/>
        </w:rPr>
        <w:tab/>
      </w:r>
      <w:r w:rsidR="00D138A3" w:rsidRPr="00D138A3">
        <w:rPr>
          <w:rFonts w:asciiTheme="majorHAnsi" w:hAnsiTheme="majorHAnsi"/>
          <w:sz w:val="22"/>
          <w:szCs w:val="22"/>
          <w:u w:val="single"/>
        </w:rPr>
        <w:tab/>
      </w:r>
      <w:r w:rsidR="00D138A3" w:rsidRPr="00D138A3">
        <w:rPr>
          <w:rFonts w:asciiTheme="majorHAnsi" w:hAnsiTheme="majorHAnsi"/>
          <w:sz w:val="22"/>
          <w:szCs w:val="22"/>
          <w:u w:val="single"/>
        </w:rPr>
        <w:tab/>
      </w:r>
      <w:r w:rsidR="00D138A3" w:rsidRPr="00D138A3">
        <w:rPr>
          <w:rFonts w:asciiTheme="majorHAnsi" w:hAnsiTheme="majorHAnsi"/>
          <w:sz w:val="22"/>
          <w:szCs w:val="22"/>
          <w:u w:val="single"/>
        </w:rPr>
        <w:tab/>
      </w:r>
      <w:r w:rsidR="00D138A3" w:rsidRPr="00D138A3">
        <w:rPr>
          <w:rFonts w:asciiTheme="majorHAnsi" w:hAnsiTheme="majorHAnsi"/>
          <w:sz w:val="22"/>
          <w:szCs w:val="22"/>
          <w:u w:val="single"/>
        </w:rPr>
        <w:tab/>
      </w:r>
      <w:r w:rsidR="00D138A3" w:rsidRPr="00D138A3">
        <w:rPr>
          <w:rFonts w:asciiTheme="majorHAnsi" w:hAnsiTheme="majorHAnsi"/>
          <w:sz w:val="22"/>
          <w:szCs w:val="22"/>
          <w:u w:val="single"/>
        </w:rPr>
        <w:tab/>
      </w:r>
      <w:r w:rsidR="00D138A3" w:rsidRPr="00D138A3">
        <w:rPr>
          <w:rFonts w:asciiTheme="majorHAnsi" w:hAnsiTheme="majorHAnsi"/>
          <w:sz w:val="22"/>
          <w:szCs w:val="22"/>
          <w:u w:val="single"/>
        </w:rPr>
        <w:tab/>
      </w:r>
      <w:r w:rsidR="00D138A3" w:rsidRPr="00D138A3">
        <w:rPr>
          <w:rFonts w:asciiTheme="majorHAnsi" w:hAnsiTheme="majorHAnsi"/>
          <w:sz w:val="22"/>
          <w:szCs w:val="22"/>
          <w:u w:val="single"/>
        </w:rPr>
        <w:tab/>
      </w:r>
      <w:r w:rsidR="00D138A3" w:rsidRPr="00D138A3">
        <w:rPr>
          <w:rFonts w:asciiTheme="majorHAnsi" w:hAnsiTheme="majorHAnsi"/>
          <w:sz w:val="22"/>
          <w:szCs w:val="22"/>
          <w:u w:val="single"/>
        </w:rPr>
        <w:tab/>
      </w:r>
      <w:r w:rsidR="00FB657E">
        <w:rPr>
          <w:rFonts w:asciiTheme="majorHAnsi" w:hAnsiTheme="majorHAnsi"/>
          <w:sz w:val="22"/>
          <w:szCs w:val="22"/>
          <w:u w:val="single"/>
        </w:rPr>
        <w:t xml:space="preserve">            </w:t>
      </w:r>
      <w:hyperlink w:anchor="Introducción" w:history="1">
        <w:r w:rsidR="007F5FDF" w:rsidRPr="0032028D">
          <w:rPr>
            <w:rStyle w:val="Hipervnculo"/>
            <w:rFonts w:asciiTheme="majorHAnsi" w:hAnsiTheme="majorHAnsi"/>
            <w:sz w:val="22"/>
            <w:szCs w:val="22"/>
          </w:rPr>
          <w:t>p. 3</w:t>
        </w:r>
      </w:hyperlink>
    </w:p>
    <w:p w14:paraId="4B3867C1" w14:textId="0555C3DF" w:rsidR="001256F9" w:rsidRPr="0032028D" w:rsidRDefault="007F5FDF" w:rsidP="006340A3">
      <w:pPr>
        <w:pStyle w:val="Prrafodelista"/>
        <w:spacing w:line="360" w:lineRule="auto"/>
        <w:jc w:val="both"/>
        <w:rPr>
          <w:rFonts w:asciiTheme="majorHAnsi" w:hAnsiTheme="majorHAnsi"/>
          <w:sz w:val="22"/>
          <w:szCs w:val="22"/>
        </w:rPr>
      </w:pPr>
      <w:r w:rsidRPr="0032028D">
        <w:rPr>
          <w:rFonts w:asciiTheme="majorHAnsi" w:hAnsiTheme="majorHAnsi"/>
          <w:sz w:val="22"/>
          <w:szCs w:val="22"/>
        </w:rPr>
        <w:t>Presentación de la guía de interpretación</w:t>
      </w:r>
      <w:r w:rsidRPr="00A22788">
        <w:rPr>
          <w:rFonts w:asciiTheme="majorHAnsi" w:hAnsiTheme="majorHAnsi"/>
          <w:sz w:val="22"/>
          <w:szCs w:val="22"/>
          <w:u w:val="single"/>
        </w:rPr>
        <w:t xml:space="preserve"> </w:t>
      </w:r>
      <w:r w:rsidR="00D138A3" w:rsidRPr="00A22788">
        <w:rPr>
          <w:rFonts w:asciiTheme="majorHAnsi" w:hAnsiTheme="majorHAnsi"/>
          <w:sz w:val="22"/>
          <w:szCs w:val="22"/>
          <w:u w:val="single"/>
        </w:rPr>
        <w:tab/>
      </w:r>
      <w:r w:rsidR="00D138A3" w:rsidRPr="00A22788">
        <w:rPr>
          <w:rFonts w:asciiTheme="majorHAnsi" w:hAnsiTheme="majorHAnsi"/>
          <w:sz w:val="22"/>
          <w:szCs w:val="22"/>
          <w:u w:val="single"/>
        </w:rPr>
        <w:tab/>
      </w:r>
      <w:r w:rsidR="00D138A3" w:rsidRPr="00A22788">
        <w:rPr>
          <w:rFonts w:asciiTheme="majorHAnsi" w:hAnsiTheme="majorHAnsi"/>
          <w:sz w:val="22"/>
          <w:szCs w:val="22"/>
          <w:u w:val="single"/>
        </w:rPr>
        <w:tab/>
      </w:r>
      <w:r w:rsidR="00D138A3" w:rsidRPr="00A22788">
        <w:rPr>
          <w:rFonts w:asciiTheme="majorHAnsi" w:hAnsiTheme="majorHAnsi"/>
          <w:sz w:val="22"/>
          <w:szCs w:val="22"/>
          <w:u w:val="single"/>
        </w:rPr>
        <w:tab/>
      </w:r>
      <w:r w:rsidR="00D138A3" w:rsidRPr="00A22788">
        <w:rPr>
          <w:rFonts w:asciiTheme="majorHAnsi" w:hAnsiTheme="majorHAnsi"/>
          <w:sz w:val="22"/>
          <w:szCs w:val="22"/>
          <w:u w:val="single"/>
        </w:rPr>
        <w:tab/>
      </w:r>
      <w:r w:rsidR="00FB657E" w:rsidRPr="00A22788">
        <w:rPr>
          <w:rFonts w:asciiTheme="majorHAnsi" w:hAnsiTheme="majorHAnsi"/>
          <w:sz w:val="22"/>
          <w:szCs w:val="22"/>
          <w:u w:val="single"/>
        </w:rPr>
        <w:t xml:space="preserve">            </w:t>
      </w:r>
      <w:hyperlink w:anchor="Presentación" w:history="1">
        <w:r w:rsidRPr="0032028D">
          <w:rPr>
            <w:rStyle w:val="Hipervnculo"/>
            <w:rFonts w:asciiTheme="majorHAnsi" w:hAnsiTheme="majorHAnsi"/>
            <w:sz w:val="22"/>
            <w:szCs w:val="22"/>
          </w:rPr>
          <w:t>p. 5</w:t>
        </w:r>
      </w:hyperlink>
    </w:p>
    <w:p w14:paraId="3782C2BD" w14:textId="28D16D2B" w:rsidR="001256F9" w:rsidRPr="0032028D" w:rsidRDefault="007F5FDF" w:rsidP="006340A3">
      <w:pPr>
        <w:pStyle w:val="Prrafodelista"/>
        <w:spacing w:line="360" w:lineRule="auto"/>
        <w:jc w:val="both"/>
        <w:rPr>
          <w:rFonts w:asciiTheme="majorHAnsi" w:hAnsiTheme="majorHAnsi"/>
          <w:iCs/>
          <w:sz w:val="22"/>
          <w:szCs w:val="22"/>
        </w:rPr>
      </w:pPr>
      <w:r w:rsidRPr="0032028D">
        <w:rPr>
          <w:rFonts w:asciiTheme="majorHAnsi" w:hAnsiTheme="majorHAnsi"/>
          <w:sz w:val="22"/>
          <w:szCs w:val="22"/>
        </w:rPr>
        <w:t>Indicador 1</w:t>
      </w:r>
      <w:r w:rsidR="0032028D" w:rsidRPr="0032028D">
        <w:rPr>
          <w:rFonts w:asciiTheme="majorHAnsi" w:hAnsiTheme="majorHAnsi"/>
          <w:sz w:val="22"/>
          <w:szCs w:val="22"/>
        </w:rPr>
        <w:t xml:space="preserve">. </w:t>
      </w:r>
      <w:r w:rsidRPr="0032028D">
        <w:rPr>
          <w:rFonts w:asciiTheme="majorHAnsi" w:hAnsiTheme="majorHAnsi"/>
          <w:iCs/>
          <w:sz w:val="22"/>
          <w:szCs w:val="22"/>
        </w:rPr>
        <w:t>Conceptualización e interpretación del DAI</w:t>
      </w:r>
      <w:r w:rsidRPr="00A22788">
        <w:rPr>
          <w:rFonts w:asciiTheme="majorHAnsi" w:hAnsiTheme="majorHAnsi"/>
          <w:sz w:val="22"/>
          <w:szCs w:val="22"/>
          <w:u w:val="single"/>
        </w:rPr>
        <w:t xml:space="preserve"> </w:t>
      </w:r>
      <w:r w:rsidR="00D138A3" w:rsidRPr="00A22788">
        <w:rPr>
          <w:rFonts w:asciiTheme="majorHAnsi" w:hAnsiTheme="majorHAnsi"/>
          <w:sz w:val="22"/>
          <w:szCs w:val="22"/>
          <w:u w:val="single"/>
        </w:rPr>
        <w:tab/>
      </w:r>
      <w:r w:rsidR="00D138A3" w:rsidRPr="00A22788">
        <w:rPr>
          <w:rFonts w:asciiTheme="majorHAnsi" w:hAnsiTheme="majorHAnsi"/>
          <w:sz w:val="22"/>
          <w:szCs w:val="22"/>
          <w:u w:val="single"/>
        </w:rPr>
        <w:tab/>
      </w:r>
      <w:r w:rsidR="00D138A3" w:rsidRPr="00A22788">
        <w:rPr>
          <w:rFonts w:asciiTheme="majorHAnsi" w:hAnsiTheme="majorHAnsi"/>
          <w:sz w:val="22"/>
          <w:szCs w:val="22"/>
          <w:u w:val="single"/>
        </w:rPr>
        <w:tab/>
      </w:r>
      <w:r w:rsidR="00FB657E" w:rsidRPr="00A22788">
        <w:rPr>
          <w:rFonts w:asciiTheme="majorHAnsi" w:hAnsiTheme="majorHAnsi"/>
          <w:sz w:val="22"/>
          <w:szCs w:val="22"/>
          <w:u w:val="single"/>
        </w:rPr>
        <w:t xml:space="preserve">            </w:t>
      </w:r>
      <w:hyperlink w:anchor="_Indicador_Conceptualización_e" w:history="1">
        <w:r w:rsidRPr="0032028D">
          <w:rPr>
            <w:rStyle w:val="Hipervnculo"/>
            <w:rFonts w:asciiTheme="majorHAnsi" w:hAnsiTheme="majorHAnsi"/>
            <w:sz w:val="22"/>
            <w:szCs w:val="22"/>
          </w:rPr>
          <w:t>p. 6</w:t>
        </w:r>
      </w:hyperlink>
    </w:p>
    <w:p w14:paraId="2E759857" w14:textId="51BBB311" w:rsidR="001256F9" w:rsidRPr="0032028D" w:rsidRDefault="007F5FDF" w:rsidP="006340A3">
      <w:pPr>
        <w:pStyle w:val="Prrafodelista"/>
        <w:spacing w:line="360" w:lineRule="auto"/>
        <w:jc w:val="both"/>
        <w:rPr>
          <w:sz w:val="24"/>
        </w:rPr>
      </w:pPr>
      <w:r w:rsidRPr="0032028D">
        <w:rPr>
          <w:rFonts w:asciiTheme="majorHAnsi" w:hAnsiTheme="majorHAnsi"/>
          <w:sz w:val="22"/>
          <w:szCs w:val="22"/>
        </w:rPr>
        <w:t>Indicador 2</w:t>
      </w:r>
      <w:r w:rsidR="0032028D" w:rsidRPr="0032028D">
        <w:rPr>
          <w:rFonts w:asciiTheme="majorHAnsi" w:hAnsiTheme="majorHAnsi"/>
          <w:sz w:val="22"/>
          <w:szCs w:val="22"/>
        </w:rPr>
        <w:t>. Objetivos de las legislaciones de acceso a la información pública</w:t>
      </w:r>
      <w:r w:rsidRPr="00A22788">
        <w:rPr>
          <w:rFonts w:asciiTheme="majorHAnsi" w:hAnsiTheme="majorHAnsi"/>
          <w:sz w:val="22"/>
          <w:szCs w:val="22"/>
          <w:u w:val="single"/>
        </w:rPr>
        <w:t xml:space="preserve"> </w:t>
      </w:r>
      <w:r w:rsidR="00D138A3" w:rsidRPr="00A22788">
        <w:rPr>
          <w:rFonts w:asciiTheme="majorHAnsi" w:hAnsiTheme="majorHAnsi"/>
          <w:sz w:val="22"/>
          <w:szCs w:val="22"/>
          <w:u w:val="single"/>
        </w:rPr>
        <w:tab/>
      </w:r>
      <w:r w:rsidR="00FB657E" w:rsidRPr="00A22788">
        <w:rPr>
          <w:rFonts w:asciiTheme="majorHAnsi" w:hAnsiTheme="majorHAnsi"/>
          <w:sz w:val="22"/>
          <w:szCs w:val="22"/>
          <w:u w:val="single"/>
        </w:rPr>
        <w:t xml:space="preserve">            </w:t>
      </w:r>
      <w:hyperlink w:anchor="_Indicador_Objetivos_de" w:history="1">
        <w:r w:rsidRPr="0032028D">
          <w:rPr>
            <w:rStyle w:val="Hipervnculo"/>
            <w:rFonts w:asciiTheme="majorHAnsi" w:hAnsiTheme="majorHAnsi"/>
            <w:sz w:val="22"/>
            <w:szCs w:val="22"/>
          </w:rPr>
          <w:t>p.</w:t>
        </w:r>
        <w:r w:rsidRPr="0032028D">
          <w:rPr>
            <w:rStyle w:val="Hipervnculo"/>
            <w:sz w:val="24"/>
          </w:rPr>
          <w:t xml:space="preserve"> </w:t>
        </w:r>
        <w:r w:rsidRPr="0032028D">
          <w:rPr>
            <w:rStyle w:val="Hipervnculo"/>
            <w:rFonts w:asciiTheme="majorHAnsi" w:hAnsiTheme="majorHAnsi"/>
            <w:sz w:val="22"/>
          </w:rPr>
          <w:t>9</w:t>
        </w:r>
      </w:hyperlink>
    </w:p>
    <w:p w14:paraId="35E4EA65" w14:textId="3BF56F4D" w:rsidR="0032028D" w:rsidRPr="0032028D" w:rsidRDefault="0032028D" w:rsidP="006340A3">
      <w:pPr>
        <w:pStyle w:val="Prrafodelista"/>
        <w:spacing w:line="360" w:lineRule="auto"/>
        <w:jc w:val="both"/>
        <w:rPr>
          <w:sz w:val="24"/>
        </w:rPr>
      </w:pPr>
      <w:r>
        <w:rPr>
          <w:rFonts w:asciiTheme="majorHAnsi" w:hAnsiTheme="majorHAnsi"/>
          <w:sz w:val="22"/>
          <w:szCs w:val="22"/>
        </w:rPr>
        <w:t>Indicador 3. Sujetos obligados de las leyes de transparencia.</w:t>
      </w:r>
      <w:r w:rsidRPr="00FA37CC">
        <w:rPr>
          <w:rFonts w:asciiTheme="majorHAnsi" w:hAnsiTheme="majorHAnsi"/>
          <w:sz w:val="22"/>
          <w:szCs w:val="22"/>
          <w:u w:val="single"/>
        </w:rPr>
        <w:t xml:space="preserve"> </w:t>
      </w:r>
      <w:r w:rsidR="00D138A3" w:rsidRPr="00FA37CC">
        <w:rPr>
          <w:rFonts w:asciiTheme="majorHAnsi" w:hAnsiTheme="majorHAnsi"/>
          <w:sz w:val="22"/>
          <w:szCs w:val="22"/>
          <w:u w:val="single"/>
        </w:rPr>
        <w:tab/>
      </w:r>
      <w:r w:rsidR="00D138A3" w:rsidRPr="00FA37CC">
        <w:rPr>
          <w:rFonts w:asciiTheme="majorHAnsi" w:hAnsiTheme="majorHAnsi"/>
          <w:sz w:val="22"/>
          <w:szCs w:val="22"/>
          <w:u w:val="single"/>
        </w:rPr>
        <w:tab/>
      </w:r>
      <w:r w:rsidR="00D138A3" w:rsidRPr="00FA37CC">
        <w:rPr>
          <w:rFonts w:asciiTheme="majorHAnsi" w:hAnsiTheme="majorHAnsi"/>
          <w:sz w:val="22"/>
          <w:szCs w:val="22"/>
          <w:u w:val="single"/>
        </w:rPr>
        <w:tab/>
      </w:r>
      <w:r w:rsidR="00FB657E" w:rsidRPr="00FA37CC">
        <w:rPr>
          <w:rFonts w:asciiTheme="majorHAnsi" w:hAnsiTheme="majorHAnsi"/>
          <w:sz w:val="22"/>
          <w:szCs w:val="22"/>
          <w:u w:val="single"/>
        </w:rPr>
        <w:t xml:space="preserve">            </w:t>
      </w:r>
      <w:hyperlink w:anchor="_Indicador_Sujetos_Obligados" w:history="1">
        <w:r w:rsidRPr="0032028D">
          <w:rPr>
            <w:rStyle w:val="Hipervnculo"/>
            <w:rFonts w:asciiTheme="majorHAnsi" w:hAnsiTheme="majorHAnsi"/>
            <w:sz w:val="22"/>
            <w:szCs w:val="22"/>
          </w:rPr>
          <w:t xml:space="preserve">p. </w:t>
        </w:r>
        <w:r w:rsidRPr="0032028D">
          <w:rPr>
            <w:rStyle w:val="Hipervnculo"/>
            <w:rFonts w:asciiTheme="majorHAnsi" w:hAnsiTheme="majorHAnsi"/>
            <w:sz w:val="22"/>
            <w:szCs w:val="22"/>
          </w:rPr>
          <w:t>1</w:t>
        </w:r>
        <w:r w:rsidRPr="0032028D">
          <w:rPr>
            <w:rStyle w:val="Hipervnculo"/>
            <w:rFonts w:asciiTheme="majorHAnsi" w:hAnsiTheme="majorHAnsi"/>
            <w:sz w:val="22"/>
            <w:szCs w:val="22"/>
          </w:rPr>
          <w:t>1</w:t>
        </w:r>
      </w:hyperlink>
    </w:p>
    <w:p w14:paraId="12177F14" w14:textId="00FE6F03" w:rsidR="0032028D" w:rsidRPr="00960C12" w:rsidRDefault="0032028D" w:rsidP="006340A3">
      <w:pPr>
        <w:pStyle w:val="Prrafodelista"/>
        <w:spacing w:line="360" w:lineRule="auto"/>
        <w:jc w:val="both"/>
        <w:rPr>
          <w:sz w:val="24"/>
        </w:rPr>
      </w:pPr>
      <w:r>
        <w:rPr>
          <w:rFonts w:asciiTheme="majorHAnsi" w:hAnsiTheme="majorHAnsi"/>
          <w:sz w:val="22"/>
          <w:szCs w:val="22"/>
        </w:rPr>
        <w:t>Indicador 4. Obligaciones de los sujetos obligados.</w:t>
      </w:r>
      <w:r w:rsidR="00D138A3" w:rsidRPr="00FA37CC">
        <w:rPr>
          <w:rFonts w:asciiTheme="majorHAnsi" w:hAnsiTheme="majorHAnsi"/>
          <w:sz w:val="22"/>
          <w:szCs w:val="22"/>
          <w:u w:val="single"/>
        </w:rPr>
        <w:tab/>
      </w:r>
      <w:r w:rsidR="00D138A3" w:rsidRPr="00FA37CC">
        <w:rPr>
          <w:rFonts w:asciiTheme="majorHAnsi" w:hAnsiTheme="majorHAnsi"/>
          <w:sz w:val="22"/>
          <w:szCs w:val="22"/>
          <w:u w:val="single"/>
        </w:rPr>
        <w:tab/>
      </w:r>
      <w:r w:rsidR="00D138A3" w:rsidRPr="00FA37CC">
        <w:rPr>
          <w:rFonts w:asciiTheme="majorHAnsi" w:hAnsiTheme="majorHAnsi"/>
          <w:sz w:val="22"/>
          <w:szCs w:val="22"/>
          <w:u w:val="single"/>
        </w:rPr>
        <w:tab/>
      </w:r>
      <w:r w:rsidR="00D138A3" w:rsidRPr="00FA37CC">
        <w:rPr>
          <w:rFonts w:asciiTheme="majorHAnsi" w:hAnsiTheme="majorHAnsi"/>
          <w:sz w:val="22"/>
          <w:szCs w:val="22"/>
          <w:u w:val="single"/>
        </w:rPr>
        <w:tab/>
      </w:r>
      <w:r w:rsidR="00FB657E" w:rsidRPr="00FA37CC">
        <w:rPr>
          <w:rFonts w:asciiTheme="majorHAnsi" w:hAnsiTheme="majorHAnsi"/>
          <w:sz w:val="22"/>
          <w:szCs w:val="22"/>
          <w:u w:val="single"/>
        </w:rPr>
        <w:t xml:space="preserve">            </w:t>
      </w:r>
      <w:hyperlink w:anchor="_Obligaciones_de_los" w:history="1">
        <w:r w:rsidRPr="0032028D">
          <w:rPr>
            <w:rStyle w:val="Hipervnculo"/>
            <w:rFonts w:asciiTheme="majorHAnsi" w:hAnsiTheme="majorHAnsi"/>
            <w:sz w:val="22"/>
            <w:szCs w:val="22"/>
          </w:rPr>
          <w:t>p. 17</w:t>
        </w:r>
      </w:hyperlink>
    </w:p>
    <w:p w14:paraId="448333A2" w14:textId="512E8703" w:rsidR="00960C12" w:rsidRPr="007A7123" w:rsidRDefault="00960C12" w:rsidP="006340A3">
      <w:pPr>
        <w:pStyle w:val="Prrafodelista"/>
        <w:spacing w:line="360" w:lineRule="auto"/>
        <w:jc w:val="both"/>
        <w:rPr>
          <w:sz w:val="24"/>
        </w:rPr>
      </w:pPr>
      <w:r>
        <w:rPr>
          <w:rFonts w:asciiTheme="majorHAnsi" w:hAnsiTheme="majorHAnsi"/>
          <w:sz w:val="22"/>
          <w:szCs w:val="22"/>
        </w:rPr>
        <w:t>Indicador 5. Criterios legales que regulan la clasificación de la información.</w:t>
      </w:r>
      <w:r w:rsidRPr="00FA37CC">
        <w:rPr>
          <w:rFonts w:asciiTheme="majorHAnsi" w:hAnsiTheme="majorHAnsi"/>
          <w:sz w:val="22"/>
          <w:szCs w:val="22"/>
          <w:u w:val="single"/>
        </w:rPr>
        <w:t xml:space="preserve"> </w:t>
      </w:r>
      <w:r w:rsidR="00D138A3" w:rsidRPr="00FA37CC">
        <w:rPr>
          <w:rFonts w:asciiTheme="majorHAnsi" w:hAnsiTheme="majorHAnsi"/>
          <w:sz w:val="22"/>
          <w:szCs w:val="22"/>
          <w:u w:val="single"/>
        </w:rPr>
        <w:tab/>
      </w:r>
      <w:r w:rsidR="00FB657E" w:rsidRPr="00FA37CC">
        <w:rPr>
          <w:rFonts w:asciiTheme="majorHAnsi" w:hAnsiTheme="majorHAnsi"/>
          <w:sz w:val="22"/>
          <w:szCs w:val="22"/>
          <w:u w:val="single"/>
        </w:rPr>
        <w:t xml:space="preserve">            </w:t>
      </w:r>
      <w:hyperlink w:anchor="_Criterios_legales_que" w:history="1">
        <w:r w:rsidR="007A7123" w:rsidRPr="007A7123">
          <w:rPr>
            <w:rStyle w:val="Hipervnculo"/>
            <w:rFonts w:asciiTheme="majorHAnsi" w:hAnsiTheme="majorHAnsi"/>
            <w:sz w:val="22"/>
            <w:szCs w:val="22"/>
          </w:rPr>
          <w:t xml:space="preserve">p. </w:t>
        </w:r>
        <w:r w:rsidR="007A7123" w:rsidRPr="007A7123">
          <w:rPr>
            <w:rStyle w:val="Hipervnculo"/>
            <w:rFonts w:asciiTheme="majorHAnsi" w:hAnsiTheme="majorHAnsi"/>
            <w:sz w:val="22"/>
            <w:szCs w:val="22"/>
          </w:rPr>
          <w:t>2</w:t>
        </w:r>
        <w:r w:rsidR="007A7123" w:rsidRPr="007A7123">
          <w:rPr>
            <w:rStyle w:val="Hipervnculo"/>
            <w:rFonts w:asciiTheme="majorHAnsi" w:hAnsiTheme="majorHAnsi"/>
            <w:sz w:val="22"/>
            <w:szCs w:val="22"/>
          </w:rPr>
          <w:t>3</w:t>
        </w:r>
      </w:hyperlink>
    </w:p>
    <w:p w14:paraId="4400CB35" w14:textId="7C8D3B72" w:rsidR="007A7123" w:rsidRPr="007A7123" w:rsidRDefault="007A7123" w:rsidP="006340A3">
      <w:pPr>
        <w:pStyle w:val="Prrafodelista"/>
        <w:spacing w:line="360" w:lineRule="auto"/>
        <w:jc w:val="both"/>
        <w:rPr>
          <w:sz w:val="24"/>
        </w:rPr>
      </w:pPr>
      <w:r>
        <w:rPr>
          <w:rFonts w:asciiTheme="majorHAnsi" w:hAnsiTheme="majorHAnsi"/>
          <w:sz w:val="22"/>
          <w:szCs w:val="22"/>
        </w:rPr>
        <w:t>Indicador 6. Régimen de excepciones para la clasificación de información.</w:t>
      </w:r>
      <w:r w:rsidRPr="00FA37CC">
        <w:rPr>
          <w:rFonts w:asciiTheme="majorHAnsi" w:hAnsiTheme="majorHAnsi"/>
          <w:sz w:val="22"/>
          <w:szCs w:val="22"/>
          <w:u w:val="single"/>
        </w:rPr>
        <w:t xml:space="preserve"> </w:t>
      </w:r>
      <w:r w:rsidR="00D138A3" w:rsidRPr="00FA37CC">
        <w:rPr>
          <w:rFonts w:asciiTheme="majorHAnsi" w:hAnsiTheme="majorHAnsi"/>
          <w:sz w:val="22"/>
          <w:szCs w:val="22"/>
          <w:u w:val="single"/>
        </w:rPr>
        <w:tab/>
        <w:t xml:space="preserve">     </w:t>
      </w:r>
      <w:r w:rsidR="00FB657E" w:rsidRPr="00FA37CC">
        <w:rPr>
          <w:rFonts w:asciiTheme="majorHAnsi" w:hAnsiTheme="majorHAnsi"/>
          <w:sz w:val="22"/>
          <w:szCs w:val="22"/>
          <w:u w:val="single"/>
        </w:rPr>
        <w:t xml:space="preserve">      </w:t>
      </w:r>
      <w:r w:rsidR="00D138A3" w:rsidRPr="00FA37CC">
        <w:rPr>
          <w:rFonts w:asciiTheme="majorHAnsi" w:hAnsiTheme="majorHAnsi"/>
          <w:sz w:val="22"/>
          <w:szCs w:val="22"/>
          <w:u w:val="single"/>
        </w:rPr>
        <w:t xml:space="preserve"> </w:t>
      </w:r>
      <w:hyperlink w:anchor="_Régimen_de_excepciones" w:history="1">
        <w:r w:rsidRPr="007A7123">
          <w:rPr>
            <w:rStyle w:val="Hipervnculo"/>
            <w:rFonts w:asciiTheme="majorHAnsi" w:hAnsiTheme="majorHAnsi"/>
            <w:sz w:val="22"/>
            <w:szCs w:val="22"/>
          </w:rPr>
          <w:t>p.</w:t>
        </w:r>
        <w:r w:rsidRPr="007A7123">
          <w:rPr>
            <w:rStyle w:val="Hipervnculo"/>
            <w:rFonts w:asciiTheme="majorHAnsi" w:hAnsiTheme="majorHAnsi"/>
            <w:sz w:val="22"/>
            <w:szCs w:val="22"/>
          </w:rPr>
          <w:t xml:space="preserve"> </w:t>
        </w:r>
        <w:r w:rsidRPr="007A7123">
          <w:rPr>
            <w:rStyle w:val="Hipervnculo"/>
            <w:rFonts w:asciiTheme="majorHAnsi" w:hAnsiTheme="majorHAnsi"/>
            <w:sz w:val="22"/>
            <w:szCs w:val="22"/>
          </w:rPr>
          <w:t>30</w:t>
        </w:r>
      </w:hyperlink>
    </w:p>
    <w:p w14:paraId="027FDF9A" w14:textId="6056C9EC" w:rsidR="007A7123" w:rsidRPr="005065E6" w:rsidRDefault="007A7123" w:rsidP="006340A3">
      <w:pPr>
        <w:pStyle w:val="Prrafodelista"/>
        <w:spacing w:line="360" w:lineRule="auto"/>
        <w:jc w:val="both"/>
        <w:rPr>
          <w:sz w:val="24"/>
        </w:rPr>
      </w:pPr>
      <w:r>
        <w:rPr>
          <w:rFonts w:asciiTheme="majorHAnsi" w:hAnsiTheme="majorHAnsi"/>
          <w:sz w:val="22"/>
          <w:szCs w:val="22"/>
        </w:rPr>
        <w:t>Indicador 7. Sanciones establecidas.</w:t>
      </w:r>
      <w:r w:rsidRPr="00FA37CC">
        <w:rPr>
          <w:rFonts w:asciiTheme="majorHAnsi" w:hAnsiTheme="majorHAnsi"/>
          <w:sz w:val="22"/>
          <w:szCs w:val="22"/>
          <w:u w:val="single"/>
        </w:rPr>
        <w:t xml:space="preserve"> </w:t>
      </w:r>
      <w:r w:rsidR="00D138A3" w:rsidRPr="00FA37CC">
        <w:rPr>
          <w:rFonts w:asciiTheme="majorHAnsi" w:hAnsiTheme="majorHAnsi"/>
          <w:sz w:val="22"/>
          <w:szCs w:val="22"/>
          <w:u w:val="single"/>
        </w:rPr>
        <w:tab/>
      </w:r>
      <w:r w:rsidR="00D138A3" w:rsidRPr="00FA37CC">
        <w:rPr>
          <w:rFonts w:asciiTheme="majorHAnsi" w:hAnsiTheme="majorHAnsi"/>
          <w:sz w:val="22"/>
          <w:szCs w:val="22"/>
          <w:u w:val="single"/>
        </w:rPr>
        <w:tab/>
      </w:r>
      <w:r w:rsidR="00D138A3" w:rsidRPr="00FA37CC">
        <w:rPr>
          <w:rFonts w:asciiTheme="majorHAnsi" w:hAnsiTheme="majorHAnsi"/>
          <w:sz w:val="22"/>
          <w:szCs w:val="22"/>
          <w:u w:val="single"/>
        </w:rPr>
        <w:tab/>
      </w:r>
      <w:r w:rsidR="00D138A3" w:rsidRPr="00FA37CC">
        <w:rPr>
          <w:rFonts w:asciiTheme="majorHAnsi" w:hAnsiTheme="majorHAnsi"/>
          <w:sz w:val="22"/>
          <w:szCs w:val="22"/>
          <w:u w:val="single"/>
        </w:rPr>
        <w:tab/>
      </w:r>
      <w:r w:rsidR="00D138A3" w:rsidRPr="00FA37CC">
        <w:rPr>
          <w:rFonts w:asciiTheme="majorHAnsi" w:hAnsiTheme="majorHAnsi"/>
          <w:sz w:val="22"/>
          <w:szCs w:val="22"/>
          <w:u w:val="single"/>
        </w:rPr>
        <w:tab/>
      </w:r>
      <w:r w:rsidR="00D138A3" w:rsidRPr="00FA37CC">
        <w:rPr>
          <w:rFonts w:asciiTheme="majorHAnsi" w:hAnsiTheme="majorHAnsi"/>
          <w:sz w:val="22"/>
          <w:szCs w:val="22"/>
          <w:u w:val="single"/>
        </w:rPr>
        <w:tab/>
        <w:t xml:space="preserve">     </w:t>
      </w:r>
      <w:r w:rsidR="00FB657E" w:rsidRPr="00FA37CC">
        <w:rPr>
          <w:rFonts w:asciiTheme="majorHAnsi" w:hAnsiTheme="majorHAnsi"/>
          <w:sz w:val="22"/>
          <w:szCs w:val="22"/>
          <w:u w:val="single"/>
        </w:rPr>
        <w:t xml:space="preserve">      </w:t>
      </w:r>
      <w:r w:rsidR="00D138A3" w:rsidRPr="00FA37CC">
        <w:rPr>
          <w:rFonts w:asciiTheme="majorHAnsi" w:hAnsiTheme="majorHAnsi"/>
          <w:sz w:val="22"/>
          <w:szCs w:val="22"/>
          <w:u w:val="single"/>
        </w:rPr>
        <w:t xml:space="preserve"> </w:t>
      </w:r>
      <w:hyperlink w:anchor="_Sanciones_establecidas" w:history="1">
        <w:r w:rsidRPr="006363A8">
          <w:rPr>
            <w:rStyle w:val="Hipervnculo"/>
            <w:rFonts w:asciiTheme="majorHAnsi" w:hAnsiTheme="majorHAnsi"/>
            <w:sz w:val="22"/>
            <w:szCs w:val="22"/>
          </w:rPr>
          <w:t xml:space="preserve">p. </w:t>
        </w:r>
        <w:r w:rsidR="006363A8" w:rsidRPr="006363A8">
          <w:rPr>
            <w:rStyle w:val="Hipervnculo"/>
            <w:rFonts w:asciiTheme="majorHAnsi" w:hAnsiTheme="majorHAnsi"/>
            <w:sz w:val="22"/>
            <w:szCs w:val="22"/>
          </w:rPr>
          <w:t>34</w:t>
        </w:r>
      </w:hyperlink>
    </w:p>
    <w:p w14:paraId="63F0DCEF" w14:textId="5EE05CD9" w:rsidR="005065E6" w:rsidRPr="00FE40D9" w:rsidRDefault="005065E6" w:rsidP="006340A3">
      <w:pPr>
        <w:pStyle w:val="Prrafodelista"/>
        <w:spacing w:line="360" w:lineRule="auto"/>
        <w:jc w:val="both"/>
        <w:rPr>
          <w:sz w:val="24"/>
        </w:rPr>
      </w:pPr>
      <w:r>
        <w:rPr>
          <w:rFonts w:asciiTheme="majorHAnsi" w:hAnsiTheme="majorHAnsi"/>
          <w:sz w:val="22"/>
          <w:szCs w:val="22"/>
        </w:rPr>
        <w:t xml:space="preserve">Indicador 8. Integración y atribuciones de las oficinas de información pública o unidad </w:t>
      </w:r>
      <w:r w:rsidR="0055563B">
        <w:rPr>
          <w:rFonts w:asciiTheme="majorHAnsi" w:hAnsiTheme="majorHAnsi"/>
          <w:sz w:val="22"/>
          <w:szCs w:val="22"/>
        </w:rPr>
        <w:tab/>
      </w:r>
      <w:r w:rsidR="0055563B">
        <w:rPr>
          <w:rFonts w:asciiTheme="majorHAnsi" w:hAnsiTheme="majorHAnsi"/>
          <w:sz w:val="22"/>
          <w:szCs w:val="22"/>
        </w:rPr>
        <w:tab/>
      </w:r>
      <w:r>
        <w:rPr>
          <w:rFonts w:asciiTheme="majorHAnsi" w:hAnsiTheme="majorHAnsi"/>
          <w:sz w:val="22"/>
          <w:szCs w:val="22"/>
        </w:rPr>
        <w:t>administrativa equivalente</w:t>
      </w:r>
      <w:r w:rsidR="00FE40D9">
        <w:rPr>
          <w:rFonts w:asciiTheme="majorHAnsi" w:hAnsiTheme="majorHAnsi"/>
          <w:sz w:val="22"/>
          <w:szCs w:val="22"/>
        </w:rPr>
        <w:t>.</w:t>
      </w:r>
      <w:r w:rsidRPr="00FA37CC">
        <w:rPr>
          <w:rFonts w:asciiTheme="majorHAnsi" w:hAnsiTheme="majorHAnsi"/>
          <w:sz w:val="22"/>
          <w:szCs w:val="22"/>
          <w:u w:val="single"/>
        </w:rPr>
        <w:t xml:space="preserve">  </w:t>
      </w:r>
      <w:r w:rsidR="00D138A3" w:rsidRPr="00FA37CC">
        <w:rPr>
          <w:rFonts w:asciiTheme="majorHAnsi" w:hAnsiTheme="majorHAnsi"/>
          <w:sz w:val="22"/>
          <w:szCs w:val="22"/>
          <w:u w:val="single"/>
        </w:rPr>
        <w:tab/>
      </w:r>
      <w:r w:rsidR="00D138A3" w:rsidRPr="00FA37CC">
        <w:rPr>
          <w:rFonts w:asciiTheme="majorHAnsi" w:hAnsiTheme="majorHAnsi"/>
          <w:sz w:val="22"/>
          <w:szCs w:val="22"/>
          <w:u w:val="single"/>
        </w:rPr>
        <w:tab/>
      </w:r>
      <w:r w:rsidR="00D138A3" w:rsidRPr="00FA37CC">
        <w:rPr>
          <w:rFonts w:asciiTheme="majorHAnsi" w:hAnsiTheme="majorHAnsi"/>
          <w:sz w:val="22"/>
          <w:szCs w:val="22"/>
          <w:u w:val="single"/>
        </w:rPr>
        <w:tab/>
      </w:r>
      <w:r w:rsidR="00D138A3" w:rsidRPr="00FA37CC">
        <w:rPr>
          <w:rFonts w:asciiTheme="majorHAnsi" w:hAnsiTheme="majorHAnsi"/>
          <w:sz w:val="22"/>
          <w:szCs w:val="22"/>
          <w:u w:val="single"/>
        </w:rPr>
        <w:tab/>
      </w:r>
      <w:r w:rsidR="00D138A3" w:rsidRPr="00FA37CC">
        <w:rPr>
          <w:rFonts w:asciiTheme="majorHAnsi" w:hAnsiTheme="majorHAnsi"/>
          <w:sz w:val="22"/>
          <w:szCs w:val="22"/>
          <w:u w:val="single"/>
        </w:rPr>
        <w:tab/>
      </w:r>
      <w:r w:rsidR="00D138A3" w:rsidRPr="00FA37CC">
        <w:rPr>
          <w:rFonts w:asciiTheme="majorHAnsi" w:hAnsiTheme="majorHAnsi"/>
          <w:sz w:val="22"/>
          <w:szCs w:val="22"/>
          <w:u w:val="single"/>
        </w:rPr>
        <w:tab/>
        <w:t xml:space="preserve">      </w:t>
      </w:r>
      <w:r w:rsidR="00FB657E" w:rsidRPr="00FA37CC">
        <w:rPr>
          <w:rFonts w:asciiTheme="majorHAnsi" w:hAnsiTheme="majorHAnsi"/>
          <w:sz w:val="22"/>
          <w:szCs w:val="22"/>
          <w:u w:val="single"/>
        </w:rPr>
        <w:t xml:space="preserve">      </w:t>
      </w:r>
      <w:hyperlink w:anchor="_Integración_y_atribuciones" w:history="1">
        <w:r w:rsidRPr="005065E6">
          <w:rPr>
            <w:rStyle w:val="Hipervnculo"/>
            <w:rFonts w:asciiTheme="majorHAnsi" w:hAnsiTheme="majorHAnsi"/>
            <w:sz w:val="22"/>
            <w:szCs w:val="22"/>
          </w:rPr>
          <w:t xml:space="preserve">p. </w:t>
        </w:r>
        <w:r w:rsidRPr="005065E6">
          <w:rPr>
            <w:rStyle w:val="Hipervnculo"/>
            <w:rFonts w:asciiTheme="majorHAnsi" w:hAnsiTheme="majorHAnsi"/>
            <w:sz w:val="22"/>
            <w:szCs w:val="22"/>
          </w:rPr>
          <w:t>3</w:t>
        </w:r>
        <w:r w:rsidRPr="005065E6">
          <w:rPr>
            <w:rStyle w:val="Hipervnculo"/>
            <w:rFonts w:asciiTheme="majorHAnsi" w:hAnsiTheme="majorHAnsi"/>
            <w:sz w:val="22"/>
            <w:szCs w:val="22"/>
          </w:rPr>
          <w:t>7</w:t>
        </w:r>
      </w:hyperlink>
    </w:p>
    <w:p w14:paraId="0D9277E4" w14:textId="0F21FA27" w:rsidR="00FE40D9" w:rsidRPr="00FE40D9" w:rsidRDefault="00FE40D9" w:rsidP="006340A3">
      <w:pPr>
        <w:pStyle w:val="Prrafodelista"/>
        <w:spacing w:line="360" w:lineRule="auto"/>
        <w:jc w:val="both"/>
        <w:rPr>
          <w:sz w:val="24"/>
        </w:rPr>
      </w:pPr>
      <w:r>
        <w:rPr>
          <w:rFonts w:asciiTheme="majorHAnsi" w:hAnsiTheme="majorHAnsi"/>
          <w:sz w:val="22"/>
          <w:szCs w:val="22"/>
        </w:rPr>
        <w:t xml:space="preserve">Indicador 9. Integración y facultades del órgano interno de revisión o comités de </w:t>
      </w:r>
      <w:r w:rsidR="0055563B">
        <w:rPr>
          <w:rFonts w:asciiTheme="majorHAnsi" w:hAnsiTheme="majorHAnsi"/>
          <w:sz w:val="22"/>
          <w:szCs w:val="22"/>
        </w:rPr>
        <w:tab/>
      </w:r>
      <w:r>
        <w:rPr>
          <w:rFonts w:asciiTheme="majorHAnsi" w:hAnsiTheme="majorHAnsi"/>
          <w:sz w:val="22"/>
          <w:szCs w:val="22"/>
        </w:rPr>
        <w:t>información.</w:t>
      </w:r>
      <w:r w:rsidRPr="00054B68">
        <w:rPr>
          <w:rFonts w:asciiTheme="majorHAnsi" w:hAnsiTheme="majorHAnsi"/>
          <w:sz w:val="22"/>
          <w:szCs w:val="22"/>
          <w:u w:val="single"/>
        </w:rPr>
        <w:t xml:space="preserve"> </w:t>
      </w:r>
      <w:r w:rsidR="00D138A3" w:rsidRPr="00054B68">
        <w:rPr>
          <w:rFonts w:asciiTheme="majorHAnsi" w:hAnsiTheme="majorHAnsi"/>
          <w:sz w:val="22"/>
          <w:szCs w:val="22"/>
          <w:u w:val="single"/>
        </w:rPr>
        <w:tab/>
      </w:r>
      <w:r w:rsidR="00D138A3" w:rsidRPr="00054B68">
        <w:rPr>
          <w:rFonts w:asciiTheme="majorHAnsi" w:hAnsiTheme="majorHAnsi"/>
          <w:sz w:val="22"/>
          <w:szCs w:val="22"/>
          <w:u w:val="single"/>
        </w:rPr>
        <w:tab/>
      </w:r>
      <w:r w:rsidR="00D138A3" w:rsidRPr="00054B68">
        <w:rPr>
          <w:rFonts w:asciiTheme="majorHAnsi" w:hAnsiTheme="majorHAnsi"/>
          <w:sz w:val="22"/>
          <w:szCs w:val="22"/>
          <w:u w:val="single"/>
        </w:rPr>
        <w:tab/>
      </w:r>
      <w:r w:rsidR="00D138A3" w:rsidRPr="00054B68">
        <w:rPr>
          <w:rFonts w:asciiTheme="majorHAnsi" w:hAnsiTheme="majorHAnsi"/>
          <w:sz w:val="22"/>
          <w:szCs w:val="22"/>
          <w:u w:val="single"/>
        </w:rPr>
        <w:tab/>
      </w:r>
      <w:r w:rsidR="00D138A3" w:rsidRPr="00054B68">
        <w:rPr>
          <w:rFonts w:asciiTheme="majorHAnsi" w:hAnsiTheme="majorHAnsi"/>
          <w:sz w:val="22"/>
          <w:szCs w:val="22"/>
          <w:u w:val="single"/>
        </w:rPr>
        <w:tab/>
      </w:r>
      <w:r w:rsidR="00D138A3" w:rsidRPr="00054B68">
        <w:rPr>
          <w:rFonts w:asciiTheme="majorHAnsi" w:hAnsiTheme="majorHAnsi"/>
          <w:sz w:val="22"/>
          <w:szCs w:val="22"/>
          <w:u w:val="single"/>
        </w:rPr>
        <w:tab/>
      </w:r>
      <w:r w:rsidR="00D138A3" w:rsidRPr="00054B68">
        <w:rPr>
          <w:rFonts w:asciiTheme="majorHAnsi" w:hAnsiTheme="majorHAnsi"/>
          <w:sz w:val="22"/>
          <w:szCs w:val="22"/>
          <w:u w:val="single"/>
        </w:rPr>
        <w:tab/>
      </w:r>
      <w:r w:rsidR="00D138A3" w:rsidRPr="00054B68">
        <w:rPr>
          <w:rFonts w:asciiTheme="majorHAnsi" w:hAnsiTheme="majorHAnsi"/>
          <w:sz w:val="22"/>
          <w:szCs w:val="22"/>
          <w:u w:val="single"/>
        </w:rPr>
        <w:tab/>
        <w:t xml:space="preserve">            </w:t>
      </w:r>
      <w:hyperlink w:anchor="_Integración_y_facultades" w:history="1">
        <w:r w:rsidRPr="00FE40D9">
          <w:rPr>
            <w:rStyle w:val="Hipervnculo"/>
            <w:rFonts w:asciiTheme="majorHAnsi" w:hAnsiTheme="majorHAnsi"/>
            <w:sz w:val="22"/>
            <w:szCs w:val="22"/>
          </w:rPr>
          <w:t>p. 40</w:t>
        </w:r>
      </w:hyperlink>
    </w:p>
    <w:p w14:paraId="5582EF8D" w14:textId="25865C72" w:rsidR="00FE40D9" w:rsidRPr="00082E42" w:rsidRDefault="00FE40D9" w:rsidP="006340A3">
      <w:pPr>
        <w:pStyle w:val="Prrafodelista"/>
        <w:spacing w:line="360" w:lineRule="auto"/>
        <w:jc w:val="both"/>
        <w:rPr>
          <w:sz w:val="24"/>
        </w:rPr>
      </w:pPr>
      <w:r>
        <w:rPr>
          <w:rFonts w:asciiTheme="majorHAnsi" w:hAnsiTheme="majorHAnsi"/>
          <w:sz w:val="22"/>
          <w:szCs w:val="22"/>
        </w:rPr>
        <w:t>Indicador 10. Órganos garantes de la transparencia: naturaleza jurídica.</w:t>
      </w:r>
      <w:r w:rsidRPr="00054B68">
        <w:rPr>
          <w:rFonts w:asciiTheme="majorHAnsi" w:hAnsiTheme="majorHAnsi"/>
          <w:sz w:val="22"/>
          <w:szCs w:val="22"/>
          <w:u w:val="single"/>
        </w:rPr>
        <w:t xml:space="preserve"> </w:t>
      </w:r>
      <w:r w:rsidR="00D138A3" w:rsidRPr="00054B68">
        <w:rPr>
          <w:rFonts w:asciiTheme="majorHAnsi" w:hAnsiTheme="majorHAnsi"/>
          <w:sz w:val="22"/>
          <w:szCs w:val="22"/>
          <w:u w:val="single"/>
        </w:rPr>
        <w:tab/>
        <w:t xml:space="preserve">            </w:t>
      </w:r>
      <w:hyperlink w:anchor="_Órganos_garantes_de" w:history="1">
        <w:r w:rsidRPr="00082E42">
          <w:rPr>
            <w:rStyle w:val="Hipervnculo"/>
            <w:rFonts w:asciiTheme="majorHAnsi" w:hAnsiTheme="majorHAnsi"/>
            <w:sz w:val="22"/>
            <w:szCs w:val="22"/>
          </w:rPr>
          <w:t xml:space="preserve">p. </w:t>
        </w:r>
        <w:r w:rsidR="00082E42" w:rsidRPr="00082E42">
          <w:rPr>
            <w:rStyle w:val="Hipervnculo"/>
            <w:rFonts w:asciiTheme="majorHAnsi" w:hAnsiTheme="majorHAnsi"/>
            <w:sz w:val="22"/>
            <w:szCs w:val="22"/>
          </w:rPr>
          <w:t>42</w:t>
        </w:r>
      </w:hyperlink>
    </w:p>
    <w:p w14:paraId="05F0F8F1" w14:textId="67C6AF80" w:rsidR="00082E42" w:rsidRDefault="00082E42" w:rsidP="006340A3">
      <w:pPr>
        <w:pStyle w:val="Prrafodelista"/>
        <w:spacing w:line="360" w:lineRule="auto"/>
        <w:jc w:val="both"/>
        <w:rPr>
          <w:rFonts w:asciiTheme="majorHAnsi" w:hAnsiTheme="majorHAnsi"/>
          <w:sz w:val="22"/>
          <w:szCs w:val="22"/>
        </w:rPr>
      </w:pPr>
      <w:r>
        <w:rPr>
          <w:rFonts w:asciiTheme="majorHAnsi" w:hAnsiTheme="majorHAnsi"/>
          <w:sz w:val="22"/>
          <w:szCs w:val="22"/>
        </w:rPr>
        <w:t>Indicador 11. Órganos de conducción de los órganos garantes de la transparencia.</w:t>
      </w:r>
      <w:r w:rsidRPr="00054B68">
        <w:rPr>
          <w:rFonts w:asciiTheme="majorHAnsi" w:hAnsiTheme="majorHAnsi"/>
          <w:sz w:val="22"/>
          <w:szCs w:val="22"/>
          <w:u w:val="single"/>
        </w:rPr>
        <w:t xml:space="preserve"> </w:t>
      </w:r>
      <w:r w:rsidR="00D138A3" w:rsidRPr="00054B68">
        <w:rPr>
          <w:rFonts w:asciiTheme="majorHAnsi" w:hAnsiTheme="majorHAnsi"/>
          <w:sz w:val="22"/>
          <w:szCs w:val="22"/>
          <w:u w:val="single"/>
        </w:rPr>
        <w:t xml:space="preserve">       </w:t>
      </w:r>
      <w:hyperlink w:anchor="_Órganos_de_conducción" w:history="1">
        <w:r w:rsidRPr="00D360DC">
          <w:rPr>
            <w:rStyle w:val="Hipervnculo"/>
            <w:rFonts w:asciiTheme="majorHAnsi" w:hAnsiTheme="majorHAnsi"/>
            <w:sz w:val="22"/>
            <w:szCs w:val="22"/>
          </w:rPr>
          <w:t xml:space="preserve">p. </w:t>
        </w:r>
        <w:r w:rsidR="00D360DC" w:rsidRPr="00D360DC">
          <w:rPr>
            <w:rStyle w:val="Hipervnculo"/>
            <w:rFonts w:asciiTheme="majorHAnsi" w:hAnsiTheme="majorHAnsi"/>
            <w:sz w:val="22"/>
            <w:szCs w:val="22"/>
          </w:rPr>
          <w:t>44</w:t>
        </w:r>
      </w:hyperlink>
    </w:p>
    <w:p w14:paraId="116BE404" w14:textId="4C47A441" w:rsidR="00D360DC" w:rsidRDefault="00D360DC" w:rsidP="006340A3">
      <w:pPr>
        <w:pStyle w:val="Prrafodelista"/>
        <w:spacing w:line="360" w:lineRule="auto"/>
        <w:jc w:val="both"/>
        <w:rPr>
          <w:rFonts w:asciiTheme="majorHAnsi" w:hAnsiTheme="majorHAnsi"/>
          <w:sz w:val="22"/>
          <w:szCs w:val="22"/>
        </w:rPr>
      </w:pPr>
      <w:r>
        <w:rPr>
          <w:rFonts w:asciiTheme="majorHAnsi" w:hAnsiTheme="majorHAnsi"/>
          <w:sz w:val="22"/>
          <w:szCs w:val="22"/>
        </w:rPr>
        <w:t>Indicador 12. Facultades y obligaciones del órgano garante.</w:t>
      </w:r>
      <w:r w:rsidR="00437ABD" w:rsidRPr="00054B68">
        <w:rPr>
          <w:rFonts w:asciiTheme="majorHAnsi" w:hAnsiTheme="majorHAnsi"/>
          <w:sz w:val="22"/>
          <w:szCs w:val="22"/>
          <w:u w:val="single"/>
        </w:rPr>
        <w:t xml:space="preserve"> </w:t>
      </w:r>
      <w:r w:rsidR="00D138A3" w:rsidRPr="00054B68">
        <w:rPr>
          <w:rFonts w:asciiTheme="majorHAnsi" w:hAnsiTheme="majorHAnsi"/>
          <w:sz w:val="22"/>
          <w:szCs w:val="22"/>
          <w:u w:val="single"/>
        </w:rPr>
        <w:tab/>
      </w:r>
      <w:r w:rsidR="00D138A3" w:rsidRPr="00054B68">
        <w:rPr>
          <w:rFonts w:asciiTheme="majorHAnsi" w:hAnsiTheme="majorHAnsi"/>
          <w:sz w:val="22"/>
          <w:szCs w:val="22"/>
          <w:u w:val="single"/>
        </w:rPr>
        <w:tab/>
      </w:r>
      <w:r w:rsidR="00D138A3" w:rsidRPr="00054B68">
        <w:rPr>
          <w:rFonts w:asciiTheme="majorHAnsi" w:hAnsiTheme="majorHAnsi"/>
          <w:sz w:val="22"/>
          <w:szCs w:val="22"/>
          <w:u w:val="single"/>
        </w:rPr>
        <w:tab/>
        <w:t xml:space="preserve">            </w:t>
      </w:r>
      <w:hyperlink w:anchor="_12._Facultades_y" w:history="1">
        <w:r w:rsidR="00437ABD" w:rsidRPr="00437ABD">
          <w:rPr>
            <w:rStyle w:val="Hipervnculo"/>
            <w:rFonts w:asciiTheme="majorHAnsi" w:hAnsiTheme="majorHAnsi"/>
            <w:sz w:val="22"/>
            <w:szCs w:val="22"/>
          </w:rPr>
          <w:t>p. 51</w:t>
        </w:r>
      </w:hyperlink>
    </w:p>
    <w:p w14:paraId="05B49CF4" w14:textId="096E3EB7" w:rsidR="00437ABD" w:rsidRDefault="00437ABD" w:rsidP="006340A3">
      <w:pPr>
        <w:pStyle w:val="Prrafodelista"/>
        <w:spacing w:line="360" w:lineRule="auto"/>
        <w:jc w:val="both"/>
        <w:rPr>
          <w:rFonts w:asciiTheme="majorHAnsi" w:hAnsiTheme="majorHAnsi"/>
          <w:sz w:val="22"/>
          <w:szCs w:val="22"/>
        </w:rPr>
      </w:pPr>
      <w:r>
        <w:rPr>
          <w:rFonts w:asciiTheme="majorHAnsi" w:hAnsiTheme="majorHAnsi"/>
          <w:sz w:val="22"/>
          <w:szCs w:val="22"/>
        </w:rPr>
        <w:t>Indicador 13. Modalidades para presentar solicitudes de acceso a la información.</w:t>
      </w:r>
      <w:r w:rsidRPr="00054B68">
        <w:rPr>
          <w:rFonts w:asciiTheme="majorHAnsi" w:hAnsiTheme="majorHAnsi"/>
          <w:sz w:val="22"/>
          <w:szCs w:val="22"/>
          <w:u w:val="single"/>
        </w:rPr>
        <w:t xml:space="preserve"> </w:t>
      </w:r>
      <w:r w:rsidR="00D138A3" w:rsidRPr="00054B68">
        <w:rPr>
          <w:rFonts w:asciiTheme="majorHAnsi" w:hAnsiTheme="majorHAnsi"/>
          <w:sz w:val="22"/>
          <w:szCs w:val="22"/>
          <w:u w:val="single"/>
        </w:rPr>
        <w:t xml:space="preserve">        </w:t>
      </w:r>
      <w:hyperlink w:anchor="_Modalidades_para_presentar" w:history="1">
        <w:r w:rsidRPr="00330F75">
          <w:rPr>
            <w:rStyle w:val="Hipervnculo"/>
            <w:rFonts w:asciiTheme="majorHAnsi" w:hAnsiTheme="majorHAnsi"/>
            <w:sz w:val="22"/>
            <w:szCs w:val="22"/>
          </w:rPr>
          <w:t xml:space="preserve">p. </w:t>
        </w:r>
        <w:r w:rsidR="00330F75" w:rsidRPr="00330F75">
          <w:rPr>
            <w:rStyle w:val="Hipervnculo"/>
            <w:rFonts w:asciiTheme="majorHAnsi" w:hAnsiTheme="majorHAnsi"/>
            <w:sz w:val="22"/>
            <w:szCs w:val="22"/>
          </w:rPr>
          <w:t>5</w:t>
        </w:r>
        <w:r w:rsidR="00330F75" w:rsidRPr="00330F75">
          <w:rPr>
            <w:rStyle w:val="Hipervnculo"/>
            <w:rFonts w:asciiTheme="majorHAnsi" w:hAnsiTheme="majorHAnsi"/>
            <w:sz w:val="22"/>
            <w:szCs w:val="22"/>
          </w:rPr>
          <w:t>7</w:t>
        </w:r>
      </w:hyperlink>
    </w:p>
    <w:p w14:paraId="731ED629" w14:textId="50541D15" w:rsidR="00330F75" w:rsidRDefault="00330F75" w:rsidP="006340A3">
      <w:pPr>
        <w:pStyle w:val="Prrafodelista"/>
        <w:spacing w:line="360" w:lineRule="auto"/>
        <w:jc w:val="both"/>
        <w:rPr>
          <w:rFonts w:asciiTheme="majorHAnsi" w:hAnsiTheme="majorHAnsi"/>
          <w:sz w:val="22"/>
          <w:szCs w:val="22"/>
        </w:rPr>
      </w:pPr>
      <w:r>
        <w:rPr>
          <w:rFonts w:asciiTheme="majorHAnsi" w:hAnsiTheme="majorHAnsi"/>
          <w:sz w:val="22"/>
          <w:szCs w:val="22"/>
        </w:rPr>
        <w:t>Indicador 14. Requisitos para solicitar información.</w:t>
      </w:r>
      <w:r w:rsidRPr="00054B68">
        <w:rPr>
          <w:rFonts w:asciiTheme="majorHAnsi" w:hAnsiTheme="majorHAnsi"/>
          <w:sz w:val="22"/>
          <w:szCs w:val="22"/>
          <w:u w:val="single"/>
        </w:rPr>
        <w:t xml:space="preserve"> </w:t>
      </w:r>
      <w:r w:rsidR="00D138A3" w:rsidRPr="00054B68">
        <w:rPr>
          <w:rFonts w:asciiTheme="majorHAnsi" w:hAnsiTheme="majorHAnsi"/>
          <w:sz w:val="22"/>
          <w:szCs w:val="22"/>
          <w:u w:val="single"/>
        </w:rPr>
        <w:tab/>
      </w:r>
      <w:r w:rsidR="00D138A3" w:rsidRPr="00054B68">
        <w:rPr>
          <w:rFonts w:asciiTheme="majorHAnsi" w:hAnsiTheme="majorHAnsi"/>
          <w:sz w:val="22"/>
          <w:szCs w:val="22"/>
          <w:u w:val="single"/>
        </w:rPr>
        <w:tab/>
      </w:r>
      <w:r w:rsidR="00D138A3" w:rsidRPr="00054B68">
        <w:rPr>
          <w:rFonts w:asciiTheme="majorHAnsi" w:hAnsiTheme="majorHAnsi"/>
          <w:sz w:val="22"/>
          <w:szCs w:val="22"/>
          <w:u w:val="single"/>
        </w:rPr>
        <w:tab/>
      </w:r>
      <w:r w:rsidR="00D138A3" w:rsidRPr="00054B68">
        <w:rPr>
          <w:rFonts w:asciiTheme="majorHAnsi" w:hAnsiTheme="majorHAnsi"/>
          <w:sz w:val="22"/>
          <w:szCs w:val="22"/>
          <w:u w:val="single"/>
        </w:rPr>
        <w:tab/>
      </w:r>
      <w:r w:rsidR="00FB657E" w:rsidRPr="00054B68">
        <w:rPr>
          <w:rFonts w:asciiTheme="majorHAnsi" w:hAnsiTheme="majorHAnsi"/>
          <w:sz w:val="22"/>
          <w:szCs w:val="22"/>
          <w:u w:val="single"/>
        </w:rPr>
        <w:t xml:space="preserve">            </w:t>
      </w:r>
      <w:hyperlink w:anchor="_Requisitos_para_solicitar" w:history="1">
        <w:r w:rsidR="0055563B" w:rsidRPr="0055563B">
          <w:rPr>
            <w:rStyle w:val="Hipervnculo"/>
            <w:rFonts w:asciiTheme="majorHAnsi" w:hAnsiTheme="majorHAnsi"/>
            <w:sz w:val="22"/>
            <w:szCs w:val="22"/>
          </w:rPr>
          <w:t>p.</w:t>
        </w:r>
        <w:r w:rsidR="0055563B" w:rsidRPr="0055563B">
          <w:rPr>
            <w:rStyle w:val="Hipervnculo"/>
            <w:rFonts w:asciiTheme="majorHAnsi" w:hAnsiTheme="majorHAnsi"/>
            <w:sz w:val="22"/>
            <w:szCs w:val="22"/>
          </w:rPr>
          <w:t xml:space="preserve"> </w:t>
        </w:r>
        <w:r w:rsidR="0055563B" w:rsidRPr="0055563B">
          <w:rPr>
            <w:rStyle w:val="Hipervnculo"/>
            <w:rFonts w:asciiTheme="majorHAnsi" w:hAnsiTheme="majorHAnsi"/>
            <w:sz w:val="22"/>
            <w:szCs w:val="22"/>
          </w:rPr>
          <w:t>59</w:t>
        </w:r>
      </w:hyperlink>
    </w:p>
    <w:p w14:paraId="24A96EF9" w14:textId="45EC99B4" w:rsidR="0055563B" w:rsidRDefault="0055563B" w:rsidP="006340A3">
      <w:pPr>
        <w:pStyle w:val="Prrafodelista"/>
        <w:spacing w:line="360" w:lineRule="auto"/>
        <w:jc w:val="both"/>
        <w:rPr>
          <w:rFonts w:asciiTheme="majorHAnsi" w:hAnsiTheme="majorHAnsi"/>
          <w:sz w:val="22"/>
          <w:szCs w:val="22"/>
        </w:rPr>
      </w:pPr>
      <w:r>
        <w:rPr>
          <w:rFonts w:asciiTheme="majorHAnsi" w:hAnsiTheme="majorHAnsi"/>
          <w:sz w:val="22"/>
          <w:szCs w:val="22"/>
        </w:rPr>
        <w:t xml:space="preserve">Indicador 15. Regulación de las respuestas de las autoridades públicas a las solicitudes de </w:t>
      </w:r>
      <w:r>
        <w:rPr>
          <w:rFonts w:asciiTheme="majorHAnsi" w:hAnsiTheme="majorHAnsi"/>
          <w:sz w:val="22"/>
          <w:szCs w:val="22"/>
        </w:rPr>
        <w:tab/>
        <w:t>acceso a la información</w:t>
      </w:r>
      <w:r w:rsidR="00417333">
        <w:rPr>
          <w:rFonts w:asciiTheme="majorHAnsi" w:hAnsiTheme="majorHAnsi"/>
          <w:sz w:val="22"/>
          <w:szCs w:val="22"/>
        </w:rPr>
        <w:t>.</w:t>
      </w:r>
      <w:r w:rsidR="00417333" w:rsidRPr="00054B68">
        <w:rPr>
          <w:rFonts w:asciiTheme="majorHAnsi" w:hAnsiTheme="majorHAnsi"/>
          <w:sz w:val="22"/>
          <w:szCs w:val="22"/>
          <w:u w:val="single"/>
        </w:rPr>
        <w:t xml:space="preserve"> </w:t>
      </w:r>
      <w:r w:rsidR="00D138A3" w:rsidRPr="00054B68">
        <w:rPr>
          <w:rFonts w:asciiTheme="majorHAnsi" w:hAnsiTheme="majorHAnsi"/>
          <w:sz w:val="22"/>
          <w:szCs w:val="22"/>
          <w:u w:val="single"/>
        </w:rPr>
        <w:tab/>
      </w:r>
      <w:r w:rsidR="00D138A3" w:rsidRPr="00054B68">
        <w:rPr>
          <w:rFonts w:asciiTheme="majorHAnsi" w:hAnsiTheme="majorHAnsi"/>
          <w:sz w:val="22"/>
          <w:szCs w:val="22"/>
          <w:u w:val="single"/>
        </w:rPr>
        <w:tab/>
      </w:r>
      <w:r w:rsidR="00D138A3" w:rsidRPr="00054B68">
        <w:rPr>
          <w:rFonts w:asciiTheme="majorHAnsi" w:hAnsiTheme="majorHAnsi"/>
          <w:sz w:val="22"/>
          <w:szCs w:val="22"/>
          <w:u w:val="single"/>
        </w:rPr>
        <w:tab/>
      </w:r>
      <w:r w:rsidR="00D138A3" w:rsidRPr="00054B68">
        <w:rPr>
          <w:rFonts w:asciiTheme="majorHAnsi" w:hAnsiTheme="majorHAnsi"/>
          <w:sz w:val="22"/>
          <w:szCs w:val="22"/>
          <w:u w:val="single"/>
        </w:rPr>
        <w:tab/>
      </w:r>
      <w:r w:rsidR="00D138A3" w:rsidRPr="00054B68">
        <w:rPr>
          <w:rFonts w:asciiTheme="majorHAnsi" w:hAnsiTheme="majorHAnsi"/>
          <w:sz w:val="22"/>
          <w:szCs w:val="22"/>
          <w:u w:val="single"/>
        </w:rPr>
        <w:tab/>
      </w:r>
      <w:r w:rsidR="00D138A3" w:rsidRPr="00054B68">
        <w:rPr>
          <w:rFonts w:asciiTheme="majorHAnsi" w:hAnsiTheme="majorHAnsi"/>
          <w:sz w:val="22"/>
          <w:szCs w:val="22"/>
          <w:u w:val="single"/>
        </w:rPr>
        <w:tab/>
      </w:r>
      <w:r w:rsidR="00FB657E" w:rsidRPr="00054B68">
        <w:rPr>
          <w:rFonts w:asciiTheme="majorHAnsi" w:hAnsiTheme="majorHAnsi"/>
          <w:sz w:val="22"/>
          <w:szCs w:val="22"/>
          <w:u w:val="single"/>
        </w:rPr>
        <w:t xml:space="preserve">            </w:t>
      </w:r>
      <w:hyperlink w:anchor="_Regulación_de_las" w:history="1">
        <w:r w:rsidR="00417333" w:rsidRPr="00417333">
          <w:rPr>
            <w:rStyle w:val="Hipervnculo"/>
            <w:rFonts w:asciiTheme="majorHAnsi" w:hAnsiTheme="majorHAnsi"/>
            <w:sz w:val="22"/>
            <w:szCs w:val="22"/>
          </w:rPr>
          <w:t>p. 62</w:t>
        </w:r>
      </w:hyperlink>
    </w:p>
    <w:p w14:paraId="0B69D036" w14:textId="20D15786" w:rsidR="00417333" w:rsidRDefault="00417333" w:rsidP="006340A3">
      <w:pPr>
        <w:pStyle w:val="Prrafodelista"/>
        <w:spacing w:line="360" w:lineRule="auto"/>
        <w:jc w:val="both"/>
        <w:rPr>
          <w:rFonts w:asciiTheme="majorHAnsi" w:hAnsiTheme="majorHAnsi"/>
          <w:sz w:val="22"/>
          <w:szCs w:val="22"/>
        </w:rPr>
      </w:pPr>
      <w:r>
        <w:rPr>
          <w:rFonts w:asciiTheme="majorHAnsi" w:hAnsiTheme="majorHAnsi"/>
          <w:sz w:val="22"/>
          <w:szCs w:val="22"/>
        </w:rPr>
        <w:t>Indicador 16. Cuotas por la reproducción de la información solicitada.</w:t>
      </w:r>
      <w:r w:rsidRPr="00054B68">
        <w:rPr>
          <w:rFonts w:asciiTheme="majorHAnsi" w:hAnsiTheme="majorHAnsi"/>
          <w:sz w:val="22"/>
          <w:szCs w:val="22"/>
          <w:u w:val="single"/>
        </w:rPr>
        <w:t xml:space="preserve"> </w:t>
      </w:r>
      <w:r w:rsidR="00D138A3" w:rsidRPr="00054B68">
        <w:rPr>
          <w:rFonts w:asciiTheme="majorHAnsi" w:hAnsiTheme="majorHAnsi"/>
          <w:sz w:val="22"/>
          <w:szCs w:val="22"/>
          <w:u w:val="single"/>
        </w:rPr>
        <w:tab/>
      </w:r>
      <w:r w:rsidR="00D138A3" w:rsidRPr="00054B68">
        <w:rPr>
          <w:rFonts w:asciiTheme="majorHAnsi" w:hAnsiTheme="majorHAnsi"/>
          <w:sz w:val="22"/>
          <w:szCs w:val="22"/>
          <w:u w:val="single"/>
        </w:rPr>
        <w:tab/>
      </w:r>
      <w:r w:rsidR="00FB657E" w:rsidRPr="00054B68">
        <w:rPr>
          <w:rFonts w:asciiTheme="majorHAnsi" w:hAnsiTheme="majorHAnsi"/>
          <w:sz w:val="22"/>
          <w:szCs w:val="22"/>
          <w:u w:val="single"/>
        </w:rPr>
        <w:t xml:space="preserve">            </w:t>
      </w:r>
      <w:hyperlink w:anchor="_Cuota_s_por" w:history="1">
        <w:r w:rsidRPr="00BA365D">
          <w:rPr>
            <w:rStyle w:val="Hipervnculo"/>
            <w:rFonts w:asciiTheme="majorHAnsi" w:hAnsiTheme="majorHAnsi"/>
            <w:sz w:val="22"/>
            <w:szCs w:val="22"/>
          </w:rPr>
          <w:t xml:space="preserve">p. </w:t>
        </w:r>
        <w:r w:rsidR="00BA365D" w:rsidRPr="00BA365D">
          <w:rPr>
            <w:rStyle w:val="Hipervnculo"/>
            <w:rFonts w:asciiTheme="majorHAnsi" w:hAnsiTheme="majorHAnsi"/>
            <w:sz w:val="22"/>
            <w:szCs w:val="22"/>
          </w:rPr>
          <w:t>63</w:t>
        </w:r>
      </w:hyperlink>
    </w:p>
    <w:p w14:paraId="6A3F6432" w14:textId="1A176DF3" w:rsidR="00BA365D" w:rsidRDefault="00BA365D" w:rsidP="006340A3">
      <w:pPr>
        <w:pStyle w:val="Prrafodelista"/>
        <w:spacing w:line="360" w:lineRule="auto"/>
        <w:jc w:val="both"/>
        <w:rPr>
          <w:rFonts w:asciiTheme="majorHAnsi" w:hAnsiTheme="majorHAnsi"/>
          <w:sz w:val="22"/>
          <w:szCs w:val="22"/>
        </w:rPr>
      </w:pPr>
      <w:r>
        <w:rPr>
          <w:rFonts w:asciiTheme="majorHAnsi" w:hAnsiTheme="majorHAnsi"/>
          <w:sz w:val="22"/>
          <w:szCs w:val="22"/>
        </w:rPr>
        <w:t>Indicador 17. Requisitos para interponer recurso de revisión o equivalentes.</w:t>
      </w:r>
      <w:r w:rsidRPr="00054B68">
        <w:rPr>
          <w:rFonts w:asciiTheme="majorHAnsi" w:hAnsiTheme="majorHAnsi"/>
          <w:sz w:val="22"/>
          <w:szCs w:val="22"/>
          <w:u w:val="single"/>
        </w:rPr>
        <w:t xml:space="preserve"> </w:t>
      </w:r>
      <w:r w:rsidR="00D138A3" w:rsidRPr="00054B68">
        <w:rPr>
          <w:rFonts w:asciiTheme="majorHAnsi" w:hAnsiTheme="majorHAnsi"/>
          <w:sz w:val="22"/>
          <w:szCs w:val="22"/>
          <w:u w:val="single"/>
        </w:rPr>
        <w:tab/>
      </w:r>
      <w:r w:rsidR="00FB657E" w:rsidRPr="00054B68">
        <w:rPr>
          <w:rFonts w:asciiTheme="majorHAnsi" w:hAnsiTheme="majorHAnsi"/>
          <w:sz w:val="22"/>
          <w:szCs w:val="22"/>
          <w:u w:val="single"/>
        </w:rPr>
        <w:t xml:space="preserve">            </w:t>
      </w:r>
      <w:hyperlink w:anchor="_Requisitos_para_interponer" w:history="1">
        <w:r w:rsidRPr="007C2F6B">
          <w:rPr>
            <w:rStyle w:val="Hipervnculo"/>
            <w:rFonts w:asciiTheme="majorHAnsi" w:hAnsiTheme="majorHAnsi"/>
            <w:sz w:val="22"/>
            <w:szCs w:val="22"/>
          </w:rPr>
          <w:t xml:space="preserve">p. </w:t>
        </w:r>
        <w:r w:rsidR="007C2F6B" w:rsidRPr="007C2F6B">
          <w:rPr>
            <w:rStyle w:val="Hipervnculo"/>
            <w:rFonts w:asciiTheme="majorHAnsi" w:hAnsiTheme="majorHAnsi"/>
            <w:sz w:val="22"/>
            <w:szCs w:val="22"/>
          </w:rPr>
          <w:t>64</w:t>
        </w:r>
      </w:hyperlink>
    </w:p>
    <w:p w14:paraId="1C7298F7" w14:textId="5E0C0628" w:rsidR="007C2F6B" w:rsidRDefault="007C2F6B" w:rsidP="006340A3">
      <w:pPr>
        <w:pStyle w:val="Prrafodelista"/>
        <w:spacing w:line="360" w:lineRule="auto"/>
        <w:jc w:val="both"/>
        <w:rPr>
          <w:rFonts w:asciiTheme="majorHAnsi" w:hAnsiTheme="majorHAnsi"/>
          <w:sz w:val="22"/>
          <w:szCs w:val="22"/>
        </w:rPr>
      </w:pPr>
      <w:r>
        <w:rPr>
          <w:rFonts w:asciiTheme="majorHAnsi" w:hAnsiTheme="majorHAnsi"/>
          <w:sz w:val="22"/>
          <w:szCs w:val="22"/>
        </w:rPr>
        <w:t>Indicador 18. Plazos para recurso de revisión.</w:t>
      </w:r>
      <w:r w:rsidRPr="00054B68">
        <w:rPr>
          <w:rFonts w:asciiTheme="majorHAnsi" w:hAnsiTheme="majorHAnsi"/>
          <w:sz w:val="22"/>
          <w:szCs w:val="22"/>
          <w:u w:val="single"/>
        </w:rPr>
        <w:t xml:space="preserve"> </w:t>
      </w:r>
      <w:r w:rsidR="00D138A3" w:rsidRPr="00054B68">
        <w:rPr>
          <w:rFonts w:asciiTheme="majorHAnsi" w:hAnsiTheme="majorHAnsi"/>
          <w:sz w:val="22"/>
          <w:szCs w:val="22"/>
          <w:u w:val="single"/>
        </w:rPr>
        <w:tab/>
      </w:r>
      <w:r w:rsidR="00D138A3" w:rsidRPr="00054B68">
        <w:rPr>
          <w:rFonts w:asciiTheme="majorHAnsi" w:hAnsiTheme="majorHAnsi"/>
          <w:sz w:val="22"/>
          <w:szCs w:val="22"/>
          <w:u w:val="single"/>
        </w:rPr>
        <w:tab/>
      </w:r>
      <w:r w:rsidR="00D138A3" w:rsidRPr="00054B68">
        <w:rPr>
          <w:rFonts w:asciiTheme="majorHAnsi" w:hAnsiTheme="majorHAnsi"/>
          <w:sz w:val="22"/>
          <w:szCs w:val="22"/>
          <w:u w:val="single"/>
        </w:rPr>
        <w:tab/>
      </w:r>
      <w:r w:rsidR="00D138A3" w:rsidRPr="00054B68">
        <w:rPr>
          <w:rFonts w:asciiTheme="majorHAnsi" w:hAnsiTheme="majorHAnsi"/>
          <w:sz w:val="22"/>
          <w:szCs w:val="22"/>
          <w:u w:val="single"/>
        </w:rPr>
        <w:tab/>
      </w:r>
      <w:r w:rsidR="00D138A3" w:rsidRPr="00054B68">
        <w:rPr>
          <w:rFonts w:asciiTheme="majorHAnsi" w:hAnsiTheme="majorHAnsi"/>
          <w:sz w:val="22"/>
          <w:szCs w:val="22"/>
          <w:u w:val="single"/>
        </w:rPr>
        <w:tab/>
      </w:r>
      <w:r w:rsidR="006340A3" w:rsidRPr="00054B68">
        <w:rPr>
          <w:rFonts w:asciiTheme="majorHAnsi" w:hAnsiTheme="majorHAnsi"/>
          <w:sz w:val="22"/>
          <w:szCs w:val="22"/>
          <w:u w:val="single"/>
        </w:rPr>
        <w:t xml:space="preserve">            </w:t>
      </w:r>
      <w:hyperlink w:anchor="_Plazos_para_recurso" w:history="1">
        <w:r w:rsidR="001A31B4" w:rsidRPr="001A31B4">
          <w:rPr>
            <w:rStyle w:val="Hipervnculo"/>
            <w:rFonts w:asciiTheme="majorHAnsi" w:hAnsiTheme="majorHAnsi"/>
            <w:sz w:val="22"/>
            <w:szCs w:val="22"/>
          </w:rPr>
          <w:t>p. 66</w:t>
        </w:r>
      </w:hyperlink>
    </w:p>
    <w:p w14:paraId="6AD95F4A" w14:textId="0E550BEB" w:rsidR="001A31B4" w:rsidRDefault="001A31B4" w:rsidP="006340A3">
      <w:pPr>
        <w:pStyle w:val="Prrafodelista"/>
        <w:spacing w:line="360" w:lineRule="auto"/>
        <w:jc w:val="both"/>
        <w:rPr>
          <w:rFonts w:asciiTheme="majorHAnsi" w:hAnsiTheme="majorHAnsi"/>
          <w:sz w:val="22"/>
          <w:szCs w:val="22"/>
        </w:rPr>
      </w:pPr>
      <w:r>
        <w:rPr>
          <w:rFonts w:asciiTheme="majorHAnsi" w:hAnsiTheme="majorHAnsi"/>
          <w:sz w:val="22"/>
          <w:szCs w:val="22"/>
        </w:rPr>
        <w:t>Indicador 19. Garantías jurídicas del recurso de revisión.</w:t>
      </w:r>
      <w:r w:rsidRPr="009A755D">
        <w:rPr>
          <w:rFonts w:asciiTheme="majorHAnsi" w:hAnsiTheme="majorHAnsi"/>
          <w:sz w:val="22"/>
          <w:szCs w:val="22"/>
          <w:u w:val="single"/>
        </w:rPr>
        <w:t xml:space="preserve"> </w:t>
      </w:r>
      <w:r w:rsidR="00D138A3" w:rsidRPr="009A755D">
        <w:rPr>
          <w:rFonts w:asciiTheme="majorHAnsi" w:hAnsiTheme="majorHAnsi"/>
          <w:sz w:val="22"/>
          <w:szCs w:val="22"/>
          <w:u w:val="single"/>
        </w:rPr>
        <w:tab/>
      </w:r>
      <w:r w:rsidR="00D138A3" w:rsidRPr="009A755D">
        <w:rPr>
          <w:rFonts w:asciiTheme="majorHAnsi" w:hAnsiTheme="majorHAnsi"/>
          <w:sz w:val="22"/>
          <w:szCs w:val="22"/>
          <w:u w:val="single"/>
        </w:rPr>
        <w:tab/>
      </w:r>
      <w:r w:rsidR="00D138A3" w:rsidRPr="009A755D">
        <w:rPr>
          <w:rFonts w:asciiTheme="majorHAnsi" w:hAnsiTheme="majorHAnsi"/>
          <w:sz w:val="22"/>
          <w:szCs w:val="22"/>
          <w:u w:val="single"/>
        </w:rPr>
        <w:tab/>
      </w:r>
      <w:r w:rsidR="006340A3" w:rsidRPr="009A755D">
        <w:rPr>
          <w:rFonts w:asciiTheme="majorHAnsi" w:hAnsiTheme="majorHAnsi"/>
          <w:sz w:val="22"/>
          <w:szCs w:val="22"/>
          <w:u w:val="single"/>
        </w:rPr>
        <w:t xml:space="preserve">            </w:t>
      </w:r>
      <w:hyperlink w:anchor="_Garantías_jurídicas_del" w:history="1">
        <w:r w:rsidRPr="001A31B4">
          <w:rPr>
            <w:rStyle w:val="Hipervnculo"/>
            <w:rFonts w:asciiTheme="majorHAnsi" w:hAnsiTheme="majorHAnsi"/>
            <w:sz w:val="22"/>
            <w:szCs w:val="22"/>
          </w:rPr>
          <w:t>p. 67</w:t>
        </w:r>
      </w:hyperlink>
    </w:p>
    <w:p w14:paraId="15808786" w14:textId="6FB6F29C" w:rsidR="001A31B4" w:rsidRDefault="001A31B4" w:rsidP="006340A3">
      <w:pPr>
        <w:pStyle w:val="Prrafodelista"/>
        <w:spacing w:line="360" w:lineRule="auto"/>
        <w:jc w:val="both"/>
        <w:rPr>
          <w:rFonts w:asciiTheme="majorHAnsi" w:hAnsiTheme="majorHAnsi"/>
          <w:sz w:val="22"/>
          <w:szCs w:val="22"/>
        </w:rPr>
      </w:pPr>
      <w:r>
        <w:rPr>
          <w:rFonts w:asciiTheme="majorHAnsi" w:hAnsiTheme="majorHAnsi"/>
          <w:sz w:val="22"/>
          <w:szCs w:val="22"/>
        </w:rPr>
        <w:t xml:space="preserve">Indicador 20. Lista de información que debe ser publicada sin que medie una solicitud de </w:t>
      </w:r>
      <w:r>
        <w:rPr>
          <w:rFonts w:asciiTheme="majorHAnsi" w:hAnsiTheme="majorHAnsi"/>
          <w:sz w:val="22"/>
          <w:szCs w:val="22"/>
        </w:rPr>
        <w:tab/>
        <w:t>información.</w:t>
      </w:r>
      <w:r w:rsidRPr="009A755D">
        <w:rPr>
          <w:rFonts w:asciiTheme="majorHAnsi" w:hAnsiTheme="majorHAnsi"/>
          <w:sz w:val="22"/>
          <w:szCs w:val="22"/>
          <w:u w:val="single"/>
        </w:rPr>
        <w:t xml:space="preserve"> </w:t>
      </w:r>
      <w:r w:rsidR="00D138A3" w:rsidRPr="009A755D">
        <w:rPr>
          <w:rFonts w:asciiTheme="majorHAnsi" w:hAnsiTheme="majorHAnsi"/>
          <w:sz w:val="22"/>
          <w:szCs w:val="22"/>
          <w:u w:val="single"/>
        </w:rPr>
        <w:tab/>
      </w:r>
      <w:r w:rsidR="00D138A3" w:rsidRPr="009A755D">
        <w:rPr>
          <w:rFonts w:asciiTheme="majorHAnsi" w:hAnsiTheme="majorHAnsi"/>
          <w:sz w:val="22"/>
          <w:szCs w:val="22"/>
          <w:u w:val="single"/>
        </w:rPr>
        <w:tab/>
      </w:r>
      <w:r w:rsidR="00D138A3" w:rsidRPr="009A755D">
        <w:rPr>
          <w:rFonts w:asciiTheme="majorHAnsi" w:hAnsiTheme="majorHAnsi"/>
          <w:sz w:val="22"/>
          <w:szCs w:val="22"/>
          <w:u w:val="single"/>
        </w:rPr>
        <w:tab/>
      </w:r>
      <w:r w:rsidR="00D138A3" w:rsidRPr="009A755D">
        <w:rPr>
          <w:rFonts w:asciiTheme="majorHAnsi" w:hAnsiTheme="majorHAnsi"/>
          <w:sz w:val="22"/>
          <w:szCs w:val="22"/>
          <w:u w:val="single"/>
        </w:rPr>
        <w:tab/>
      </w:r>
      <w:r w:rsidR="00D138A3" w:rsidRPr="009A755D">
        <w:rPr>
          <w:rFonts w:asciiTheme="majorHAnsi" w:hAnsiTheme="majorHAnsi"/>
          <w:sz w:val="22"/>
          <w:szCs w:val="22"/>
          <w:u w:val="single"/>
        </w:rPr>
        <w:tab/>
      </w:r>
      <w:r w:rsidR="00D138A3" w:rsidRPr="009A755D">
        <w:rPr>
          <w:rFonts w:asciiTheme="majorHAnsi" w:hAnsiTheme="majorHAnsi"/>
          <w:sz w:val="22"/>
          <w:szCs w:val="22"/>
          <w:u w:val="single"/>
        </w:rPr>
        <w:tab/>
      </w:r>
      <w:r w:rsidR="00D138A3" w:rsidRPr="009A755D">
        <w:rPr>
          <w:rFonts w:asciiTheme="majorHAnsi" w:hAnsiTheme="majorHAnsi"/>
          <w:sz w:val="22"/>
          <w:szCs w:val="22"/>
          <w:u w:val="single"/>
        </w:rPr>
        <w:tab/>
      </w:r>
      <w:r w:rsidR="00D138A3" w:rsidRPr="009A755D">
        <w:rPr>
          <w:rFonts w:asciiTheme="majorHAnsi" w:hAnsiTheme="majorHAnsi"/>
          <w:sz w:val="22"/>
          <w:szCs w:val="22"/>
          <w:u w:val="single"/>
        </w:rPr>
        <w:tab/>
      </w:r>
      <w:r w:rsidR="006340A3" w:rsidRPr="009A755D">
        <w:rPr>
          <w:rFonts w:asciiTheme="majorHAnsi" w:hAnsiTheme="majorHAnsi"/>
          <w:sz w:val="22"/>
          <w:szCs w:val="22"/>
          <w:u w:val="single"/>
        </w:rPr>
        <w:t xml:space="preserve">            </w:t>
      </w:r>
      <w:hyperlink w:anchor="_Lista_de_información" w:history="1">
        <w:r w:rsidRPr="009478B6">
          <w:rPr>
            <w:rStyle w:val="Hipervnculo"/>
            <w:rFonts w:asciiTheme="majorHAnsi" w:hAnsiTheme="majorHAnsi"/>
            <w:sz w:val="22"/>
            <w:szCs w:val="22"/>
          </w:rPr>
          <w:t xml:space="preserve">p. </w:t>
        </w:r>
        <w:r w:rsidR="009478B6" w:rsidRPr="009478B6">
          <w:rPr>
            <w:rStyle w:val="Hipervnculo"/>
            <w:rFonts w:asciiTheme="majorHAnsi" w:hAnsiTheme="majorHAnsi"/>
            <w:sz w:val="22"/>
            <w:szCs w:val="22"/>
          </w:rPr>
          <w:t>68</w:t>
        </w:r>
      </w:hyperlink>
    </w:p>
    <w:p w14:paraId="35171132" w14:textId="332CC289" w:rsidR="009478B6" w:rsidRPr="00DE3FE7" w:rsidRDefault="009478B6" w:rsidP="006340A3">
      <w:pPr>
        <w:pStyle w:val="Prrafodelista"/>
        <w:spacing w:line="360" w:lineRule="auto"/>
        <w:jc w:val="both"/>
        <w:rPr>
          <w:sz w:val="24"/>
        </w:rPr>
      </w:pPr>
      <w:r>
        <w:rPr>
          <w:rFonts w:asciiTheme="majorHAnsi" w:hAnsiTheme="majorHAnsi"/>
          <w:sz w:val="22"/>
          <w:szCs w:val="22"/>
        </w:rPr>
        <w:t>Indicador 21. Reglas para la publicación y difusión de obligaciones de transparencia.</w:t>
      </w:r>
      <w:r w:rsidRPr="009A755D">
        <w:rPr>
          <w:rFonts w:asciiTheme="majorHAnsi" w:hAnsiTheme="majorHAnsi"/>
          <w:sz w:val="22"/>
          <w:szCs w:val="22"/>
          <w:u w:val="single"/>
        </w:rPr>
        <w:t xml:space="preserve"> </w:t>
      </w:r>
      <w:r w:rsidR="006340A3" w:rsidRPr="009A755D">
        <w:rPr>
          <w:rFonts w:asciiTheme="majorHAnsi" w:hAnsiTheme="majorHAnsi"/>
          <w:sz w:val="22"/>
          <w:szCs w:val="22"/>
          <w:u w:val="single"/>
        </w:rPr>
        <w:t xml:space="preserve">   </w:t>
      </w:r>
      <w:hyperlink w:anchor="_Reglas_para_la" w:history="1">
        <w:r w:rsidR="00C560BA" w:rsidRPr="00C560BA">
          <w:rPr>
            <w:rStyle w:val="Hipervnculo"/>
            <w:rFonts w:asciiTheme="majorHAnsi" w:hAnsiTheme="majorHAnsi"/>
            <w:sz w:val="22"/>
            <w:szCs w:val="22"/>
          </w:rPr>
          <w:t>p. 73</w:t>
        </w:r>
      </w:hyperlink>
    </w:p>
    <w:p w14:paraId="7062069D" w14:textId="77777777" w:rsidR="001256F9" w:rsidRPr="00DE3FE7" w:rsidRDefault="001256F9" w:rsidP="001256F9">
      <w:pPr>
        <w:rPr>
          <w:sz w:val="24"/>
        </w:rPr>
      </w:pPr>
    </w:p>
    <w:p w14:paraId="7BA49A09" w14:textId="77777777" w:rsidR="001256F9" w:rsidRPr="00DE3FE7" w:rsidRDefault="001256F9" w:rsidP="001256F9">
      <w:pPr>
        <w:rPr>
          <w:sz w:val="24"/>
        </w:rPr>
      </w:pPr>
    </w:p>
    <w:p w14:paraId="74B645C6" w14:textId="77777777" w:rsidR="001256F9" w:rsidRPr="00DE3FE7" w:rsidRDefault="001256F9" w:rsidP="001256F9">
      <w:pPr>
        <w:rPr>
          <w:sz w:val="24"/>
        </w:rPr>
      </w:pPr>
    </w:p>
    <w:p w14:paraId="0F9FBC89" w14:textId="77777777" w:rsidR="001256F9" w:rsidRPr="00DE3FE7" w:rsidRDefault="001256F9" w:rsidP="001256F9"/>
    <w:p w14:paraId="7E109421" w14:textId="77777777" w:rsidR="001256F9" w:rsidRPr="00DE3FE7" w:rsidRDefault="001256F9" w:rsidP="001256F9"/>
    <w:p w14:paraId="3EF865AF" w14:textId="00F88343" w:rsidR="001256F9" w:rsidRPr="006340A3" w:rsidRDefault="001256F9" w:rsidP="001256F9">
      <w:pPr>
        <w:rPr>
          <w:sz w:val="24"/>
        </w:rPr>
      </w:pPr>
      <w:bookmarkStart w:id="1" w:name="Introducción"/>
      <w:r w:rsidRPr="00DE3FE7">
        <w:rPr>
          <w:sz w:val="24"/>
          <w:szCs w:val="24"/>
        </w:rPr>
        <w:t>Introducción</w:t>
      </w:r>
    </w:p>
    <w:bookmarkEnd w:id="1"/>
    <w:p w14:paraId="5A61BA72" w14:textId="443784D0" w:rsidR="001256F9" w:rsidRPr="001E08E7" w:rsidRDefault="00DA2E63" w:rsidP="001E0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heme="majorHAnsi" w:hAnsiTheme="majorHAnsi" w:cs="Helvetica"/>
          <w:color w:val="000000"/>
          <w:sz w:val="24"/>
          <w:szCs w:val="24"/>
        </w:rPr>
      </w:pPr>
      <w:r w:rsidRPr="001E08E7">
        <w:rPr>
          <w:rFonts w:asciiTheme="majorHAnsi" w:hAnsiTheme="majorHAnsi" w:cs="Helvetica"/>
          <w:color w:val="000000"/>
          <w:sz w:val="24"/>
          <w:szCs w:val="24"/>
        </w:rPr>
        <w:t>Si entendemos la democracia participativa como la capacidad de las personas para incidir de forma efectiva en la toma de decisiones públicas que afectan directamente su calidad de vida, e</w:t>
      </w:r>
      <w:r w:rsidR="001256F9" w:rsidRPr="001E08E7">
        <w:rPr>
          <w:rFonts w:asciiTheme="majorHAnsi" w:hAnsiTheme="majorHAnsi" w:cs="Helvetica"/>
          <w:color w:val="000000"/>
          <w:sz w:val="24"/>
          <w:szCs w:val="24"/>
        </w:rPr>
        <w:t>l derecho de acceso a la información es</w:t>
      </w:r>
      <w:r w:rsidRPr="001E08E7">
        <w:rPr>
          <w:rFonts w:asciiTheme="majorHAnsi" w:hAnsiTheme="majorHAnsi" w:cs="Helvetica"/>
          <w:color w:val="000000"/>
          <w:sz w:val="24"/>
          <w:szCs w:val="24"/>
        </w:rPr>
        <w:t xml:space="preserve"> una</w:t>
      </w:r>
      <w:r w:rsidR="001256F9" w:rsidRPr="001E08E7">
        <w:rPr>
          <w:rFonts w:asciiTheme="majorHAnsi" w:hAnsiTheme="majorHAnsi" w:cs="Helvetica"/>
          <w:color w:val="000000"/>
          <w:sz w:val="24"/>
          <w:szCs w:val="24"/>
        </w:rPr>
        <w:t xml:space="preserve"> condición </w:t>
      </w:r>
      <w:r w:rsidRPr="001E08E7">
        <w:rPr>
          <w:rFonts w:asciiTheme="majorHAnsi" w:hAnsiTheme="majorHAnsi" w:cs="Helvetica"/>
          <w:color w:val="000000"/>
          <w:sz w:val="24"/>
          <w:szCs w:val="24"/>
        </w:rPr>
        <w:t xml:space="preserve">fundamental </w:t>
      </w:r>
      <w:r w:rsidR="001256F9" w:rsidRPr="001E08E7">
        <w:rPr>
          <w:rFonts w:asciiTheme="majorHAnsi" w:hAnsiTheme="majorHAnsi" w:cs="Helvetica"/>
          <w:color w:val="000000"/>
          <w:sz w:val="24"/>
          <w:szCs w:val="24"/>
        </w:rPr>
        <w:t xml:space="preserve">sin la cual </w:t>
      </w:r>
      <w:r w:rsidRPr="001E08E7">
        <w:rPr>
          <w:rFonts w:asciiTheme="majorHAnsi" w:hAnsiTheme="majorHAnsi" w:cs="Helvetica"/>
          <w:color w:val="000000"/>
          <w:sz w:val="24"/>
          <w:szCs w:val="24"/>
        </w:rPr>
        <w:t xml:space="preserve">aquélla </w:t>
      </w:r>
      <w:r w:rsidR="001256F9" w:rsidRPr="001E08E7">
        <w:rPr>
          <w:rFonts w:asciiTheme="majorHAnsi" w:hAnsiTheme="majorHAnsi" w:cs="Helvetica"/>
          <w:color w:val="000000"/>
          <w:sz w:val="24"/>
          <w:szCs w:val="24"/>
        </w:rPr>
        <w:t xml:space="preserve">no puede existir. </w:t>
      </w:r>
    </w:p>
    <w:p w14:paraId="55158F4A" w14:textId="77777777" w:rsidR="001E08E7" w:rsidRPr="001E08E7" w:rsidRDefault="001E08E7" w:rsidP="001E0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heme="majorHAnsi" w:hAnsiTheme="majorHAnsi" w:cs="Helvetica"/>
          <w:color w:val="000000"/>
          <w:sz w:val="24"/>
          <w:szCs w:val="24"/>
        </w:rPr>
      </w:pPr>
    </w:p>
    <w:p w14:paraId="723A9961" w14:textId="20EEFFC6" w:rsidR="00DA2E63" w:rsidRPr="001E08E7" w:rsidRDefault="001256F9" w:rsidP="001E0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heme="majorHAnsi" w:hAnsiTheme="majorHAnsi" w:cs="Helvetica"/>
          <w:color w:val="000000"/>
          <w:sz w:val="24"/>
          <w:szCs w:val="24"/>
        </w:rPr>
      </w:pPr>
      <w:r w:rsidRPr="001E08E7">
        <w:rPr>
          <w:rFonts w:asciiTheme="majorHAnsi" w:hAnsiTheme="majorHAnsi" w:cs="Helvetica"/>
          <w:color w:val="000000"/>
          <w:sz w:val="24"/>
          <w:szCs w:val="24"/>
        </w:rPr>
        <w:t xml:space="preserve">El reconocimiento jurídico del derecho de acceso a la información ocurrió por primera vez hace más de doscientos años en Suecia, a partir de la publicación de la Ley de Libertad de Prensa de 1776. Sin embargo, para 1990, sólo trece países habían adoptado leyes para la protección del derecho de acceso a la información. A partir de </w:t>
      </w:r>
      <w:r w:rsidR="00DA2E63" w:rsidRPr="001E08E7">
        <w:rPr>
          <w:rFonts w:asciiTheme="majorHAnsi" w:hAnsiTheme="majorHAnsi" w:cs="Helvetica"/>
          <w:color w:val="000000"/>
          <w:sz w:val="24"/>
          <w:szCs w:val="24"/>
        </w:rPr>
        <w:t>ese año</w:t>
      </w:r>
      <w:r w:rsidRPr="001E08E7">
        <w:rPr>
          <w:rFonts w:asciiTheme="majorHAnsi" w:hAnsiTheme="majorHAnsi" w:cs="Helvetica"/>
          <w:color w:val="000000"/>
          <w:sz w:val="24"/>
          <w:szCs w:val="24"/>
        </w:rPr>
        <w:t xml:space="preserve">, la democratización en el mundo se vio acompañada por un desarrollo sin precedentes de leyes de acceso a la información. </w:t>
      </w:r>
    </w:p>
    <w:p w14:paraId="3726F4CE" w14:textId="77777777" w:rsidR="001E08E7" w:rsidRPr="001E08E7" w:rsidRDefault="001E08E7" w:rsidP="001E0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heme="majorHAnsi" w:hAnsiTheme="majorHAnsi" w:cs="Helvetica"/>
          <w:color w:val="000000"/>
          <w:sz w:val="24"/>
          <w:szCs w:val="24"/>
        </w:rPr>
      </w:pPr>
    </w:p>
    <w:p w14:paraId="4D1B02A4" w14:textId="29EC33D9" w:rsidR="001256F9" w:rsidRPr="001E08E7" w:rsidRDefault="001256F9" w:rsidP="001E0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heme="majorHAnsi" w:hAnsiTheme="majorHAnsi" w:cs="Helvetica"/>
          <w:color w:val="000000"/>
          <w:sz w:val="24"/>
          <w:szCs w:val="24"/>
        </w:rPr>
      </w:pPr>
      <w:r w:rsidRPr="001E08E7">
        <w:rPr>
          <w:rFonts w:asciiTheme="majorHAnsi" w:hAnsiTheme="majorHAnsi" w:cs="Helvetica"/>
          <w:color w:val="000000"/>
          <w:sz w:val="24"/>
          <w:szCs w:val="24"/>
        </w:rPr>
        <w:t>En la actualidad existen más de 80 leyes en la materia a nivel internacional</w:t>
      </w:r>
      <w:r w:rsidR="00DA2E63" w:rsidRPr="001E08E7">
        <w:rPr>
          <w:rFonts w:asciiTheme="majorHAnsi" w:hAnsiTheme="majorHAnsi" w:cs="Helvetica"/>
          <w:color w:val="000000"/>
          <w:sz w:val="24"/>
          <w:szCs w:val="24"/>
        </w:rPr>
        <w:t>;</w:t>
      </w:r>
      <w:r w:rsidRPr="001E08E7">
        <w:rPr>
          <w:rFonts w:asciiTheme="majorHAnsi" w:hAnsiTheme="majorHAnsi" w:cs="Helvetica"/>
          <w:color w:val="000000"/>
          <w:sz w:val="24"/>
          <w:szCs w:val="24"/>
        </w:rPr>
        <w:t xml:space="preserve"> más de una decena de </w:t>
      </w:r>
      <w:r w:rsidR="00DA2E63" w:rsidRPr="001E08E7">
        <w:rPr>
          <w:rFonts w:asciiTheme="majorHAnsi" w:hAnsiTheme="majorHAnsi" w:cs="Helvetica"/>
          <w:color w:val="000000"/>
          <w:sz w:val="24"/>
          <w:szCs w:val="24"/>
        </w:rPr>
        <w:t>é</w:t>
      </w:r>
      <w:r w:rsidRPr="001E08E7">
        <w:rPr>
          <w:rFonts w:asciiTheme="majorHAnsi" w:hAnsiTheme="majorHAnsi" w:cs="Helvetica"/>
          <w:color w:val="000000"/>
          <w:sz w:val="24"/>
          <w:szCs w:val="24"/>
        </w:rPr>
        <w:t>stas</w:t>
      </w:r>
      <w:r w:rsidR="00DA2E63" w:rsidRPr="001E08E7">
        <w:rPr>
          <w:rFonts w:asciiTheme="majorHAnsi" w:hAnsiTheme="majorHAnsi" w:cs="Helvetica"/>
          <w:color w:val="000000"/>
          <w:sz w:val="24"/>
          <w:szCs w:val="24"/>
        </w:rPr>
        <w:t>,</w:t>
      </w:r>
      <w:r w:rsidRPr="001E08E7">
        <w:rPr>
          <w:rFonts w:asciiTheme="majorHAnsi" w:hAnsiTheme="majorHAnsi" w:cs="Helvetica"/>
          <w:color w:val="000000"/>
          <w:sz w:val="24"/>
          <w:szCs w:val="24"/>
        </w:rPr>
        <w:t xml:space="preserve"> generadas en países de América Latina.</w:t>
      </w:r>
    </w:p>
    <w:p w14:paraId="6C8A6464" w14:textId="77777777" w:rsidR="001E08E7" w:rsidRPr="001E08E7" w:rsidRDefault="001E08E7" w:rsidP="002208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0"/>
        <w:jc w:val="both"/>
        <w:rPr>
          <w:rFonts w:asciiTheme="majorHAnsi" w:hAnsiTheme="majorHAnsi" w:cs="Helvetica"/>
          <w:color w:val="000000"/>
          <w:sz w:val="24"/>
          <w:szCs w:val="24"/>
        </w:rPr>
      </w:pPr>
    </w:p>
    <w:p w14:paraId="204136B4" w14:textId="658DDF26" w:rsidR="001256F9" w:rsidRPr="001E08E7" w:rsidRDefault="001256F9" w:rsidP="001E0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heme="majorHAnsi" w:hAnsiTheme="majorHAnsi" w:cs="Helvetica"/>
          <w:color w:val="000000"/>
          <w:sz w:val="24"/>
          <w:szCs w:val="24"/>
        </w:rPr>
      </w:pPr>
      <w:r w:rsidRPr="001E08E7">
        <w:rPr>
          <w:rFonts w:asciiTheme="majorHAnsi" w:hAnsiTheme="majorHAnsi" w:cs="Helvetica"/>
          <w:color w:val="000000"/>
          <w:sz w:val="24"/>
          <w:szCs w:val="24"/>
        </w:rPr>
        <w:t xml:space="preserve">En México, la Ley Federal de Transparencia y Acceso a la Información Pública Gubernamental fue publicada en el Diario Oficial de la Federación el 11 de junio de 2002; </w:t>
      </w:r>
      <w:r w:rsidR="007F2DB0" w:rsidRPr="001E08E7">
        <w:rPr>
          <w:rFonts w:asciiTheme="majorHAnsi" w:hAnsiTheme="majorHAnsi" w:cs="Helvetica"/>
          <w:color w:val="000000"/>
          <w:sz w:val="24"/>
          <w:szCs w:val="24"/>
        </w:rPr>
        <w:t>cinco años después,</w:t>
      </w:r>
      <w:r w:rsidRPr="001E08E7">
        <w:rPr>
          <w:rFonts w:asciiTheme="majorHAnsi" w:hAnsiTheme="majorHAnsi" w:cs="Helvetica"/>
          <w:color w:val="000000"/>
          <w:sz w:val="24"/>
          <w:szCs w:val="24"/>
        </w:rPr>
        <w:t xml:space="preserve"> todas las entidades federativas del país habían publicado leyes de transparencia.</w:t>
      </w:r>
    </w:p>
    <w:p w14:paraId="143A3D34" w14:textId="77777777" w:rsidR="001E08E7" w:rsidRPr="001E08E7" w:rsidRDefault="001E08E7" w:rsidP="001E0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heme="majorHAnsi" w:hAnsiTheme="majorHAnsi" w:cs="Helvetica"/>
          <w:color w:val="000000"/>
          <w:sz w:val="24"/>
          <w:szCs w:val="24"/>
        </w:rPr>
      </w:pPr>
    </w:p>
    <w:p w14:paraId="00DC6B2A" w14:textId="5F9657BC" w:rsidR="001256F9" w:rsidRDefault="001256F9" w:rsidP="001E0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heme="majorHAnsi" w:hAnsiTheme="majorHAnsi" w:cs="Helvetica"/>
          <w:color w:val="000000"/>
          <w:sz w:val="24"/>
          <w:szCs w:val="24"/>
        </w:rPr>
      </w:pPr>
      <w:r w:rsidRPr="001E08E7">
        <w:rPr>
          <w:rFonts w:asciiTheme="majorHAnsi" w:hAnsiTheme="majorHAnsi" w:cs="Helvetica"/>
          <w:color w:val="000000"/>
          <w:sz w:val="24"/>
          <w:szCs w:val="24"/>
        </w:rPr>
        <w:t xml:space="preserve">Entendemos que el reconocimiento jurídico del derecho de acceso a </w:t>
      </w:r>
      <w:r w:rsidRPr="001E08E7">
        <w:rPr>
          <w:rFonts w:asciiTheme="majorHAnsi" w:hAnsiTheme="majorHAnsi" w:cs="Helvetica"/>
          <w:color w:val="000000"/>
          <w:sz w:val="24"/>
          <w:szCs w:val="24"/>
        </w:rPr>
        <w:lastRenderedPageBreak/>
        <w:t xml:space="preserve">la información es sólo uno de los grandes retos que existen para asegurar la libertad de información. Sin embargo, reconocemos también que </w:t>
      </w:r>
      <w:r w:rsidR="001E08E7" w:rsidRPr="001E08E7">
        <w:rPr>
          <w:rFonts w:asciiTheme="majorHAnsi" w:hAnsiTheme="majorHAnsi" w:cs="Helvetica"/>
          <w:color w:val="000000"/>
          <w:sz w:val="24"/>
          <w:szCs w:val="24"/>
        </w:rPr>
        <w:t>aun</w:t>
      </w:r>
      <w:r w:rsidRPr="001E08E7">
        <w:rPr>
          <w:rFonts w:asciiTheme="majorHAnsi" w:hAnsiTheme="majorHAnsi" w:cs="Helvetica"/>
          <w:color w:val="000000"/>
          <w:sz w:val="24"/>
          <w:szCs w:val="24"/>
        </w:rPr>
        <w:t xml:space="preserve"> cuando “[...] una buena ley no es suficiente para lograr el derecho a la información, es una pre condición necesaria, la plataforma sobre la cual la realización de este derecho se debe construir.” </w:t>
      </w:r>
      <w:r w:rsidR="0032609A" w:rsidRPr="001E08E7">
        <w:rPr>
          <w:rStyle w:val="Refdenotaalpie"/>
          <w:rFonts w:asciiTheme="majorHAnsi" w:hAnsiTheme="majorHAnsi" w:cs="Helvetica"/>
          <w:color w:val="000000"/>
          <w:sz w:val="24"/>
          <w:szCs w:val="24"/>
        </w:rPr>
        <w:footnoteReference w:id="1"/>
      </w:r>
    </w:p>
    <w:p w14:paraId="08570C00" w14:textId="77777777" w:rsidR="002208F3" w:rsidRDefault="002208F3" w:rsidP="001E08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heme="majorHAnsi" w:hAnsiTheme="majorHAnsi" w:cs="Helvetica"/>
          <w:color w:val="000000"/>
          <w:sz w:val="24"/>
          <w:szCs w:val="24"/>
        </w:rPr>
      </w:pPr>
    </w:p>
    <w:p w14:paraId="379CFFAB" w14:textId="455DBDE5" w:rsidR="00BF33C7" w:rsidRDefault="00FD75BF" w:rsidP="00BF3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heme="majorHAnsi" w:hAnsiTheme="majorHAnsi" w:cs="Helvetica"/>
          <w:color w:val="000000"/>
          <w:sz w:val="24"/>
          <w:szCs w:val="24"/>
        </w:rPr>
      </w:pPr>
      <w:r>
        <w:rPr>
          <w:rFonts w:asciiTheme="majorHAnsi" w:hAnsiTheme="majorHAnsi" w:cs="Helvetica"/>
          <w:color w:val="000000"/>
          <w:sz w:val="24"/>
          <w:szCs w:val="24"/>
        </w:rPr>
        <w:t xml:space="preserve">El IDAIM </w:t>
      </w:r>
      <w:r w:rsidR="00BF33C7">
        <w:rPr>
          <w:rFonts w:asciiTheme="majorHAnsi" w:hAnsiTheme="majorHAnsi" w:cs="Helvetica"/>
          <w:color w:val="000000"/>
          <w:sz w:val="24"/>
          <w:szCs w:val="24"/>
        </w:rPr>
        <w:t>tiene como propósito medir</w:t>
      </w:r>
      <w:r>
        <w:rPr>
          <w:rFonts w:asciiTheme="majorHAnsi" w:hAnsiTheme="majorHAnsi" w:cs="Helvetica"/>
          <w:color w:val="000000"/>
          <w:sz w:val="24"/>
          <w:szCs w:val="24"/>
        </w:rPr>
        <w:t xml:space="preserve"> la calidad de</w:t>
      </w:r>
      <w:r w:rsidR="00BF33C7">
        <w:rPr>
          <w:rFonts w:asciiTheme="majorHAnsi" w:hAnsiTheme="majorHAnsi" w:cs="Helvetica"/>
          <w:color w:val="000000"/>
          <w:sz w:val="24"/>
          <w:szCs w:val="24"/>
        </w:rPr>
        <w:t xml:space="preserve"> las leyes de transparencia en México. El estándar de comparación de las leyes se construyó sobre las mejores prácticas nacionales e internacionales y la incorporación de las nuevas bases y principios constitucionales aprobados en la reciente reforma constitucional en materia de transparencia.</w:t>
      </w:r>
      <w:r w:rsidR="002660F1">
        <w:rPr>
          <w:rStyle w:val="Refdenotaalpie"/>
          <w:rFonts w:asciiTheme="majorHAnsi" w:hAnsiTheme="majorHAnsi" w:cs="Helvetica"/>
          <w:color w:val="000000"/>
          <w:sz w:val="24"/>
          <w:szCs w:val="24"/>
        </w:rPr>
        <w:footnoteReference w:id="2"/>
      </w:r>
    </w:p>
    <w:p w14:paraId="0E740DFB" w14:textId="77777777" w:rsidR="002208F3" w:rsidRDefault="002208F3" w:rsidP="00BF3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heme="majorHAnsi" w:hAnsiTheme="majorHAnsi" w:cs="Helvetica"/>
          <w:color w:val="000000"/>
          <w:sz w:val="24"/>
          <w:szCs w:val="24"/>
        </w:rPr>
      </w:pPr>
    </w:p>
    <w:p w14:paraId="6B4CB76E" w14:textId="0521923E" w:rsidR="00FD75BF" w:rsidRDefault="00027467" w:rsidP="00BF3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heme="majorHAnsi" w:hAnsiTheme="majorHAnsi" w:cs="Helvetica"/>
          <w:color w:val="000000"/>
          <w:sz w:val="24"/>
          <w:szCs w:val="24"/>
        </w:rPr>
      </w:pPr>
      <w:r>
        <w:rPr>
          <w:rFonts w:asciiTheme="majorHAnsi" w:hAnsiTheme="majorHAnsi" w:cs="Helvetica"/>
          <w:color w:val="000000"/>
          <w:sz w:val="24"/>
          <w:szCs w:val="24"/>
        </w:rPr>
        <w:t>El propósito de este índice es ofrecer una fotografía del estado actual de las leyes de transparencia y acceso a la información, y sobre todo, trazar una ruta para las subsecuentes reformas a leyes de transparencia que garanticen una mayor protección al ejercicio del Derecho de Acceso a la Información.</w:t>
      </w:r>
    </w:p>
    <w:p w14:paraId="15490F95" w14:textId="77777777" w:rsidR="002208F3" w:rsidRDefault="002208F3" w:rsidP="00BF3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heme="majorHAnsi" w:hAnsiTheme="majorHAnsi" w:cs="Helvetica"/>
          <w:color w:val="000000"/>
          <w:sz w:val="24"/>
          <w:szCs w:val="24"/>
        </w:rPr>
      </w:pPr>
    </w:p>
    <w:p w14:paraId="08364E11" w14:textId="77777777" w:rsidR="00B94548" w:rsidRDefault="00B94548">
      <w:pPr>
        <w:spacing w:after="0" w:line="240" w:lineRule="auto"/>
        <w:ind w:left="0"/>
        <w:rPr>
          <w:rFonts w:cs="Helvetica"/>
          <w:color w:val="595959" w:themeColor="text1" w:themeTint="A6"/>
          <w:sz w:val="24"/>
          <w:szCs w:val="24"/>
        </w:rPr>
      </w:pPr>
      <w:r>
        <w:rPr>
          <w:rFonts w:cs="Helvetica"/>
          <w:color w:val="595959" w:themeColor="text1" w:themeTint="A6"/>
          <w:sz w:val="24"/>
          <w:szCs w:val="24"/>
        </w:rPr>
        <w:br w:type="page"/>
      </w:r>
    </w:p>
    <w:p w14:paraId="2EE77FDA" w14:textId="15B97E7D" w:rsidR="002208F3" w:rsidRDefault="002208F3" w:rsidP="00994B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Helvetica"/>
          <w:color w:val="595959" w:themeColor="text1" w:themeTint="A6"/>
          <w:sz w:val="24"/>
          <w:szCs w:val="24"/>
        </w:rPr>
      </w:pPr>
      <w:bookmarkStart w:id="2" w:name="Presentación"/>
      <w:r>
        <w:rPr>
          <w:rFonts w:cs="Helvetica"/>
          <w:color w:val="595959" w:themeColor="text1" w:themeTint="A6"/>
          <w:sz w:val="24"/>
          <w:szCs w:val="24"/>
        </w:rPr>
        <w:lastRenderedPageBreak/>
        <w:t>Presentación de la guía de interpretación</w:t>
      </w:r>
    </w:p>
    <w:bookmarkEnd w:id="2"/>
    <w:p w14:paraId="265D8EAF" w14:textId="77777777" w:rsidR="00B94548" w:rsidRDefault="00B94548" w:rsidP="00994B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heme="majorHAnsi" w:hAnsiTheme="majorHAnsi" w:cs="Helvetica"/>
          <w:color w:val="auto"/>
          <w:sz w:val="24"/>
          <w:szCs w:val="24"/>
        </w:rPr>
      </w:pPr>
    </w:p>
    <w:p w14:paraId="2CD77D02" w14:textId="77777777" w:rsidR="00B94548" w:rsidRDefault="001A64C2" w:rsidP="008225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heme="majorHAnsi" w:hAnsiTheme="majorHAnsi" w:cs="Helvetica"/>
          <w:color w:val="auto"/>
          <w:sz w:val="24"/>
          <w:szCs w:val="24"/>
        </w:rPr>
      </w:pPr>
      <w:r>
        <w:rPr>
          <w:rFonts w:asciiTheme="majorHAnsi" w:hAnsiTheme="majorHAnsi" w:cs="Helvetica"/>
          <w:color w:val="auto"/>
          <w:sz w:val="24"/>
          <w:szCs w:val="24"/>
        </w:rPr>
        <w:t xml:space="preserve">El objetivo de la guía de interpretación es ofrecer una explicación de los criterios que componen este índice así como de dar cuenta la forma de calificar las leyes. </w:t>
      </w:r>
    </w:p>
    <w:p w14:paraId="6D41D64F" w14:textId="77777777" w:rsidR="00B94548" w:rsidRDefault="00B94548" w:rsidP="00BF3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heme="majorHAnsi" w:hAnsiTheme="majorHAnsi" w:cs="Helvetica"/>
          <w:color w:val="auto"/>
          <w:sz w:val="24"/>
          <w:szCs w:val="24"/>
        </w:rPr>
      </w:pPr>
    </w:p>
    <w:p w14:paraId="652959E4" w14:textId="4011F1AD" w:rsidR="00FB6091" w:rsidRDefault="001A64C2" w:rsidP="00BF3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heme="majorHAnsi" w:hAnsiTheme="majorHAnsi" w:cs="Helvetica"/>
          <w:color w:val="auto"/>
          <w:sz w:val="24"/>
          <w:szCs w:val="24"/>
        </w:rPr>
      </w:pPr>
      <w:r>
        <w:rPr>
          <w:rFonts w:asciiTheme="majorHAnsi" w:hAnsiTheme="majorHAnsi" w:cs="Helvetica"/>
          <w:color w:val="auto"/>
          <w:sz w:val="24"/>
          <w:szCs w:val="24"/>
        </w:rPr>
        <w:t>Es oportuno reconocer que el ejercicio de calificación del IDAIM, aun cuando se desarrolló con el mayor rigor metodológico posible, fue sobre todo, un ejercicio de interpretación. En contados casos se encontró una redacción en la ley tal cual lo estipulaban los criterios del índice, en la mayoría se tuvo que realizar</w:t>
      </w:r>
      <w:r w:rsidR="00FB6091">
        <w:rPr>
          <w:rFonts w:asciiTheme="majorHAnsi" w:hAnsiTheme="majorHAnsi" w:cs="Helvetica"/>
          <w:color w:val="auto"/>
          <w:sz w:val="24"/>
          <w:szCs w:val="24"/>
        </w:rPr>
        <w:t xml:space="preserve"> un ejercicio de interpretación.</w:t>
      </w:r>
    </w:p>
    <w:p w14:paraId="321DE61F" w14:textId="77777777" w:rsidR="00FB6091" w:rsidRDefault="00FB6091" w:rsidP="00BF3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heme="majorHAnsi" w:hAnsiTheme="majorHAnsi" w:cs="Helvetica"/>
          <w:color w:val="auto"/>
          <w:sz w:val="24"/>
          <w:szCs w:val="24"/>
        </w:rPr>
      </w:pPr>
    </w:p>
    <w:p w14:paraId="0B715F74" w14:textId="7FAB2981" w:rsidR="00FB6091" w:rsidRDefault="00FB6091" w:rsidP="00BF3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heme="majorHAnsi" w:hAnsiTheme="majorHAnsi" w:cs="Helvetica"/>
          <w:color w:val="auto"/>
          <w:sz w:val="24"/>
          <w:szCs w:val="24"/>
        </w:rPr>
      </w:pPr>
      <w:r>
        <w:rPr>
          <w:rFonts w:asciiTheme="majorHAnsi" w:hAnsiTheme="majorHAnsi" w:cs="Helvetica"/>
          <w:color w:val="auto"/>
          <w:sz w:val="24"/>
          <w:szCs w:val="24"/>
        </w:rPr>
        <w:t>Ante los criterios de medición más generales, se realizó un ejercicio de consenso entre al menos tres personas que participaron en la construcción del IDAIM. La mayoría de estas discusiones terminaron incorporándose a este documento en donde se identifican los elementos relevantes que cada criterio contiene y permiten así dotar de mayor claridad al estándar de medición.</w:t>
      </w:r>
    </w:p>
    <w:p w14:paraId="51C7FDBD" w14:textId="77777777" w:rsidR="00FB6091" w:rsidRDefault="00FB6091" w:rsidP="00BF3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heme="majorHAnsi" w:hAnsiTheme="majorHAnsi" w:cs="Helvetica"/>
          <w:color w:val="auto"/>
          <w:sz w:val="24"/>
          <w:szCs w:val="24"/>
        </w:rPr>
      </w:pPr>
    </w:p>
    <w:p w14:paraId="59C1E30D" w14:textId="1C6C445D" w:rsidR="002208F3" w:rsidRDefault="00BE7E3D" w:rsidP="00BF3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heme="majorHAnsi" w:hAnsiTheme="majorHAnsi" w:cs="Helvetica"/>
          <w:color w:val="auto"/>
          <w:sz w:val="24"/>
          <w:szCs w:val="24"/>
        </w:rPr>
      </w:pPr>
      <w:r>
        <w:rPr>
          <w:rFonts w:asciiTheme="majorHAnsi" w:hAnsiTheme="majorHAnsi" w:cs="Helvetica"/>
          <w:color w:val="auto"/>
          <w:sz w:val="24"/>
          <w:szCs w:val="24"/>
        </w:rPr>
        <w:t xml:space="preserve">Esta guía pretende ser un mapa para la comprensión </w:t>
      </w:r>
      <w:r w:rsidR="00FB6091">
        <w:rPr>
          <w:rFonts w:asciiTheme="majorHAnsi" w:hAnsiTheme="majorHAnsi" w:cs="Helvetica"/>
          <w:color w:val="auto"/>
          <w:sz w:val="24"/>
          <w:szCs w:val="24"/>
        </w:rPr>
        <w:t>de este ejercicio interpretativo, al tiempo que siente una base para la discusión de cada uno de los criterios seleccionados para la construcción del IDAIM</w:t>
      </w:r>
      <w:r>
        <w:rPr>
          <w:rFonts w:asciiTheme="majorHAnsi" w:hAnsiTheme="majorHAnsi" w:cs="Helvetica"/>
          <w:color w:val="auto"/>
          <w:sz w:val="24"/>
          <w:szCs w:val="24"/>
        </w:rPr>
        <w:t>.</w:t>
      </w:r>
    </w:p>
    <w:p w14:paraId="6E37A55D" w14:textId="77777777" w:rsidR="00B94548" w:rsidRDefault="00B94548" w:rsidP="00BF3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heme="majorHAnsi" w:hAnsiTheme="majorHAnsi" w:cs="Helvetica"/>
          <w:color w:val="auto"/>
          <w:sz w:val="24"/>
          <w:szCs w:val="24"/>
        </w:rPr>
      </w:pPr>
    </w:p>
    <w:p w14:paraId="67CFE029" w14:textId="77777777" w:rsidR="00B94548" w:rsidRPr="002208F3" w:rsidRDefault="00B94548" w:rsidP="00BF3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heme="majorHAnsi" w:hAnsiTheme="majorHAnsi" w:cs="Helvetica"/>
          <w:color w:val="auto"/>
          <w:sz w:val="24"/>
          <w:szCs w:val="24"/>
        </w:rPr>
      </w:pPr>
    </w:p>
    <w:p w14:paraId="0B844302" w14:textId="77777777" w:rsidR="002208F3" w:rsidRDefault="002208F3" w:rsidP="00BF3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heme="majorHAnsi" w:hAnsiTheme="majorHAnsi" w:cs="Helvetica"/>
          <w:color w:val="000000"/>
          <w:sz w:val="24"/>
          <w:szCs w:val="24"/>
        </w:rPr>
      </w:pPr>
    </w:p>
    <w:p w14:paraId="6C0B4B5C" w14:textId="77777777" w:rsidR="002208F3" w:rsidRDefault="002208F3" w:rsidP="00BF33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heme="majorHAnsi" w:hAnsiTheme="majorHAnsi" w:cs="Helvetica"/>
          <w:color w:val="000000"/>
          <w:sz w:val="24"/>
          <w:szCs w:val="24"/>
        </w:rPr>
      </w:pPr>
    </w:p>
    <w:p w14:paraId="3B909421" w14:textId="60527CE0" w:rsidR="001256F9" w:rsidRDefault="001256F9" w:rsidP="0035515F">
      <w:pPr>
        <w:ind w:left="0"/>
      </w:pPr>
    </w:p>
    <w:p w14:paraId="02832FF9" w14:textId="77777777" w:rsidR="00461425" w:rsidRPr="00DE3FE7" w:rsidRDefault="00461425" w:rsidP="0035515F">
      <w:pPr>
        <w:ind w:left="0"/>
      </w:pPr>
    </w:p>
    <w:p w14:paraId="348F7DCF" w14:textId="77777777" w:rsidR="001256F9" w:rsidRPr="00DE3FE7" w:rsidRDefault="001256F9" w:rsidP="001256F9">
      <w:pPr>
        <w:pStyle w:val="Ttulo1"/>
        <w:numPr>
          <w:ilvl w:val="0"/>
          <w:numId w:val="2"/>
        </w:numPr>
        <w:rPr>
          <w:b w:val="0"/>
        </w:rPr>
      </w:pPr>
      <w:bookmarkStart w:id="3" w:name="_Indicador_Conceptualización_e"/>
      <w:bookmarkEnd w:id="3"/>
      <w:r w:rsidRPr="00DE3FE7">
        <w:lastRenderedPageBreak/>
        <w:t>Indicador Conceptualización e interpretación del DAI</w:t>
      </w:r>
    </w:p>
    <w:p w14:paraId="7FDA38D3" w14:textId="1233E070" w:rsidR="001256F9" w:rsidRPr="00DE3FE7" w:rsidRDefault="001256F9" w:rsidP="001256F9">
      <w:pPr>
        <w:jc w:val="both"/>
        <w:rPr>
          <w:sz w:val="24"/>
        </w:rPr>
      </w:pPr>
      <w:r w:rsidRPr="00DE3FE7">
        <w:rPr>
          <w:sz w:val="24"/>
        </w:rPr>
        <w:t>El indicador mide los elementos considerados indispensables para establecer una construcción conceptual del Derecho al Acceso a la Información Pública (DAI) a partir de estándares internacionalmente aceptados. Esa construcción permite interpretar la ley nacional y de las entidades federativas de forma armónica con los estándares internacionales y asegurar una medición con base en el enfoque garantista.</w:t>
      </w:r>
    </w:p>
    <w:p w14:paraId="71C2F38E" w14:textId="6B35D651" w:rsidR="001256F9" w:rsidRPr="00DE3FE7" w:rsidRDefault="001256F9" w:rsidP="00EC3482">
      <w:pPr>
        <w:pStyle w:val="Ttulo1"/>
      </w:pPr>
      <w:r w:rsidRPr="00DE3FE7">
        <w:t>Criterio 1: Reconocimiento expreso del acceso a la información como derecho humano</w:t>
      </w:r>
    </w:p>
    <w:p w14:paraId="5F0686FE" w14:textId="6B4B3D42" w:rsidR="001256F9" w:rsidRPr="00DE3FE7" w:rsidRDefault="001256F9" w:rsidP="001256F9">
      <w:pPr>
        <w:jc w:val="both"/>
        <w:rPr>
          <w:sz w:val="24"/>
        </w:rPr>
      </w:pPr>
      <w:r w:rsidRPr="00DE3FE7">
        <w:rPr>
          <w:b/>
          <w:sz w:val="24"/>
          <w:szCs w:val="24"/>
        </w:rPr>
        <w:t>Descripción.</w:t>
      </w:r>
      <w:r w:rsidRPr="00DE3FE7">
        <w:rPr>
          <w:sz w:val="24"/>
          <w:szCs w:val="24"/>
        </w:rPr>
        <w:t xml:space="preserve"> El DAI</w:t>
      </w:r>
      <w:r w:rsidRPr="00DE3FE7">
        <w:rPr>
          <w:sz w:val="24"/>
        </w:rPr>
        <w:t xml:space="preserve"> como derecho humano establecido </w:t>
      </w:r>
      <w:r w:rsidR="00674B71">
        <w:rPr>
          <w:sz w:val="24"/>
        </w:rPr>
        <w:t>para</w:t>
      </w:r>
      <w:r w:rsidR="00674B71" w:rsidRPr="00DE3FE7">
        <w:rPr>
          <w:sz w:val="24"/>
        </w:rPr>
        <w:t xml:space="preserve"> </w:t>
      </w:r>
      <w:r w:rsidRPr="00DE3FE7">
        <w:rPr>
          <w:sz w:val="24"/>
        </w:rPr>
        <w:t>l</w:t>
      </w:r>
      <w:r w:rsidR="00674B71">
        <w:rPr>
          <w:sz w:val="24"/>
        </w:rPr>
        <w:t>os</w:t>
      </w:r>
      <w:r w:rsidRPr="00DE3FE7">
        <w:rPr>
          <w:sz w:val="24"/>
        </w:rPr>
        <w:t xml:space="preserve"> ámbito</w:t>
      </w:r>
      <w:r w:rsidR="00674B71">
        <w:rPr>
          <w:sz w:val="24"/>
        </w:rPr>
        <w:t>s</w:t>
      </w:r>
      <w:r w:rsidRPr="00DE3FE7">
        <w:rPr>
          <w:sz w:val="24"/>
        </w:rPr>
        <w:t xml:space="preserve"> internacional y regional de derechos humanos</w:t>
      </w:r>
      <w:r w:rsidR="00674B71">
        <w:rPr>
          <w:sz w:val="24"/>
        </w:rPr>
        <w:t xml:space="preserve"> en el </w:t>
      </w:r>
      <w:r w:rsidRPr="00DE3FE7">
        <w:rPr>
          <w:sz w:val="24"/>
        </w:rPr>
        <w:t>artículo 19 de la Declaración Universal de los Derechos Humanos</w:t>
      </w:r>
      <w:r w:rsidRPr="00DE3FE7">
        <w:rPr>
          <w:rStyle w:val="Refdenotaalpie"/>
          <w:sz w:val="24"/>
        </w:rPr>
        <w:footnoteReference w:id="3"/>
      </w:r>
      <w:r w:rsidRPr="00DE3FE7">
        <w:rPr>
          <w:sz w:val="24"/>
        </w:rPr>
        <w:t xml:space="preserve"> y en el artículo 13 de la Convención Americana de Derechos Humanos</w:t>
      </w:r>
      <w:r w:rsidR="00674B71">
        <w:rPr>
          <w:sz w:val="24"/>
        </w:rPr>
        <w:t>,</w:t>
      </w:r>
      <w:r w:rsidRPr="00DE3FE7">
        <w:rPr>
          <w:rStyle w:val="Refdenotaalpie"/>
          <w:sz w:val="24"/>
        </w:rPr>
        <w:footnoteReference w:id="4"/>
      </w:r>
      <w:r w:rsidRPr="00DE3FE7">
        <w:rPr>
          <w:sz w:val="24"/>
        </w:rPr>
        <w:t xml:space="preserve"> respectivamente, ambos reconocidos por la Constitución Política como parte del sistema jurídico mexicano.</w:t>
      </w:r>
    </w:p>
    <w:p w14:paraId="1875BA95" w14:textId="22CBECBE" w:rsidR="001256F9" w:rsidRPr="00DE3FE7" w:rsidRDefault="001256F9" w:rsidP="001256F9">
      <w:pPr>
        <w:jc w:val="both"/>
        <w:rPr>
          <w:sz w:val="24"/>
        </w:rPr>
      </w:pPr>
      <w:r w:rsidRPr="00DE3FE7">
        <w:rPr>
          <w:sz w:val="24"/>
          <w:szCs w:val="24"/>
        </w:rPr>
        <w:t>A lo anterior se suma</w:t>
      </w:r>
      <w:r w:rsidR="00674B71">
        <w:rPr>
          <w:sz w:val="24"/>
          <w:szCs w:val="24"/>
        </w:rPr>
        <w:t>n</w:t>
      </w:r>
      <w:r w:rsidRPr="00DE3FE7">
        <w:rPr>
          <w:sz w:val="24"/>
          <w:szCs w:val="24"/>
        </w:rPr>
        <w:t xml:space="preserve"> el artículo 6º Constitucional y la Ley Federal de Transparencia y Acceso a la Información Pública Gubernamental, </w:t>
      </w:r>
      <w:r w:rsidRPr="00DE3FE7">
        <w:rPr>
          <w:sz w:val="24"/>
        </w:rPr>
        <w:t>que reafirma</w:t>
      </w:r>
      <w:r w:rsidR="00674B71">
        <w:rPr>
          <w:sz w:val="24"/>
        </w:rPr>
        <w:t>n</w:t>
      </w:r>
      <w:r w:rsidRPr="00DE3FE7">
        <w:rPr>
          <w:sz w:val="24"/>
        </w:rPr>
        <w:t xml:space="preserve"> el mandato internacional como derecho humano y asegura</w:t>
      </w:r>
      <w:r w:rsidR="00674B71">
        <w:rPr>
          <w:sz w:val="24"/>
        </w:rPr>
        <w:t>n</w:t>
      </w:r>
      <w:r w:rsidRPr="00DE3FE7">
        <w:rPr>
          <w:sz w:val="24"/>
        </w:rPr>
        <w:t xml:space="preserve"> los procedimientos para su satisfacción y protección por órganos administrativos y judiciales. </w:t>
      </w:r>
    </w:p>
    <w:p w14:paraId="109FAA5A" w14:textId="417C3975" w:rsidR="001256F9" w:rsidRPr="00DE3FE7" w:rsidRDefault="001256F9" w:rsidP="001256F9">
      <w:pPr>
        <w:pBdr>
          <w:bottom w:val="single" w:sz="4" w:space="1" w:color="auto"/>
        </w:pBdr>
        <w:jc w:val="both"/>
        <w:rPr>
          <w:sz w:val="24"/>
        </w:rPr>
      </w:pPr>
      <w:r w:rsidRPr="00DE3FE7">
        <w:rPr>
          <w:b/>
          <w:sz w:val="24"/>
        </w:rPr>
        <w:t>Calificación.</w:t>
      </w:r>
      <w:r w:rsidRPr="00DE3FE7">
        <w:rPr>
          <w:sz w:val="24"/>
        </w:rPr>
        <w:t xml:space="preserve"> </w:t>
      </w:r>
      <w:r w:rsidR="00752559">
        <w:rPr>
          <w:sz w:val="24"/>
        </w:rPr>
        <w:t>E</w:t>
      </w:r>
      <w:r w:rsidRPr="00DE3FE7">
        <w:rPr>
          <w:sz w:val="24"/>
        </w:rPr>
        <w:t xml:space="preserve">l DAI es </w:t>
      </w:r>
      <w:r w:rsidR="00B71BD4">
        <w:rPr>
          <w:sz w:val="24"/>
        </w:rPr>
        <w:t>explícitamente</w:t>
      </w:r>
      <w:r w:rsidRPr="00DE3FE7">
        <w:rPr>
          <w:sz w:val="24"/>
        </w:rPr>
        <w:t xml:space="preserve"> reconocido como derecho humano </w:t>
      </w:r>
      <w:r w:rsidR="00B71BD4">
        <w:rPr>
          <w:sz w:val="24"/>
        </w:rPr>
        <w:t>en la ley</w:t>
      </w:r>
      <w:r w:rsidRPr="00DE3FE7">
        <w:rPr>
          <w:sz w:val="24"/>
        </w:rPr>
        <w:t>.</w:t>
      </w:r>
    </w:p>
    <w:p w14:paraId="5856F983" w14:textId="341E1EA3" w:rsidR="001256F9" w:rsidRPr="00DE3FE7" w:rsidRDefault="001256F9" w:rsidP="00EC3482">
      <w:pPr>
        <w:pStyle w:val="Ttulo1"/>
      </w:pPr>
      <w:r w:rsidRPr="00DE3FE7">
        <w:t>Criterio 2: Obligación de interpretar la ley conforme a la Constitución Política de los Estados Unidos Mexicanos</w:t>
      </w:r>
    </w:p>
    <w:p w14:paraId="1BAF06FC" w14:textId="4E638331" w:rsidR="001256F9" w:rsidRPr="00DE3FE7" w:rsidRDefault="001256F9" w:rsidP="001256F9">
      <w:pPr>
        <w:jc w:val="both"/>
        <w:rPr>
          <w:sz w:val="24"/>
        </w:rPr>
      </w:pPr>
      <w:r w:rsidRPr="00DE3FE7">
        <w:rPr>
          <w:b/>
          <w:sz w:val="24"/>
        </w:rPr>
        <w:t>Descripción.</w:t>
      </w:r>
      <w:r w:rsidRPr="00DE3FE7">
        <w:rPr>
          <w:sz w:val="24"/>
        </w:rPr>
        <w:t xml:space="preserve"> La Constitución tiene un valor exclusivo frente a las demás leyes del país. Es la primera norma del sistema jurídico y en ella se define c</w:t>
      </w:r>
      <w:r w:rsidR="00752559">
        <w:rPr>
          <w:sz w:val="24"/>
        </w:rPr>
        <w:t>ó</w:t>
      </w:r>
      <w:r w:rsidRPr="00DE3FE7">
        <w:rPr>
          <w:sz w:val="24"/>
        </w:rPr>
        <w:t xml:space="preserve">mo realizar los tratados internacionales, leyes, </w:t>
      </w:r>
      <w:r w:rsidRPr="00DE3FE7">
        <w:rPr>
          <w:sz w:val="24"/>
        </w:rPr>
        <w:lastRenderedPageBreak/>
        <w:t>reglamentos y decretos, así como cu</w:t>
      </w:r>
      <w:r w:rsidR="0011663E">
        <w:rPr>
          <w:sz w:val="24"/>
        </w:rPr>
        <w:t>á</w:t>
      </w:r>
      <w:r w:rsidRPr="00DE3FE7">
        <w:rPr>
          <w:sz w:val="24"/>
        </w:rPr>
        <w:t>les son los órganos legitimados para formularlos y el procedimiento a seguir</w:t>
      </w:r>
      <w:r w:rsidR="0011663E">
        <w:rPr>
          <w:sz w:val="24"/>
        </w:rPr>
        <w:t>.</w:t>
      </w:r>
      <w:r w:rsidRPr="00DE3FE7">
        <w:rPr>
          <w:sz w:val="24"/>
        </w:rPr>
        <w:t xml:space="preserve"> </w:t>
      </w:r>
      <w:r w:rsidR="0011663E" w:rsidRPr="00DE3FE7">
        <w:rPr>
          <w:sz w:val="24"/>
        </w:rPr>
        <w:t>D</w:t>
      </w:r>
      <w:r w:rsidRPr="00DE3FE7">
        <w:rPr>
          <w:sz w:val="24"/>
        </w:rPr>
        <w:t>e no cumplir cualquiera de estas disposiciones, la o las normas carecen de validez</w:t>
      </w:r>
      <w:r w:rsidR="0011663E">
        <w:rPr>
          <w:sz w:val="24"/>
        </w:rPr>
        <w:t>;</w:t>
      </w:r>
      <w:r w:rsidRPr="00DE3FE7">
        <w:rPr>
          <w:sz w:val="24"/>
        </w:rPr>
        <w:t xml:space="preserve"> la Suprema Corte de Justicia de la Nación (SCJN) determinó ciertas restricciones a los tratados internacionales cuando entran en contradicción,</w:t>
      </w:r>
      <w:r w:rsidR="0011663E">
        <w:rPr>
          <w:sz w:val="24"/>
        </w:rPr>
        <w:t xml:space="preserve"> lo cual</w:t>
      </w:r>
      <w:r w:rsidRPr="00DE3FE7">
        <w:rPr>
          <w:sz w:val="24"/>
        </w:rPr>
        <w:t xml:space="preserve"> incluye a los derechos humanos, que tienen el mismo rango que la carta magna.</w:t>
      </w:r>
    </w:p>
    <w:p w14:paraId="24ABB6B5" w14:textId="216D76BC" w:rsidR="001256F9" w:rsidRPr="00DE3FE7" w:rsidRDefault="001256F9" w:rsidP="001256F9">
      <w:pPr>
        <w:jc w:val="both"/>
        <w:rPr>
          <w:sz w:val="24"/>
        </w:rPr>
      </w:pPr>
      <w:r w:rsidRPr="00DE3FE7">
        <w:rPr>
          <w:sz w:val="24"/>
        </w:rPr>
        <w:t>En concreto, la Constitución Política de México es la fuente de las fuentes</w:t>
      </w:r>
      <w:r w:rsidR="0011663E">
        <w:rPr>
          <w:sz w:val="24"/>
        </w:rPr>
        <w:t>; e</w:t>
      </w:r>
      <w:r w:rsidRPr="00DE3FE7">
        <w:rPr>
          <w:sz w:val="24"/>
        </w:rPr>
        <w:t>n torno a la supremacía constitucional gira</w:t>
      </w:r>
      <w:r w:rsidR="0011663E">
        <w:rPr>
          <w:sz w:val="24"/>
        </w:rPr>
        <w:t>n</w:t>
      </w:r>
      <w:r w:rsidRPr="00DE3FE7">
        <w:rPr>
          <w:sz w:val="24"/>
        </w:rPr>
        <w:t xml:space="preserve"> la unidad y el entramado normativo de los poderes y niveles de gobierno. Además, se acompaña de mecanismos de control para hacer que </w:t>
      </w:r>
      <w:r w:rsidR="0011663E">
        <w:rPr>
          <w:sz w:val="24"/>
        </w:rPr>
        <w:t>las</w:t>
      </w:r>
      <w:r w:rsidR="0011663E" w:rsidRPr="00DE3FE7">
        <w:rPr>
          <w:sz w:val="24"/>
        </w:rPr>
        <w:t xml:space="preserve"> </w:t>
      </w:r>
      <w:r w:rsidRPr="00DE3FE7">
        <w:rPr>
          <w:sz w:val="24"/>
        </w:rPr>
        <w:t>disposiciones y leyes secundarias sean plenamente obligatorias.</w:t>
      </w:r>
    </w:p>
    <w:p w14:paraId="6A8D0A54" w14:textId="36E1B336" w:rsidR="001256F9" w:rsidRPr="00DE3FE7" w:rsidRDefault="001256F9" w:rsidP="001256F9">
      <w:pPr>
        <w:jc w:val="both"/>
        <w:rPr>
          <w:sz w:val="24"/>
          <w:szCs w:val="24"/>
        </w:rPr>
      </w:pPr>
      <w:r w:rsidRPr="00DE3FE7">
        <w:rPr>
          <w:b/>
          <w:sz w:val="24"/>
        </w:rPr>
        <w:t xml:space="preserve">Calificación. </w:t>
      </w:r>
      <w:r w:rsidRPr="00DE3FE7">
        <w:rPr>
          <w:sz w:val="24"/>
        </w:rPr>
        <w:t xml:space="preserve">Recoge y se vincula con </w:t>
      </w:r>
      <w:r w:rsidR="007F4427">
        <w:rPr>
          <w:sz w:val="24"/>
        </w:rPr>
        <w:t xml:space="preserve">la </w:t>
      </w:r>
      <w:r w:rsidR="00752559">
        <w:rPr>
          <w:sz w:val="24"/>
        </w:rPr>
        <w:t>C</w:t>
      </w:r>
      <w:r w:rsidRPr="00DE3FE7">
        <w:rPr>
          <w:sz w:val="24"/>
        </w:rPr>
        <w:t>onstitución, reafirma el DAI como un derecho</w:t>
      </w:r>
      <w:r w:rsidR="00EB1AFE">
        <w:rPr>
          <w:sz w:val="24"/>
        </w:rPr>
        <w:t xml:space="preserve"> del cual es </w:t>
      </w:r>
      <w:r w:rsidRPr="00DE3FE7">
        <w:rPr>
          <w:sz w:val="24"/>
        </w:rPr>
        <w:t xml:space="preserve">posible gozar </w:t>
      </w:r>
      <w:r w:rsidR="00752559">
        <w:rPr>
          <w:sz w:val="24"/>
        </w:rPr>
        <w:t>al hacerse</w:t>
      </w:r>
      <w:r w:rsidRPr="00DE3FE7">
        <w:rPr>
          <w:sz w:val="24"/>
        </w:rPr>
        <w:t xml:space="preserve"> efectivo a través de procedimientos e instituciones públicas.</w:t>
      </w:r>
    </w:p>
    <w:p w14:paraId="3FD22AC8" w14:textId="77777777" w:rsidR="001256F9" w:rsidRPr="00DE3FE7" w:rsidRDefault="001256F9" w:rsidP="00EC3482">
      <w:pPr>
        <w:pStyle w:val="Ttulo1"/>
      </w:pPr>
      <w:r w:rsidRPr="00DE3FE7">
        <w:t>Criterio 3: Obligación de interpretar la ley conforme a instrumentos internacionales ratificados por México</w:t>
      </w:r>
    </w:p>
    <w:p w14:paraId="7CC01491" w14:textId="6584C865" w:rsidR="001256F9" w:rsidRPr="00DE3FE7" w:rsidRDefault="001256F9" w:rsidP="001256F9">
      <w:pPr>
        <w:jc w:val="both"/>
        <w:rPr>
          <w:sz w:val="24"/>
        </w:rPr>
      </w:pPr>
      <w:r w:rsidRPr="00DE3FE7">
        <w:rPr>
          <w:b/>
          <w:sz w:val="24"/>
        </w:rPr>
        <w:t>Descripción.</w:t>
      </w:r>
      <w:r w:rsidRPr="00DE3FE7">
        <w:rPr>
          <w:sz w:val="24"/>
        </w:rPr>
        <w:t xml:space="preserve"> Las modificaciones constitucionales del 10 de junio de 2011 incorpor</w:t>
      </w:r>
      <w:r w:rsidR="00752559">
        <w:rPr>
          <w:sz w:val="24"/>
        </w:rPr>
        <w:t>aron</w:t>
      </w:r>
      <w:r w:rsidRPr="00DE3FE7">
        <w:rPr>
          <w:sz w:val="24"/>
        </w:rPr>
        <w:t xml:space="preserve"> al marco </w:t>
      </w:r>
      <w:r w:rsidR="00752559">
        <w:rPr>
          <w:sz w:val="24"/>
        </w:rPr>
        <w:t>c</w:t>
      </w:r>
      <w:r w:rsidRPr="00DE3FE7">
        <w:rPr>
          <w:sz w:val="24"/>
        </w:rPr>
        <w:t xml:space="preserve">onstitucional los derechos humanos. De esta forma, la Constitución </w:t>
      </w:r>
      <w:r w:rsidR="00752559" w:rsidRPr="00752559">
        <w:rPr>
          <w:sz w:val="24"/>
        </w:rPr>
        <w:t>incluye</w:t>
      </w:r>
      <w:r w:rsidR="00752559" w:rsidRPr="00DE3FE7">
        <w:rPr>
          <w:sz w:val="24"/>
        </w:rPr>
        <w:t xml:space="preserve"> </w:t>
      </w:r>
      <w:r w:rsidRPr="00DE3FE7">
        <w:rPr>
          <w:sz w:val="24"/>
        </w:rPr>
        <w:t>los derechos humanos desde su Artículo primero, Capítulo primero: “De los derechos humanos y sus garantías”</w:t>
      </w:r>
      <w:r w:rsidR="00752559">
        <w:rPr>
          <w:sz w:val="24"/>
        </w:rPr>
        <w:t>;</w:t>
      </w:r>
      <w:r w:rsidRPr="00DE3FE7">
        <w:rPr>
          <w:sz w:val="24"/>
          <w:vertAlign w:val="superscript"/>
        </w:rPr>
        <w:footnoteReference w:id="5"/>
      </w:r>
      <w:r w:rsidRPr="00DE3FE7">
        <w:rPr>
          <w:sz w:val="24"/>
        </w:rPr>
        <w:t xml:space="preserve"> así como el artículo 133</w:t>
      </w:r>
      <w:r w:rsidR="00752559">
        <w:rPr>
          <w:sz w:val="24"/>
        </w:rPr>
        <w:t>, donde se</w:t>
      </w:r>
      <w:r w:rsidRPr="00DE3FE7">
        <w:rPr>
          <w:sz w:val="24"/>
        </w:rPr>
        <w:t xml:space="preserve"> establece que los tratados, pactos y convenciones internacionales celebrados por el Presidente de la República y ratificados por la Cámara de Senadores</w:t>
      </w:r>
      <w:r w:rsidR="00752559">
        <w:rPr>
          <w:sz w:val="24"/>
        </w:rPr>
        <w:t>,</w:t>
      </w:r>
      <w:r w:rsidRPr="00DE3FE7">
        <w:rPr>
          <w:sz w:val="24"/>
        </w:rPr>
        <w:t xml:space="preserve"> se convierten en normas del orden interno</w:t>
      </w:r>
      <w:r w:rsidR="00752559">
        <w:rPr>
          <w:sz w:val="24"/>
        </w:rPr>
        <w:t>. T</w:t>
      </w:r>
      <w:r w:rsidRPr="00DE3FE7">
        <w:rPr>
          <w:sz w:val="24"/>
        </w:rPr>
        <w:t>ales disposiciones tienen un efecto vinculante al interior del Estado mexicano, modificándose sustantivamente las medidas normativas y legislativas para armonizar el marco secundario con los compromisos internacionales.</w:t>
      </w:r>
    </w:p>
    <w:p w14:paraId="6FE1FDAD" w14:textId="77777777" w:rsidR="001256F9" w:rsidRPr="00DE3FE7" w:rsidRDefault="001256F9" w:rsidP="001256F9">
      <w:pPr>
        <w:jc w:val="both"/>
        <w:rPr>
          <w:sz w:val="24"/>
        </w:rPr>
      </w:pPr>
      <w:r w:rsidRPr="00DE3FE7">
        <w:rPr>
          <w:sz w:val="24"/>
        </w:rPr>
        <w:t xml:space="preserve">El propósito de ambos criterios es que ante la interpretación de la ley se busque aquel instrumento legal que ofrezca el estándar más </w:t>
      </w:r>
      <w:r w:rsidRPr="00DE3FE7">
        <w:rPr>
          <w:sz w:val="24"/>
        </w:rPr>
        <w:lastRenderedPageBreak/>
        <w:t xml:space="preserve">alto para la protección y garantía del DAI. En el artículo 1 de la CPEUM se establece lo siguiente: </w:t>
      </w:r>
    </w:p>
    <w:p w14:paraId="4BCDD18E" w14:textId="77777777" w:rsidR="001256F9" w:rsidRPr="00DE3FE7" w:rsidRDefault="001256F9" w:rsidP="008B1F56">
      <w:pPr>
        <w:ind w:left="2552" w:right="616"/>
      </w:pPr>
      <w:r w:rsidRPr="00DE3FE7">
        <w:t>Artículo 1.</w:t>
      </w:r>
    </w:p>
    <w:p w14:paraId="31ED0A3B" w14:textId="77777777" w:rsidR="001256F9" w:rsidRPr="00DE3FE7" w:rsidRDefault="001256F9" w:rsidP="008B1F56">
      <w:pPr>
        <w:ind w:left="2552" w:right="616"/>
      </w:pPr>
      <w:r w:rsidRPr="00DE3FE7">
        <w:t>(…)</w:t>
      </w:r>
    </w:p>
    <w:p w14:paraId="6DAE4482" w14:textId="77777777" w:rsidR="001256F9" w:rsidRPr="00DE3FE7" w:rsidRDefault="001256F9" w:rsidP="008B1F56">
      <w:pPr>
        <w:ind w:left="2552" w:right="616"/>
        <w:jc w:val="both"/>
      </w:pPr>
      <w:r w:rsidRPr="00DE3FE7">
        <w:t>Las normas relativas a los derechos humanos se interpretarán de conformidad con esta Constitución y con los tratados internacionales de la materia favoreciendo en todo tiempo a las personas la protección más amplia.</w:t>
      </w:r>
    </w:p>
    <w:p w14:paraId="51872F94" w14:textId="77777777" w:rsidR="001256F9" w:rsidRPr="00DE3FE7" w:rsidRDefault="001256F9" w:rsidP="008B1F56">
      <w:pPr>
        <w:ind w:left="2552" w:right="616"/>
      </w:pPr>
      <w:r w:rsidRPr="00DE3FE7">
        <w:t>(…)</w:t>
      </w:r>
    </w:p>
    <w:p w14:paraId="4A392073" w14:textId="7DDD72A5" w:rsidR="001256F9" w:rsidRPr="00DE3FE7" w:rsidRDefault="001256F9" w:rsidP="006E0C68">
      <w:pPr>
        <w:pBdr>
          <w:bottom w:val="single" w:sz="4" w:space="1" w:color="auto"/>
        </w:pBdr>
        <w:jc w:val="both"/>
        <w:rPr>
          <w:sz w:val="24"/>
        </w:rPr>
      </w:pPr>
      <w:r w:rsidRPr="00DE3FE7">
        <w:rPr>
          <w:b/>
          <w:sz w:val="24"/>
        </w:rPr>
        <w:t>Calificación.</w:t>
      </w:r>
      <w:r w:rsidRPr="00DE3FE7">
        <w:rPr>
          <w:sz w:val="24"/>
        </w:rPr>
        <w:t xml:space="preserve"> Señala explícitamente </w:t>
      </w:r>
      <w:r w:rsidR="006E0C68">
        <w:rPr>
          <w:sz w:val="24"/>
        </w:rPr>
        <w:t>la interpretación del DAI bajo instrumentos internacional con la finalidad de aplicar la máxima garantía de este derecho.</w:t>
      </w:r>
    </w:p>
    <w:p w14:paraId="0C9EB3E5" w14:textId="77777777" w:rsidR="001256F9" w:rsidRPr="00DE3FE7" w:rsidRDefault="001256F9" w:rsidP="00EC3482">
      <w:pPr>
        <w:pStyle w:val="Ttulo1"/>
      </w:pPr>
      <w:r w:rsidRPr="00DE3FE7">
        <w:t>Criterio 4: Toda la información en posesión de cualquier autoridad es pública</w:t>
      </w:r>
    </w:p>
    <w:p w14:paraId="3F68230C" w14:textId="3208C8CC" w:rsidR="001256F9" w:rsidRPr="00DE3FE7" w:rsidRDefault="001256F9" w:rsidP="001256F9">
      <w:pPr>
        <w:jc w:val="both"/>
        <w:rPr>
          <w:sz w:val="24"/>
        </w:rPr>
      </w:pPr>
      <w:r w:rsidRPr="00DE3FE7">
        <w:rPr>
          <w:b/>
          <w:sz w:val="24"/>
        </w:rPr>
        <w:t>Descripción.</w:t>
      </w:r>
      <w:r w:rsidRPr="00DE3FE7">
        <w:rPr>
          <w:sz w:val="24"/>
        </w:rPr>
        <w:t xml:space="preserve"> La CPEUM establece en su </w:t>
      </w:r>
      <w:r w:rsidR="00752559">
        <w:rPr>
          <w:sz w:val="24"/>
        </w:rPr>
        <w:t>A</w:t>
      </w:r>
      <w:r w:rsidRPr="00DE3FE7">
        <w:rPr>
          <w:sz w:val="24"/>
        </w:rPr>
        <w:t>rtículo 6</w:t>
      </w:r>
      <w:r w:rsidR="00752559">
        <w:rPr>
          <w:sz w:val="24"/>
        </w:rPr>
        <w:t>º</w:t>
      </w:r>
      <w:r w:rsidRPr="00DE3FE7">
        <w:rPr>
          <w:sz w:val="24"/>
        </w:rPr>
        <w:t>, segmento A, fracción I que “toda la información en posesión de cualquier autoridad, entidad, órgano y organismo federal, estatal, municipal, es pública y sólo podrá ser reservada en los términos que fijen las leyes. (…)”.</w:t>
      </w:r>
    </w:p>
    <w:p w14:paraId="19154872" w14:textId="74D51FAE" w:rsidR="001256F9" w:rsidRPr="00DE3FE7" w:rsidRDefault="001256F9" w:rsidP="001256F9">
      <w:pPr>
        <w:jc w:val="both"/>
        <w:rPr>
          <w:sz w:val="24"/>
        </w:rPr>
      </w:pPr>
      <w:r w:rsidRPr="00DE3FE7">
        <w:rPr>
          <w:sz w:val="24"/>
        </w:rPr>
        <w:t>Por lo anterior, el marco legal secundario debe incorporar en su definición de información pública toda la que se encuentre en posesión del servidor público, incluye</w:t>
      </w:r>
      <w:r w:rsidR="00752559">
        <w:rPr>
          <w:sz w:val="24"/>
        </w:rPr>
        <w:t>ndo</w:t>
      </w:r>
      <w:r w:rsidRPr="00DE3FE7">
        <w:rPr>
          <w:sz w:val="24"/>
        </w:rPr>
        <w:t xml:space="preserve"> la entregada por particulares para la posesión y/o resguardo de los servidores públicos, independiente de las funciones y atribuciones que realice el funcionario o servidor público.</w:t>
      </w:r>
    </w:p>
    <w:p w14:paraId="60890305" w14:textId="037EA31A" w:rsidR="001256F9" w:rsidRPr="00DE3FE7" w:rsidRDefault="001256F9" w:rsidP="00E907C1">
      <w:pPr>
        <w:pBdr>
          <w:bottom w:val="single" w:sz="4" w:space="1" w:color="auto"/>
        </w:pBdr>
        <w:jc w:val="both"/>
        <w:rPr>
          <w:sz w:val="24"/>
        </w:rPr>
      </w:pPr>
      <w:r w:rsidRPr="00DE3FE7">
        <w:rPr>
          <w:b/>
          <w:sz w:val="24"/>
        </w:rPr>
        <w:t>Calificación.</w:t>
      </w:r>
      <w:r w:rsidRPr="00DE3FE7">
        <w:rPr>
          <w:sz w:val="24"/>
        </w:rPr>
        <w:t xml:space="preserve"> La ley define explícitamente la información pública como aqu</w:t>
      </w:r>
      <w:r w:rsidR="00752559">
        <w:rPr>
          <w:sz w:val="24"/>
        </w:rPr>
        <w:t>é</w:t>
      </w:r>
      <w:r w:rsidRPr="00DE3FE7">
        <w:rPr>
          <w:sz w:val="24"/>
        </w:rPr>
        <w:t>lla que se encuentra en posesión de servidores públicos</w:t>
      </w:r>
      <w:r w:rsidR="00E907C1">
        <w:rPr>
          <w:sz w:val="24"/>
        </w:rPr>
        <w:t xml:space="preserve"> o de cualquier autoridad pública</w:t>
      </w:r>
      <w:r w:rsidRPr="00DE3FE7">
        <w:rPr>
          <w:sz w:val="24"/>
        </w:rPr>
        <w:t>.</w:t>
      </w:r>
      <w:r w:rsidR="00E907C1">
        <w:rPr>
          <w:sz w:val="24"/>
        </w:rPr>
        <w:t xml:space="preserve"> No se considera cuando sólo menciona que será pública la que se encuentre en posesión de sujetos obligados.</w:t>
      </w:r>
    </w:p>
    <w:p w14:paraId="0345CD35" w14:textId="49425465" w:rsidR="001256F9" w:rsidRPr="00DE3FE7" w:rsidRDefault="001256F9" w:rsidP="00EC3482">
      <w:pPr>
        <w:pStyle w:val="Ttulo1"/>
      </w:pPr>
      <w:r w:rsidRPr="00DE3FE7">
        <w:t>Criterio 5: Define información pública, ésta incluye todas las fuentes y medios de almacenamiento, sin excepción</w:t>
      </w:r>
    </w:p>
    <w:p w14:paraId="27DE1D6F" w14:textId="10AC8854" w:rsidR="001256F9" w:rsidRPr="00DE3FE7" w:rsidRDefault="001256F9" w:rsidP="001256F9">
      <w:pPr>
        <w:jc w:val="both"/>
        <w:rPr>
          <w:sz w:val="24"/>
        </w:rPr>
      </w:pPr>
      <w:r w:rsidRPr="00DE3FE7">
        <w:rPr>
          <w:b/>
          <w:sz w:val="24"/>
        </w:rPr>
        <w:t>Descripción.</w:t>
      </w:r>
      <w:r w:rsidRPr="00DE3FE7">
        <w:rPr>
          <w:sz w:val="24"/>
        </w:rPr>
        <w:t xml:space="preserve"> La ley federal o local, según corresponda, define la información </w:t>
      </w:r>
      <w:r w:rsidR="002B3FFE">
        <w:rPr>
          <w:sz w:val="24"/>
        </w:rPr>
        <w:t>como e</w:t>
      </w:r>
      <w:r w:rsidRPr="00DE3FE7">
        <w:rPr>
          <w:sz w:val="24"/>
        </w:rPr>
        <w:t xml:space="preserve">l conjunto de datos procesados por cualquier </w:t>
      </w:r>
      <w:r w:rsidRPr="00DE3FE7">
        <w:rPr>
          <w:sz w:val="24"/>
        </w:rPr>
        <w:lastRenderedPageBreak/>
        <w:t xml:space="preserve">medio y forma de almacenamiento. Su establecimiento dentro el marco local garantiza el acceso a la información pública en documentos específicos y sus formas de registro impreso, óptico, electrónico, magnético, físico o </w:t>
      </w:r>
      <w:r w:rsidR="00944F30">
        <w:rPr>
          <w:sz w:val="24"/>
        </w:rPr>
        <w:t xml:space="preserve">por </w:t>
      </w:r>
      <w:r w:rsidRPr="00DE3FE7">
        <w:rPr>
          <w:sz w:val="24"/>
        </w:rPr>
        <w:t>cualquier otro medio.</w:t>
      </w:r>
    </w:p>
    <w:p w14:paraId="0F1BE121" w14:textId="3A6B8A12" w:rsidR="001256F9" w:rsidRPr="00DE3FE7" w:rsidRDefault="001256F9" w:rsidP="00770659">
      <w:pPr>
        <w:pBdr>
          <w:bottom w:val="single" w:sz="4" w:space="1" w:color="auto"/>
        </w:pBdr>
        <w:jc w:val="both"/>
        <w:rPr>
          <w:sz w:val="24"/>
        </w:rPr>
      </w:pPr>
      <w:r w:rsidRPr="00DE3FE7">
        <w:rPr>
          <w:b/>
          <w:sz w:val="24"/>
        </w:rPr>
        <w:t>Calificación.</w:t>
      </w:r>
      <w:r w:rsidRPr="00DE3FE7">
        <w:rPr>
          <w:sz w:val="24"/>
        </w:rPr>
        <w:t xml:space="preserve"> La ley incorpora </w:t>
      </w:r>
      <w:r w:rsidR="00944F30">
        <w:rPr>
          <w:sz w:val="24"/>
        </w:rPr>
        <w:t>una</w:t>
      </w:r>
      <w:r w:rsidR="00944F30" w:rsidRPr="00DE3FE7">
        <w:rPr>
          <w:sz w:val="24"/>
        </w:rPr>
        <w:t xml:space="preserve"> </w:t>
      </w:r>
      <w:r w:rsidRPr="00DE3FE7">
        <w:rPr>
          <w:sz w:val="24"/>
        </w:rPr>
        <w:t>definición</w:t>
      </w:r>
      <w:r w:rsidR="00944F30">
        <w:rPr>
          <w:sz w:val="24"/>
        </w:rPr>
        <w:t xml:space="preserve"> de</w:t>
      </w:r>
      <w:r w:rsidRPr="00DE3FE7">
        <w:rPr>
          <w:sz w:val="24"/>
        </w:rPr>
        <w:t xml:space="preserve"> la información pública y el reconocimiento de cualquier fuente y medio de almacenamiento</w:t>
      </w:r>
      <w:r w:rsidR="00770659">
        <w:rPr>
          <w:sz w:val="24"/>
        </w:rPr>
        <w:t>, es decir, no la limita a ciertos formatos de almacenamiento</w:t>
      </w:r>
      <w:r w:rsidRPr="00DE3FE7">
        <w:rPr>
          <w:sz w:val="24"/>
        </w:rPr>
        <w:t>.</w:t>
      </w:r>
    </w:p>
    <w:p w14:paraId="3B986324" w14:textId="77777777" w:rsidR="001256F9" w:rsidRPr="00DE3FE7" w:rsidRDefault="001256F9" w:rsidP="001256F9">
      <w:pPr>
        <w:pStyle w:val="Ttulo1"/>
        <w:numPr>
          <w:ilvl w:val="0"/>
          <w:numId w:val="2"/>
        </w:numPr>
        <w:rPr>
          <w:b w:val="0"/>
        </w:rPr>
      </w:pPr>
      <w:bookmarkStart w:id="4" w:name="_Indicador_Objetivos_de"/>
      <w:bookmarkEnd w:id="4"/>
      <w:r w:rsidRPr="00DE3FE7">
        <w:t xml:space="preserve"> Indicador Objetivos de las legislaciones de acceso a la información pública</w:t>
      </w:r>
    </w:p>
    <w:p w14:paraId="60201FBD" w14:textId="6376140F" w:rsidR="001256F9" w:rsidRPr="00DE3FE7" w:rsidRDefault="001256F9" w:rsidP="004F1CB1">
      <w:pPr>
        <w:pBdr>
          <w:bottom w:val="single" w:sz="4" w:space="1" w:color="auto"/>
        </w:pBdr>
        <w:jc w:val="both"/>
        <w:rPr>
          <w:sz w:val="24"/>
        </w:rPr>
      </w:pPr>
      <w:r w:rsidRPr="00DE3FE7">
        <w:rPr>
          <w:sz w:val="24"/>
        </w:rPr>
        <w:t>Los objetivos de la ley fijan las máximas de su aplicación y con ello se traza la ruta para conseguirlas. Los objetivos en las leyes permiten entender el motivo del legislador en el momento de la creación de la norma y por ello, ante la interpretación de la misma</w:t>
      </w:r>
      <w:r w:rsidR="002034BD">
        <w:rPr>
          <w:sz w:val="24"/>
        </w:rPr>
        <w:t>,</w:t>
      </w:r>
      <w:r w:rsidRPr="00DE3FE7">
        <w:rPr>
          <w:sz w:val="24"/>
        </w:rPr>
        <w:t xml:space="preserve"> sirven de guía.</w:t>
      </w:r>
    </w:p>
    <w:p w14:paraId="4B6E7053" w14:textId="150E9359" w:rsidR="001256F9" w:rsidRPr="00DE3FE7" w:rsidRDefault="001256F9" w:rsidP="00EC3482">
      <w:pPr>
        <w:pStyle w:val="Ttulo1"/>
      </w:pPr>
      <w:r w:rsidRPr="00DE3FE7">
        <w:t>Criterio 6: Garantizar el efectivo acceso de toda persona a la información pública</w:t>
      </w:r>
    </w:p>
    <w:p w14:paraId="66D7F1BF" w14:textId="6B37741A" w:rsidR="001256F9" w:rsidRPr="00DE3FE7" w:rsidRDefault="001256F9" w:rsidP="001256F9">
      <w:pPr>
        <w:jc w:val="both"/>
        <w:rPr>
          <w:sz w:val="24"/>
        </w:rPr>
      </w:pPr>
      <w:r w:rsidRPr="00DE3FE7">
        <w:rPr>
          <w:b/>
          <w:sz w:val="24"/>
        </w:rPr>
        <w:t>Descripción.</w:t>
      </w:r>
      <w:r w:rsidRPr="00DE3FE7">
        <w:rPr>
          <w:sz w:val="24"/>
        </w:rPr>
        <w:t xml:space="preserve"> Garantiza el efectivo acceso de toda persona a la información pública al considerarlo un derecho humano, asumiendo</w:t>
      </w:r>
      <w:r w:rsidR="002034BD">
        <w:rPr>
          <w:sz w:val="24"/>
        </w:rPr>
        <w:t xml:space="preserve"> las</w:t>
      </w:r>
      <w:r w:rsidRPr="00DE3FE7">
        <w:rPr>
          <w:sz w:val="24"/>
        </w:rPr>
        <w:t xml:space="preserve"> responsabilidades básicas de respetar, proteger, garantizar, promover y reparar.</w:t>
      </w:r>
    </w:p>
    <w:p w14:paraId="0562252D" w14:textId="3E4ED76E" w:rsidR="001256F9" w:rsidRPr="00DE3FE7" w:rsidRDefault="001256F9" w:rsidP="00073784">
      <w:pPr>
        <w:pBdr>
          <w:bottom w:val="single" w:sz="4" w:space="1" w:color="auto"/>
        </w:pBdr>
        <w:jc w:val="both"/>
        <w:rPr>
          <w:sz w:val="24"/>
        </w:rPr>
      </w:pPr>
      <w:r w:rsidRPr="00DE3FE7">
        <w:rPr>
          <w:b/>
          <w:sz w:val="24"/>
        </w:rPr>
        <w:t>Calificación.</w:t>
      </w:r>
      <w:r w:rsidRPr="00DE3FE7">
        <w:rPr>
          <w:sz w:val="24"/>
        </w:rPr>
        <w:t xml:space="preserve"> </w:t>
      </w:r>
      <w:r w:rsidR="00073784">
        <w:rPr>
          <w:sz w:val="24"/>
        </w:rPr>
        <w:t>Se establece este criterio co</w:t>
      </w:r>
      <w:r w:rsidR="002F3D57">
        <w:rPr>
          <w:sz w:val="24"/>
        </w:rPr>
        <w:t>mo un objetivo de la ley</w:t>
      </w:r>
      <w:r w:rsidRPr="00DE3FE7">
        <w:rPr>
          <w:sz w:val="24"/>
        </w:rPr>
        <w:t>.</w:t>
      </w:r>
    </w:p>
    <w:p w14:paraId="2138DB55" w14:textId="7E24B04D" w:rsidR="001256F9" w:rsidRPr="00DE3FE7" w:rsidRDefault="001256F9" w:rsidP="00EC3482">
      <w:pPr>
        <w:pStyle w:val="Ttulo1"/>
      </w:pPr>
      <w:r w:rsidRPr="00DE3FE7">
        <w:t>Criterio 7: Transparentar el ejercicio de la función pública</w:t>
      </w:r>
    </w:p>
    <w:p w14:paraId="43D98702" w14:textId="2798713A" w:rsidR="00E65AB7" w:rsidRDefault="001256F9" w:rsidP="002F3D57">
      <w:pPr>
        <w:jc w:val="both"/>
        <w:rPr>
          <w:sz w:val="24"/>
        </w:rPr>
      </w:pPr>
      <w:r w:rsidRPr="00DE3FE7">
        <w:rPr>
          <w:b/>
          <w:sz w:val="24"/>
        </w:rPr>
        <w:t>Descripción.</w:t>
      </w:r>
      <w:r w:rsidRPr="00DE3FE7">
        <w:rPr>
          <w:sz w:val="24"/>
        </w:rPr>
        <w:t xml:space="preserve"> </w:t>
      </w:r>
      <w:r w:rsidR="002F3D57">
        <w:rPr>
          <w:sz w:val="24"/>
        </w:rPr>
        <w:t>En los aspectos formales</w:t>
      </w:r>
      <w:r w:rsidR="0017482A">
        <w:rPr>
          <w:sz w:val="24"/>
        </w:rPr>
        <w:t xml:space="preserve"> g</w:t>
      </w:r>
      <w:r w:rsidR="0017482A" w:rsidRPr="00DE3FE7">
        <w:rPr>
          <w:sz w:val="24"/>
        </w:rPr>
        <w:t xml:space="preserve">arantiza </w:t>
      </w:r>
      <w:r w:rsidR="0017482A">
        <w:rPr>
          <w:sz w:val="24"/>
        </w:rPr>
        <w:t>el DAI</w:t>
      </w:r>
      <w:r w:rsidR="00FC570D">
        <w:rPr>
          <w:sz w:val="24"/>
        </w:rPr>
        <w:t xml:space="preserve"> </w:t>
      </w:r>
      <w:r w:rsidR="002034BD">
        <w:rPr>
          <w:sz w:val="24"/>
        </w:rPr>
        <w:t>mediante el</w:t>
      </w:r>
      <w:r w:rsidR="002034BD" w:rsidRPr="00DE3FE7">
        <w:rPr>
          <w:sz w:val="24"/>
        </w:rPr>
        <w:t xml:space="preserve"> acceso a documentos y apego a los procedimientos marcados por ley</w:t>
      </w:r>
      <w:r w:rsidR="002034BD">
        <w:rPr>
          <w:sz w:val="24"/>
        </w:rPr>
        <w:t>; en l</w:t>
      </w:r>
      <w:r w:rsidR="002034BD" w:rsidRPr="00DE3FE7">
        <w:rPr>
          <w:sz w:val="24"/>
        </w:rPr>
        <w:t xml:space="preserve">os sustantivos, </w:t>
      </w:r>
      <w:r w:rsidR="002034BD">
        <w:rPr>
          <w:sz w:val="24"/>
        </w:rPr>
        <w:t xml:space="preserve">al </w:t>
      </w:r>
      <w:r w:rsidR="002034BD" w:rsidRPr="00DE3FE7">
        <w:rPr>
          <w:sz w:val="24"/>
        </w:rPr>
        <w:t>transparentar la función pública y act</w:t>
      </w:r>
      <w:r w:rsidR="002034BD">
        <w:rPr>
          <w:sz w:val="24"/>
        </w:rPr>
        <w:t>uar</w:t>
      </w:r>
      <w:r w:rsidR="002034BD" w:rsidRPr="00DE3FE7">
        <w:rPr>
          <w:sz w:val="24"/>
        </w:rPr>
        <w:t xml:space="preserve"> frente a la obstru</w:t>
      </w:r>
      <w:r w:rsidR="002034BD">
        <w:rPr>
          <w:sz w:val="24"/>
        </w:rPr>
        <w:t>cción y/o violación del derecho, dado que l</w:t>
      </w:r>
      <w:r w:rsidRPr="00DE3FE7">
        <w:rPr>
          <w:sz w:val="24"/>
        </w:rPr>
        <w:t>a transparencia en la función pública es una</w:t>
      </w:r>
      <w:r w:rsidR="002034BD">
        <w:rPr>
          <w:sz w:val="24"/>
        </w:rPr>
        <w:t xml:space="preserve"> de las</w:t>
      </w:r>
      <w:r w:rsidRPr="00DE3FE7">
        <w:rPr>
          <w:sz w:val="24"/>
        </w:rPr>
        <w:t xml:space="preserve"> característica</w:t>
      </w:r>
      <w:r w:rsidR="002034BD">
        <w:rPr>
          <w:sz w:val="24"/>
        </w:rPr>
        <w:t>s</w:t>
      </w:r>
      <w:r w:rsidRPr="00DE3FE7">
        <w:rPr>
          <w:sz w:val="24"/>
        </w:rPr>
        <w:t xml:space="preserve"> fundamental</w:t>
      </w:r>
      <w:r w:rsidR="002034BD">
        <w:rPr>
          <w:sz w:val="24"/>
        </w:rPr>
        <w:t>es</w:t>
      </w:r>
      <w:r w:rsidRPr="00DE3FE7">
        <w:rPr>
          <w:sz w:val="24"/>
        </w:rPr>
        <w:t xml:space="preserve"> del gobierno republicano sobre las cuales se sustenta un régimen representativo. </w:t>
      </w:r>
    </w:p>
    <w:p w14:paraId="7B982D71" w14:textId="61157885" w:rsidR="001256F9" w:rsidRPr="00DE3FE7" w:rsidRDefault="00E65AB7" w:rsidP="001256F9">
      <w:pPr>
        <w:jc w:val="both"/>
        <w:rPr>
          <w:sz w:val="24"/>
        </w:rPr>
      </w:pPr>
      <w:r>
        <w:rPr>
          <w:sz w:val="24"/>
        </w:rPr>
        <w:t>Por tanto,</w:t>
      </w:r>
      <w:r w:rsidR="001256F9" w:rsidRPr="00DE3FE7">
        <w:rPr>
          <w:sz w:val="24"/>
        </w:rPr>
        <w:t xml:space="preserve"> reduce los espacios de discreción que pudieran promover actos de corrupción, a través del control y legitimación de la labor pública</w:t>
      </w:r>
      <w:r>
        <w:rPr>
          <w:sz w:val="24"/>
        </w:rPr>
        <w:t>; a</w:t>
      </w:r>
      <w:r w:rsidR="001256F9" w:rsidRPr="00DE3FE7">
        <w:rPr>
          <w:sz w:val="24"/>
        </w:rPr>
        <w:t xml:space="preserve">l mismo tiempo, eleva la legitimidad de la </w:t>
      </w:r>
      <w:r w:rsidR="001256F9" w:rsidRPr="00DE3FE7">
        <w:rPr>
          <w:sz w:val="24"/>
        </w:rPr>
        <w:lastRenderedPageBreak/>
        <w:t>autoridad frente a las y los ciudadanos al obligar</w:t>
      </w:r>
      <w:r>
        <w:rPr>
          <w:sz w:val="24"/>
        </w:rPr>
        <w:t>l</w:t>
      </w:r>
      <w:r w:rsidR="001256F9" w:rsidRPr="00DE3FE7">
        <w:rPr>
          <w:sz w:val="24"/>
        </w:rPr>
        <w:t>e a publicitar los actos gubernamentales.</w:t>
      </w:r>
    </w:p>
    <w:p w14:paraId="4199397E" w14:textId="77777777" w:rsidR="002F3D57" w:rsidRPr="00DE3FE7" w:rsidRDefault="002F3D57" w:rsidP="002F3D57">
      <w:pPr>
        <w:pBdr>
          <w:bottom w:val="single" w:sz="4" w:space="1" w:color="auto"/>
        </w:pBdr>
        <w:jc w:val="both"/>
        <w:rPr>
          <w:sz w:val="24"/>
        </w:rPr>
      </w:pPr>
      <w:r w:rsidRPr="00DE3FE7">
        <w:rPr>
          <w:b/>
          <w:sz w:val="24"/>
        </w:rPr>
        <w:t>Calificación.</w:t>
      </w:r>
      <w:r w:rsidRPr="00DE3FE7">
        <w:rPr>
          <w:sz w:val="24"/>
        </w:rPr>
        <w:t xml:space="preserve"> </w:t>
      </w:r>
      <w:r>
        <w:rPr>
          <w:sz w:val="24"/>
        </w:rPr>
        <w:t>Se establece este criterio como un objetivo de la ley</w:t>
      </w:r>
      <w:r w:rsidRPr="00DE3FE7">
        <w:rPr>
          <w:sz w:val="24"/>
        </w:rPr>
        <w:t>.</w:t>
      </w:r>
    </w:p>
    <w:p w14:paraId="5C10C3C6" w14:textId="018640EC" w:rsidR="001256F9" w:rsidRPr="00DE3FE7" w:rsidRDefault="001256F9" w:rsidP="00EC3482">
      <w:pPr>
        <w:pStyle w:val="Ttulo1"/>
      </w:pPr>
      <w:r w:rsidRPr="00DE3FE7">
        <w:t>Criterio 8: Mejorar la organización, clasificación, archivo y actualización de la información pública</w:t>
      </w:r>
    </w:p>
    <w:p w14:paraId="0A336F48" w14:textId="0107E4E7" w:rsidR="001256F9" w:rsidRDefault="001256F9" w:rsidP="001256F9">
      <w:pPr>
        <w:jc w:val="both"/>
        <w:rPr>
          <w:sz w:val="24"/>
        </w:rPr>
      </w:pPr>
      <w:r w:rsidRPr="00DE3FE7">
        <w:rPr>
          <w:b/>
          <w:sz w:val="24"/>
        </w:rPr>
        <w:t xml:space="preserve">Descripción. </w:t>
      </w:r>
      <w:r w:rsidRPr="00DE3FE7">
        <w:rPr>
          <w:sz w:val="24"/>
        </w:rPr>
        <w:t xml:space="preserve">La obligación de </w:t>
      </w:r>
      <w:r w:rsidR="00FE7A9B">
        <w:rPr>
          <w:sz w:val="24"/>
        </w:rPr>
        <w:t>conservar la</w:t>
      </w:r>
      <w:r w:rsidR="00FE7A9B" w:rsidRPr="00DE3FE7">
        <w:rPr>
          <w:sz w:val="24"/>
        </w:rPr>
        <w:t xml:space="preserve"> </w:t>
      </w:r>
      <w:r w:rsidRPr="00DE3FE7">
        <w:rPr>
          <w:sz w:val="24"/>
        </w:rPr>
        <w:t xml:space="preserve">información </w:t>
      </w:r>
      <w:r w:rsidR="00FE7A9B">
        <w:rPr>
          <w:sz w:val="24"/>
        </w:rPr>
        <w:t xml:space="preserve">debidamente </w:t>
      </w:r>
      <w:r w:rsidRPr="00DE3FE7">
        <w:rPr>
          <w:sz w:val="24"/>
        </w:rPr>
        <w:t>ordena</w:t>
      </w:r>
      <w:r w:rsidR="00FE7A9B">
        <w:rPr>
          <w:sz w:val="24"/>
        </w:rPr>
        <w:t>da</w:t>
      </w:r>
      <w:r w:rsidRPr="00DE3FE7">
        <w:rPr>
          <w:sz w:val="24"/>
        </w:rPr>
        <w:t xml:space="preserve"> y sistematizada requiere de </w:t>
      </w:r>
      <w:r w:rsidR="00FE7A9B">
        <w:rPr>
          <w:sz w:val="24"/>
        </w:rPr>
        <w:t xml:space="preserve">un </w:t>
      </w:r>
      <w:r w:rsidRPr="00DE3FE7">
        <w:rPr>
          <w:sz w:val="24"/>
        </w:rPr>
        <w:t>adecuado sistema de generación, conservación, uso y resguardo</w:t>
      </w:r>
      <w:r w:rsidR="00FE7A9B">
        <w:rPr>
          <w:sz w:val="24"/>
        </w:rPr>
        <w:t xml:space="preserve"> que, </w:t>
      </w:r>
      <w:r w:rsidR="00FE7A9B" w:rsidRPr="00FE7A9B">
        <w:rPr>
          <w:sz w:val="24"/>
        </w:rPr>
        <w:t>de igual forma</w:t>
      </w:r>
      <w:r w:rsidR="00FE7A9B">
        <w:rPr>
          <w:sz w:val="24"/>
        </w:rPr>
        <w:t>,</w:t>
      </w:r>
      <w:r w:rsidRPr="00DE3FE7">
        <w:rPr>
          <w:sz w:val="24"/>
        </w:rPr>
        <w:t xml:space="preserve"> permit</w:t>
      </w:r>
      <w:r w:rsidR="00FE7A9B">
        <w:rPr>
          <w:sz w:val="24"/>
        </w:rPr>
        <w:t>a</w:t>
      </w:r>
      <w:r w:rsidRPr="00DE3FE7">
        <w:rPr>
          <w:sz w:val="24"/>
        </w:rPr>
        <w:t xml:space="preserve"> el acceso y goce efectivo del DAI. Al mismo tiempo, </w:t>
      </w:r>
      <w:r w:rsidR="00FE7A9B">
        <w:rPr>
          <w:sz w:val="24"/>
        </w:rPr>
        <w:t xml:space="preserve">ello </w:t>
      </w:r>
      <w:r w:rsidRPr="00DE3FE7">
        <w:rPr>
          <w:sz w:val="24"/>
        </w:rPr>
        <w:t>mejora la toma de decisiones, facilita la participación ciudadana y garantiza el ejercicio de otros derechos humanos.</w:t>
      </w:r>
      <w:r w:rsidRPr="00DE3FE7">
        <w:rPr>
          <w:sz w:val="24"/>
        </w:rPr>
        <w:tab/>
      </w:r>
    </w:p>
    <w:p w14:paraId="4AD3863C" w14:textId="2FD1905A" w:rsidR="0080563E" w:rsidRPr="00DE3FE7" w:rsidRDefault="0080563E" w:rsidP="001256F9">
      <w:pPr>
        <w:jc w:val="both"/>
        <w:rPr>
          <w:sz w:val="24"/>
        </w:rPr>
      </w:pPr>
      <w:r w:rsidRPr="00DE3FE7">
        <w:rPr>
          <w:sz w:val="24"/>
        </w:rPr>
        <w:t>La ley obliga a implementar un sistema de archivos que, entre otras características, organice, clasifique y actualice la información pública</w:t>
      </w:r>
      <w:r>
        <w:rPr>
          <w:sz w:val="24"/>
        </w:rPr>
        <w:t xml:space="preserve"> de manera eficiente y expedita</w:t>
      </w:r>
      <w:r w:rsidRPr="00DE3FE7">
        <w:rPr>
          <w:sz w:val="24"/>
        </w:rPr>
        <w:t>.</w:t>
      </w:r>
    </w:p>
    <w:p w14:paraId="7240C34B" w14:textId="78DF4B89" w:rsidR="001256F9" w:rsidRPr="0080563E" w:rsidRDefault="001256F9" w:rsidP="0080563E">
      <w:pPr>
        <w:pBdr>
          <w:bottom w:val="single" w:sz="4" w:space="1" w:color="auto"/>
        </w:pBdr>
        <w:jc w:val="both"/>
        <w:rPr>
          <w:sz w:val="24"/>
        </w:rPr>
      </w:pPr>
      <w:r w:rsidRPr="00DE3FE7">
        <w:rPr>
          <w:b/>
          <w:sz w:val="24"/>
        </w:rPr>
        <w:t>Calificación.</w:t>
      </w:r>
      <w:r w:rsidRPr="00DE3FE7">
        <w:rPr>
          <w:sz w:val="24"/>
        </w:rPr>
        <w:t xml:space="preserve"> </w:t>
      </w:r>
      <w:r w:rsidR="0080563E">
        <w:rPr>
          <w:sz w:val="24"/>
        </w:rPr>
        <w:t>Se establece este criterio como un objetivo de ley.</w:t>
      </w:r>
    </w:p>
    <w:p w14:paraId="3990FF8B" w14:textId="3F611ABB" w:rsidR="001256F9" w:rsidRPr="00DE3FE7" w:rsidRDefault="001256F9" w:rsidP="00EC3482">
      <w:pPr>
        <w:pStyle w:val="Ttulo1"/>
      </w:pPr>
      <w:r w:rsidRPr="00DE3FE7">
        <w:t>Criterio 9: Garantizar la rendición de cuentas</w:t>
      </w:r>
    </w:p>
    <w:p w14:paraId="0AA85589" w14:textId="35D05084" w:rsidR="001256F9" w:rsidRPr="00DE3FE7" w:rsidRDefault="001256F9" w:rsidP="001256F9">
      <w:pPr>
        <w:jc w:val="both"/>
        <w:rPr>
          <w:sz w:val="24"/>
        </w:rPr>
      </w:pPr>
      <w:r w:rsidRPr="00DE3FE7">
        <w:rPr>
          <w:b/>
          <w:sz w:val="24"/>
        </w:rPr>
        <w:t>Descripción.</w:t>
      </w:r>
      <w:r w:rsidRPr="00DE3FE7">
        <w:rPr>
          <w:sz w:val="24"/>
        </w:rPr>
        <w:t xml:space="preserve"> Las buenas prácticas indican que a mayor información, mayor grado de rendición de cuentas y, en consecuencia, mayor legitimidad democrática.</w:t>
      </w:r>
    </w:p>
    <w:p w14:paraId="76E61AAB" w14:textId="77777777" w:rsidR="001256F9" w:rsidRPr="00DE3FE7" w:rsidRDefault="001256F9" w:rsidP="001256F9">
      <w:pPr>
        <w:jc w:val="both"/>
        <w:rPr>
          <w:sz w:val="24"/>
        </w:rPr>
      </w:pPr>
      <w:r w:rsidRPr="00DE3FE7">
        <w:rPr>
          <w:sz w:val="24"/>
        </w:rPr>
        <w:t>La garantía de la rendición de cuentas es el instrumento que permite alcanzar esa exigencia democrática, al fortalecer la institucionalidad con base en responsivas hacia las necesidades y demandas de la sociedad.</w:t>
      </w:r>
    </w:p>
    <w:p w14:paraId="55958DB5" w14:textId="33A3A55B" w:rsidR="001256F9" w:rsidRPr="00DE3FE7" w:rsidRDefault="001256F9" w:rsidP="008D2571">
      <w:pPr>
        <w:pBdr>
          <w:bottom w:val="single" w:sz="4" w:space="1" w:color="auto"/>
        </w:pBdr>
        <w:jc w:val="both"/>
        <w:rPr>
          <w:sz w:val="24"/>
        </w:rPr>
      </w:pPr>
      <w:r w:rsidRPr="00DE3FE7">
        <w:rPr>
          <w:b/>
          <w:sz w:val="24"/>
        </w:rPr>
        <w:t>Calificación.</w:t>
      </w:r>
      <w:r w:rsidRPr="00DE3FE7">
        <w:rPr>
          <w:sz w:val="24"/>
        </w:rPr>
        <w:t xml:space="preserve"> </w:t>
      </w:r>
      <w:r w:rsidR="008D2571">
        <w:rPr>
          <w:sz w:val="24"/>
        </w:rPr>
        <w:t>Se establece este criterio como un objetivo de ley.</w:t>
      </w:r>
    </w:p>
    <w:p w14:paraId="656A4C84" w14:textId="0EC8F653" w:rsidR="001256F9" w:rsidRPr="00FC0ABC" w:rsidRDefault="001256F9" w:rsidP="00EC3482">
      <w:pPr>
        <w:pStyle w:val="Ttulo1"/>
      </w:pPr>
      <w:r w:rsidRPr="00AA3E95">
        <w:t>Criterio</w:t>
      </w:r>
      <w:r w:rsidRPr="00FC0ABC">
        <w:t xml:space="preserve"> 10: Mejorar y ampliar</w:t>
      </w:r>
      <w:r w:rsidR="00FC570D">
        <w:t xml:space="preserve"> </w:t>
      </w:r>
      <w:r w:rsidRPr="00FC0ABC">
        <w:t>los niveles de participación ciudadana en los asuntos públicos y de gobierno</w:t>
      </w:r>
    </w:p>
    <w:p w14:paraId="5B0D1AFC" w14:textId="19E263DE" w:rsidR="005E20BE" w:rsidRPr="00DE3FE7" w:rsidRDefault="001256F9" w:rsidP="005E20BE">
      <w:pPr>
        <w:jc w:val="both"/>
        <w:rPr>
          <w:sz w:val="24"/>
        </w:rPr>
      </w:pPr>
      <w:r w:rsidRPr="00DE3FE7">
        <w:rPr>
          <w:b/>
          <w:sz w:val="24"/>
        </w:rPr>
        <w:t>Descripción.</w:t>
      </w:r>
      <w:r w:rsidRPr="00DE3FE7">
        <w:rPr>
          <w:sz w:val="24"/>
        </w:rPr>
        <w:t xml:space="preserve"> </w:t>
      </w:r>
      <w:r w:rsidR="005E20BE">
        <w:rPr>
          <w:sz w:val="24"/>
        </w:rPr>
        <w:t xml:space="preserve">Las leyes de transparencia deben abonar hacia una mejor forma de relacionarse entre el gobierno y la sociedad mediante la difusión de información necesaria para el diálogo. </w:t>
      </w:r>
      <w:r w:rsidRPr="00DE3FE7">
        <w:rPr>
          <w:sz w:val="24"/>
        </w:rPr>
        <w:t xml:space="preserve">Se reconoce la necesidad de poner el énfasis en la entrega de información </w:t>
      </w:r>
      <w:r w:rsidR="00304B51">
        <w:rPr>
          <w:sz w:val="24"/>
        </w:rPr>
        <w:t>adecuada para toda</w:t>
      </w:r>
      <w:r w:rsidRPr="00DE3FE7">
        <w:rPr>
          <w:sz w:val="24"/>
        </w:rPr>
        <w:t xml:space="preserve"> la ciudadanía y no en la mera entrega de documentos legibles o comprensibles</w:t>
      </w:r>
      <w:r w:rsidR="008A7182">
        <w:rPr>
          <w:sz w:val="24"/>
        </w:rPr>
        <w:t xml:space="preserve"> solamente por</w:t>
      </w:r>
      <w:r w:rsidR="00304B51" w:rsidRPr="00DE3FE7">
        <w:rPr>
          <w:sz w:val="24"/>
        </w:rPr>
        <w:t xml:space="preserve"> </w:t>
      </w:r>
      <w:r w:rsidR="00304B51" w:rsidRPr="00DE3FE7">
        <w:rPr>
          <w:sz w:val="24"/>
        </w:rPr>
        <w:lastRenderedPageBreak/>
        <w:t>especialistas</w:t>
      </w:r>
      <w:r w:rsidRPr="00DE3FE7">
        <w:rPr>
          <w:sz w:val="24"/>
        </w:rPr>
        <w:t xml:space="preserve">. Esto requiere un esfuerzo mayor </w:t>
      </w:r>
      <w:r w:rsidR="00AB32F7">
        <w:rPr>
          <w:sz w:val="24"/>
        </w:rPr>
        <w:t>para</w:t>
      </w:r>
      <w:r w:rsidRPr="00DE3FE7">
        <w:rPr>
          <w:sz w:val="24"/>
        </w:rPr>
        <w:t xml:space="preserve"> que la información tenga sentido en el marco de la participación ciudadana</w:t>
      </w:r>
      <w:r w:rsidR="008A7182">
        <w:rPr>
          <w:sz w:val="24"/>
        </w:rPr>
        <w:t>.</w:t>
      </w:r>
    </w:p>
    <w:p w14:paraId="20239C64" w14:textId="209C4E1A" w:rsidR="001256F9" w:rsidRPr="00DE3FE7" w:rsidRDefault="001256F9" w:rsidP="005E20BE">
      <w:pPr>
        <w:pBdr>
          <w:bottom w:val="single" w:sz="4" w:space="1" w:color="auto"/>
        </w:pBdr>
        <w:jc w:val="both"/>
        <w:rPr>
          <w:sz w:val="24"/>
        </w:rPr>
      </w:pPr>
      <w:r w:rsidRPr="00DE3FE7">
        <w:rPr>
          <w:b/>
          <w:sz w:val="24"/>
        </w:rPr>
        <w:t>Calificación.</w:t>
      </w:r>
      <w:r w:rsidRPr="00DE3FE7">
        <w:rPr>
          <w:sz w:val="24"/>
        </w:rPr>
        <w:t xml:space="preserve"> </w:t>
      </w:r>
      <w:r w:rsidR="005E20BE">
        <w:rPr>
          <w:sz w:val="24"/>
        </w:rPr>
        <w:t>Se establece este criterio como objetivo de ley.</w:t>
      </w:r>
    </w:p>
    <w:p w14:paraId="11335EBB" w14:textId="1A938C6D" w:rsidR="001256F9" w:rsidRPr="00DE3FE7" w:rsidRDefault="001256F9" w:rsidP="00EC3482">
      <w:pPr>
        <w:pStyle w:val="Ttulo1"/>
      </w:pPr>
      <w:r w:rsidRPr="00DE3FE7">
        <w:t>Criterio 11: Difundir proactivamente la información de interés público</w:t>
      </w:r>
    </w:p>
    <w:p w14:paraId="135AD95B" w14:textId="7CD6566C" w:rsidR="001256F9" w:rsidRPr="00DE3FE7" w:rsidRDefault="001256F9" w:rsidP="00D1532F">
      <w:pPr>
        <w:jc w:val="both"/>
        <w:rPr>
          <w:sz w:val="24"/>
        </w:rPr>
      </w:pPr>
      <w:r w:rsidRPr="00DE3FE7">
        <w:rPr>
          <w:b/>
          <w:sz w:val="24"/>
        </w:rPr>
        <w:t>Descripción.</w:t>
      </w:r>
      <w:r w:rsidRPr="00DE3FE7">
        <w:rPr>
          <w:sz w:val="24"/>
        </w:rPr>
        <w:t xml:space="preserve"> </w:t>
      </w:r>
      <w:r w:rsidR="00D1532F" w:rsidRPr="00DE3FE7">
        <w:rPr>
          <w:sz w:val="24"/>
        </w:rPr>
        <w:t>Un elemento que garantiza la</w:t>
      </w:r>
      <w:r w:rsidR="00FC570D">
        <w:rPr>
          <w:sz w:val="24"/>
        </w:rPr>
        <w:t xml:space="preserve"> </w:t>
      </w:r>
      <w:r w:rsidR="00D1532F" w:rsidRPr="00DE3FE7">
        <w:rPr>
          <w:sz w:val="24"/>
        </w:rPr>
        <w:t xml:space="preserve">rendición de cuentas es la proactividad </w:t>
      </w:r>
      <w:r w:rsidR="00D1532F">
        <w:rPr>
          <w:sz w:val="24"/>
        </w:rPr>
        <w:t>en cuanto a</w:t>
      </w:r>
      <w:r w:rsidR="00D1532F" w:rsidRPr="00DE3FE7">
        <w:rPr>
          <w:sz w:val="24"/>
        </w:rPr>
        <w:t xml:space="preserve"> la</w:t>
      </w:r>
      <w:r w:rsidR="00D1532F">
        <w:rPr>
          <w:sz w:val="24"/>
        </w:rPr>
        <w:t>s formas de difusión de</w:t>
      </w:r>
      <w:r w:rsidR="00D1532F" w:rsidRPr="00DE3FE7">
        <w:rPr>
          <w:sz w:val="24"/>
        </w:rPr>
        <w:t xml:space="preserve"> </w:t>
      </w:r>
      <w:r w:rsidR="00D1532F">
        <w:rPr>
          <w:sz w:val="24"/>
        </w:rPr>
        <w:t xml:space="preserve">la </w:t>
      </w:r>
      <w:r w:rsidR="00D1532F" w:rsidRPr="00DE3FE7">
        <w:rPr>
          <w:sz w:val="24"/>
        </w:rPr>
        <w:t>información pública</w:t>
      </w:r>
      <w:r w:rsidR="00D1532F">
        <w:rPr>
          <w:sz w:val="24"/>
        </w:rPr>
        <w:t>;</w:t>
      </w:r>
      <w:r w:rsidR="00D1532F" w:rsidRPr="00DE3FE7">
        <w:rPr>
          <w:sz w:val="24"/>
        </w:rPr>
        <w:t xml:space="preserve"> según Access </w:t>
      </w:r>
      <w:proofErr w:type="spellStart"/>
      <w:r w:rsidR="00D1532F" w:rsidRPr="00DE3FE7">
        <w:rPr>
          <w:sz w:val="24"/>
        </w:rPr>
        <w:t>Info</w:t>
      </w:r>
      <w:proofErr w:type="spellEnd"/>
      <w:r w:rsidR="00D1532F" w:rsidRPr="00DE3FE7">
        <w:rPr>
          <w:sz w:val="24"/>
        </w:rPr>
        <w:t xml:space="preserve"> </w:t>
      </w:r>
      <w:proofErr w:type="spellStart"/>
      <w:r w:rsidR="00D1532F" w:rsidRPr="00DE3FE7">
        <w:rPr>
          <w:sz w:val="24"/>
        </w:rPr>
        <w:t>Europe</w:t>
      </w:r>
      <w:proofErr w:type="spellEnd"/>
      <w:r w:rsidR="00D1532F">
        <w:rPr>
          <w:sz w:val="24"/>
        </w:rPr>
        <w:t>,</w:t>
      </w:r>
      <w:r w:rsidR="00D1532F" w:rsidRPr="00DE3FE7">
        <w:rPr>
          <w:rStyle w:val="Refdenotaalpie"/>
          <w:sz w:val="24"/>
        </w:rPr>
        <w:footnoteReference w:id="6"/>
      </w:r>
      <w:r w:rsidR="00D1532F" w:rsidRPr="00DE3FE7">
        <w:rPr>
          <w:sz w:val="24"/>
        </w:rPr>
        <w:t xml:space="preserve"> s</w:t>
      </w:r>
      <w:r w:rsidR="00D1532F">
        <w:rPr>
          <w:sz w:val="24"/>
        </w:rPr>
        <w:t xml:space="preserve">on igualmente </w:t>
      </w:r>
      <w:r w:rsidR="00D1532F" w:rsidRPr="00DE3FE7">
        <w:rPr>
          <w:sz w:val="24"/>
        </w:rPr>
        <w:t>importante</w:t>
      </w:r>
      <w:r w:rsidR="00D1532F">
        <w:rPr>
          <w:sz w:val="24"/>
        </w:rPr>
        <w:t>s</w:t>
      </w:r>
      <w:r w:rsidR="00D1532F" w:rsidRPr="00DE3FE7">
        <w:rPr>
          <w:sz w:val="24"/>
        </w:rPr>
        <w:t xml:space="preserve"> </w:t>
      </w:r>
      <w:r w:rsidR="00D1532F">
        <w:rPr>
          <w:sz w:val="24"/>
        </w:rPr>
        <w:t>la forma y oportunidad</w:t>
      </w:r>
      <w:r w:rsidR="00D1532F" w:rsidRPr="00DE3FE7">
        <w:rPr>
          <w:sz w:val="24"/>
        </w:rPr>
        <w:t xml:space="preserve"> </w:t>
      </w:r>
      <w:r w:rsidR="00D1532F">
        <w:rPr>
          <w:sz w:val="24"/>
        </w:rPr>
        <w:t>como la cantidad</w:t>
      </w:r>
      <w:r w:rsidR="00D1532F" w:rsidRPr="00DE3FE7">
        <w:rPr>
          <w:sz w:val="24"/>
        </w:rPr>
        <w:t xml:space="preserve"> </w:t>
      </w:r>
      <w:r w:rsidR="00D1532F">
        <w:rPr>
          <w:sz w:val="24"/>
        </w:rPr>
        <w:t>de</w:t>
      </w:r>
      <w:r w:rsidR="00D1532F" w:rsidRPr="00DE3FE7">
        <w:rPr>
          <w:sz w:val="24"/>
        </w:rPr>
        <w:t xml:space="preserve"> información </w:t>
      </w:r>
      <w:r w:rsidR="00D1532F">
        <w:rPr>
          <w:sz w:val="24"/>
        </w:rPr>
        <w:t xml:space="preserve">que </w:t>
      </w:r>
      <w:r w:rsidR="00D1532F" w:rsidRPr="00DE3FE7">
        <w:rPr>
          <w:sz w:val="24"/>
        </w:rPr>
        <w:t>se p</w:t>
      </w:r>
      <w:r w:rsidR="00D1532F">
        <w:rPr>
          <w:sz w:val="24"/>
        </w:rPr>
        <w:t>u</w:t>
      </w:r>
      <w:r w:rsidR="00D1532F" w:rsidRPr="00DE3FE7">
        <w:rPr>
          <w:sz w:val="24"/>
        </w:rPr>
        <w:t xml:space="preserve">blica, es decir, </w:t>
      </w:r>
      <w:r w:rsidR="00D1532F">
        <w:rPr>
          <w:sz w:val="24"/>
        </w:rPr>
        <w:t xml:space="preserve">la </w:t>
      </w:r>
      <w:r w:rsidR="00D1532F" w:rsidRPr="00DE3FE7">
        <w:rPr>
          <w:sz w:val="24"/>
        </w:rPr>
        <w:t xml:space="preserve">información </w:t>
      </w:r>
      <w:r w:rsidR="00D1532F">
        <w:rPr>
          <w:sz w:val="24"/>
        </w:rPr>
        <w:t>debe estar</w:t>
      </w:r>
      <w:r w:rsidR="00D1532F" w:rsidRPr="00DE3FE7">
        <w:rPr>
          <w:sz w:val="24"/>
        </w:rPr>
        <w:t xml:space="preserve"> disponible para el público en diversos formatos y medios, </w:t>
      </w:r>
      <w:r w:rsidR="00D1532F">
        <w:rPr>
          <w:sz w:val="24"/>
        </w:rPr>
        <w:t xml:space="preserve">además de ser </w:t>
      </w:r>
      <w:r w:rsidR="00D1532F" w:rsidRPr="00DE3FE7">
        <w:rPr>
          <w:sz w:val="24"/>
        </w:rPr>
        <w:t xml:space="preserve">fácil de localizar, relevante, gratuita o de bajo costo y permanentemente actualizada sin necesidad </w:t>
      </w:r>
      <w:r w:rsidR="00D1532F">
        <w:rPr>
          <w:sz w:val="24"/>
        </w:rPr>
        <w:t xml:space="preserve">de </w:t>
      </w:r>
      <w:r w:rsidR="00D1532F" w:rsidRPr="00DE3FE7">
        <w:rPr>
          <w:sz w:val="24"/>
        </w:rPr>
        <w:t>que medie solicitud o queja ciudadan</w:t>
      </w:r>
      <w:r w:rsidR="00D1532F">
        <w:rPr>
          <w:sz w:val="24"/>
        </w:rPr>
        <w:t>a</w:t>
      </w:r>
      <w:r w:rsidR="00D1532F" w:rsidRPr="00DE3FE7">
        <w:rPr>
          <w:sz w:val="24"/>
        </w:rPr>
        <w:t>.</w:t>
      </w:r>
    </w:p>
    <w:p w14:paraId="1F512E89" w14:textId="42315FA1" w:rsidR="001256F9" w:rsidRPr="00DE3FE7" w:rsidRDefault="001256F9" w:rsidP="009010D2">
      <w:pPr>
        <w:pBdr>
          <w:bottom w:val="single" w:sz="4" w:space="1" w:color="auto"/>
        </w:pBdr>
        <w:jc w:val="both"/>
        <w:rPr>
          <w:sz w:val="24"/>
        </w:rPr>
      </w:pPr>
      <w:r w:rsidRPr="00DE3FE7">
        <w:rPr>
          <w:b/>
          <w:sz w:val="24"/>
        </w:rPr>
        <w:t>Calificación.</w:t>
      </w:r>
      <w:r w:rsidRPr="00DE3FE7">
        <w:rPr>
          <w:sz w:val="24"/>
        </w:rPr>
        <w:t xml:space="preserve"> </w:t>
      </w:r>
      <w:r w:rsidR="009010D2">
        <w:rPr>
          <w:sz w:val="24"/>
        </w:rPr>
        <w:t>Se establece este criterio como objetivo de la ley.</w:t>
      </w:r>
    </w:p>
    <w:p w14:paraId="0872F346" w14:textId="77777777" w:rsidR="001256F9" w:rsidRPr="00DE3FE7" w:rsidRDefault="001256F9" w:rsidP="001256F9">
      <w:pPr>
        <w:pStyle w:val="Ttulo1"/>
        <w:numPr>
          <w:ilvl w:val="0"/>
          <w:numId w:val="2"/>
        </w:numPr>
        <w:rPr>
          <w:b w:val="0"/>
        </w:rPr>
      </w:pPr>
      <w:bookmarkStart w:id="5" w:name="_Indicador_Sujetos_Obligados"/>
      <w:bookmarkEnd w:id="5"/>
      <w:r w:rsidRPr="00DE3FE7">
        <w:t xml:space="preserve"> Indicador Sujetos Obligados de las leyes de transparencia</w:t>
      </w:r>
    </w:p>
    <w:p w14:paraId="3CEB6C11" w14:textId="59860E20" w:rsidR="001256F9" w:rsidRPr="00DE3FE7" w:rsidRDefault="001256F9" w:rsidP="001256F9">
      <w:pPr>
        <w:jc w:val="both"/>
        <w:rPr>
          <w:sz w:val="24"/>
        </w:rPr>
      </w:pPr>
      <w:r w:rsidRPr="00DE3FE7">
        <w:rPr>
          <w:sz w:val="24"/>
        </w:rPr>
        <w:t>Los sujetos obligados son todas las autoridades, entidades, órganos y organismos del Estado señalados por</w:t>
      </w:r>
      <w:r w:rsidR="00907F75">
        <w:rPr>
          <w:sz w:val="24"/>
        </w:rPr>
        <w:t xml:space="preserve"> la</w:t>
      </w:r>
      <w:r w:rsidRPr="00DE3FE7">
        <w:rPr>
          <w:sz w:val="24"/>
        </w:rPr>
        <w:t xml:space="preserve"> ley de transparencia. </w:t>
      </w:r>
      <w:r w:rsidR="00907F75">
        <w:rPr>
          <w:sz w:val="24"/>
        </w:rPr>
        <w:t>S</w:t>
      </w:r>
      <w:r w:rsidRPr="00DE3FE7">
        <w:rPr>
          <w:sz w:val="24"/>
        </w:rPr>
        <w:t>u mención es indispensable para no dejar espacio a interpretaciones sobre quién</w:t>
      </w:r>
      <w:r w:rsidR="00907F75">
        <w:rPr>
          <w:sz w:val="24"/>
        </w:rPr>
        <w:t>es</w:t>
      </w:r>
      <w:r w:rsidRPr="00DE3FE7">
        <w:rPr>
          <w:sz w:val="24"/>
        </w:rPr>
        <w:t xml:space="preserve"> y cómo debe</w:t>
      </w:r>
      <w:r w:rsidR="00907F75">
        <w:rPr>
          <w:sz w:val="24"/>
        </w:rPr>
        <w:t>n</w:t>
      </w:r>
      <w:r w:rsidRPr="00DE3FE7">
        <w:rPr>
          <w:sz w:val="24"/>
        </w:rPr>
        <w:t xml:space="preserve"> acatar las reglas de transparencia</w:t>
      </w:r>
      <w:r w:rsidR="00907F75">
        <w:rPr>
          <w:sz w:val="24"/>
        </w:rPr>
        <w:t>;</w:t>
      </w:r>
      <w:r w:rsidRPr="00DE3FE7">
        <w:rPr>
          <w:sz w:val="24"/>
        </w:rPr>
        <w:t xml:space="preserve"> al </w:t>
      </w:r>
      <w:r w:rsidR="00907F75">
        <w:rPr>
          <w:sz w:val="24"/>
        </w:rPr>
        <w:t xml:space="preserve">mismo </w:t>
      </w:r>
      <w:r w:rsidRPr="00DE3FE7">
        <w:rPr>
          <w:sz w:val="24"/>
        </w:rPr>
        <w:t>tiempo, amplía el catálogo de sujetos obligados.</w:t>
      </w:r>
    </w:p>
    <w:p w14:paraId="4D640012" w14:textId="0FFF3BB3" w:rsidR="00AF75CB" w:rsidRPr="00FC0ABC" w:rsidRDefault="001256F9" w:rsidP="001256F9">
      <w:pPr>
        <w:pStyle w:val="Ttulo1"/>
        <w:numPr>
          <w:ilvl w:val="1"/>
          <w:numId w:val="2"/>
        </w:numPr>
        <w:ind w:left="709" w:hanging="425"/>
        <w:rPr>
          <w:b w:val="0"/>
        </w:rPr>
      </w:pPr>
      <w:r w:rsidRPr="00DE3FE7">
        <w:t>Poderes públicos</w:t>
      </w:r>
    </w:p>
    <w:p w14:paraId="555AFEED" w14:textId="438E368D" w:rsidR="00AF75CB" w:rsidRDefault="001256F9" w:rsidP="00FC0ABC">
      <w:pPr>
        <w:pStyle w:val="Ttulo1"/>
        <w:ind w:left="1416"/>
      </w:pPr>
      <w:r w:rsidRPr="00DE3FE7">
        <w:t>Criterio 12: Ejecutivo</w:t>
      </w:r>
    </w:p>
    <w:p w14:paraId="614254EC" w14:textId="41CF86DB" w:rsidR="00AF75CB" w:rsidRDefault="001256F9" w:rsidP="00FC0ABC">
      <w:pPr>
        <w:pStyle w:val="Ttulo1"/>
        <w:ind w:left="1416"/>
      </w:pPr>
      <w:r w:rsidRPr="00DE3FE7">
        <w:t xml:space="preserve">Criterio 13: Legislativo </w:t>
      </w:r>
    </w:p>
    <w:p w14:paraId="2E9DA563" w14:textId="1BEE0702" w:rsidR="001256F9" w:rsidRPr="00DE3FE7" w:rsidRDefault="001256F9" w:rsidP="00FC0ABC">
      <w:pPr>
        <w:pStyle w:val="Ttulo1"/>
        <w:ind w:left="1416"/>
        <w:rPr>
          <w:b w:val="0"/>
        </w:rPr>
      </w:pPr>
      <w:r w:rsidRPr="00DE3FE7">
        <w:t>Criterio 14: Judicial</w:t>
      </w:r>
    </w:p>
    <w:p w14:paraId="70DE9F4D" w14:textId="36139547" w:rsidR="001256F9" w:rsidRPr="00DE3FE7" w:rsidRDefault="001256F9" w:rsidP="001256F9">
      <w:pPr>
        <w:jc w:val="both"/>
        <w:rPr>
          <w:sz w:val="24"/>
        </w:rPr>
      </w:pPr>
      <w:r w:rsidRPr="00DE3FE7">
        <w:rPr>
          <w:b/>
          <w:sz w:val="24"/>
        </w:rPr>
        <w:t>Descripción.</w:t>
      </w:r>
      <w:r w:rsidRPr="00DE3FE7">
        <w:rPr>
          <w:sz w:val="24"/>
        </w:rPr>
        <w:t xml:space="preserve"> Los funcionarios </w:t>
      </w:r>
      <w:r w:rsidR="00F61B28">
        <w:rPr>
          <w:sz w:val="24"/>
        </w:rPr>
        <w:t xml:space="preserve">de los </w:t>
      </w:r>
      <w:r w:rsidRPr="00DE3FE7">
        <w:rPr>
          <w:sz w:val="24"/>
        </w:rPr>
        <w:t xml:space="preserve">tres poderes están obligados a garantizar el ejercicio del DAI, así como </w:t>
      </w:r>
      <w:r w:rsidR="00F61B28">
        <w:rPr>
          <w:sz w:val="24"/>
        </w:rPr>
        <w:t>a</w:t>
      </w:r>
      <w:r w:rsidRPr="00DE3FE7">
        <w:rPr>
          <w:sz w:val="24"/>
        </w:rPr>
        <w:t xml:space="preserve"> sujetarse a las </w:t>
      </w:r>
      <w:r w:rsidRPr="00DE3FE7">
        <w:rPr>
          <w:sz w:val="24"/>
        </w:rPr>
        <w:lastRenderedPageBreak/>
        <w:t>disposiciones de las leyes de transparencia y acceso a la información. La</w:t>
      </w:r>
      <w:r w:rsidR="00F61B28">
        <w:rPr>
          <w:sz w:val="24"/>
        </w:rPr>
        <w:t>s</w:t>
      </w:r>
      <w:r w:rsidRPr="00DE3FE7">
        <w:rPr>
          <w:sz w:val="24"/>
        </w:rPr>
        <w:t xml:space="preserve"> buenas prácticas indican la necesidad de la referencia expl</w:t>
      </w:r>
      <w:r w:rsidR="00F61B28">
        <w:rPr>
          <w:sz w:val="24"/>
        </w:rPr>
        <w:t>í</w:t>
      </w:r>
      <w:r w:rsidRPr="00DE3FE7">
        <w:rPr>
          <w:sz w:val="24"/>
        </w:rPr>
        <w:t xml:space="preserve">cita </w:t>
      </w:r>
      <w:r w:rsidR="00F61B28">
        <w:rPr>
          <w:sz w:val="24"/>
        </w:rPr>
        <w:t xml:space="preserve">de estos sujetos </w:t>
      </w:r>
      <w:r w:rsidRPr="00DE3FE7">
        <w:rPr>
          <w:sz w:val="24"/>
        </w:rPr>
        <w:t>en el marco legal para lograr</w:t>
      </w:r>
      <w:r w:rsidR="00F61B28">
        <w:rPr>
          <w:sz w:val="24"/>
        </w:rPr>
        <w:t xml:space="preserve"> la</w:t>
      </w:r>
      <w:r w:rsidRPr="00DE3FE7">
        <w:rPr>
          <w:sz w:val="24"/>
        </w:rPr>
        <w:t xml:space="preserve"> aplicabilidad en los tres poderes.</w:t>
      </w:r>
    </w:p>
    <w:p w14:paraId="27925319" w14:textId="0121669E" w:rsidR="001256F9" w:rsidRPr="00DE3FE7" w:rsidRDefault="001256F9" w:rsidP="00D475F5">
      <w:pPr>
        <w:pBdr>
          <w:bottom w:val="single" w:sz="4" w:space="1" w:color="auto"/>
        </w:pBdr>
        <w:jc w:val="both"/>
        <w:rPr>
          <w:sz w:val="24"/>
        </w:rPr>
      </w:pPr>
      <w:r w:rsidRPr="00DE3FE7">
        <w:rPr>
          <w:b/>
          <w:sz w:val="24"/>
        </w:rPr>
        <w:t xml:space="preserve">Calificación. </w:t>
      </w:r>
      <w:r w:rsidR="00F61B28" w:rsidRPr="00D475F5">
        <w:rPr>
          <w:sz w:val="24"/>
        </w:rPr>
        <w:t>El</w:t>
      </w:r>
      <w:r w:rsidR="00F61B28">
        <w:rPr>
          <w:b/>
          <w:sz w:val="24"/>
        </w:rPr>
        <w:t xml:space="preserve"> </w:t>
      </w:r>
      <w:r w:rsidR="00F61B28">
        <w:rPr>
          <w:sz w:val="24"/>
        </w:rPr>
        <w:t>m</w:t>
      </w:r>
      <w:r w:rsidRPr="00DE3FE7">
        <w:rPr>
          <w:sz w:val="24"/>
        </w:rPr>
        <w:t xml:space="preserve">arco legal señala explícitamente como </w:t>
      </w:r>
      <w:r w:rsidR="00832F8F">
        <w:rPr>
          <w:sz w:val="24"/>
        </w:rPr>
        <w:t>sujetos obligados</w:t>
      </w:r>
      <w:r w:rsidR="00832F8F" w:rsidRPr="00DE3FE7">
        <w:rPr>
          <w:sz w:val="24"/>
        </w:rPr>
        <w:t xml:space="preserve"> </w:t>
      </w:r>
      <w:r w:rsidRPr="00DE3FE7">
        <w:rPr>
          <w:sz w:val="24"/>
        </w:rPr>
        <w:t>de la ley a los tres poderes públicos federal</w:t>
      </w:r>
      <w:r w:rsidR="00F61B28">
        <w:rPr>
          <w:sz w:val="24"/>
        </w:rPr>
        <w:t>es</w:t>
      </w:r>
      <w:r w:rsidRPr="00DE3FE7">
        <w:rPr>
          <w:sz w:val="24"/>
        </w:rPr>
        <w:t xml:space="preserve"> y locales</w:t>
      </w:r>
      <w:r w:rsidR="00F0647C">
        <w:rPr>
          <w:sz w:val="24"/>
        </w:rPr>
        <w:t>, así como a sus operadores</w:t>
      </w:r>
      <w:r w:rsidRPr="00DE3FE7">
        <w:rPr>
          <w:sz w:val="24"/>
        </w:rPr>
        <w:t>.</w:t>
      </w:r>
    </w:p>
    <w:p w14:paraId="338A9EF4" w14:textId="2759532C" w:rsidR="001256F9" w:rsidRPr="00DE3FE7" w:rsidRDefault="001256F9" w:rsidP="001256F9">
      <w:pPr>
        <w:pStyle w:val="Ttulo1"/>
        <w:numPr>
          <w:ilvl w:val="1"/>
          <w:numId w:val="2"/>
        </w:numPr>
        <w:ind w:left="709" w:hanging="425"/>
        <w:rPr>
          <w:b w:val="0"/>
        </w:rPr>
      </w:pPr>
      <w:r w:rsidRPr="00DE3FE7">
        <w:t>Otros entes públicos</w:t>
      </w:r>
    </w:p>
    <w:p w14:paraId="6800CB4F" w14:textId="0A2D295A" w:rsidR="001256F9" w:rsidRDefault="001256F9" w:rsidP="001256F9">
      <w:pPr>
        <w:jc w:val="both"/>
        <w:rPr>
          <w:sz w:val="24"/>
        </w:rPr>
      </w:pPr>
      <w:r w:rsidRPr="00DE3FE7">
        <w:rPr>
          <w:b/>
          <w:sz w:val="24"/>
        </w:rPr>
        <w:t>Descripción.</w:t>
      </w:r>
      <w:r w:rsidRPr="00DE3FE7">
        <w:rPr>
          <w:sz w:val="24"/>
        </w:rPr>
        <w:t xml:space="preserve"> El Estado cuenta con instituciones</w:t>
      </w:r>
      <w:r w:rsidR="004B357D">
        <w:rPr>
          <w:sz w:val="24"/>
        </w:rPr>
        <w:t xml:space="preserve"> y</w:t>
      </w:r>
      <w:r w:rsidRPr="00DE3FE7">
        <w:rPr>
          <w:sz w:val="24"/>
        </w:rPr>
        <w:t xml:space="preserve"> organismos públicos con autonomía y patrimonio propio que requieren ser considerados explícitamente </w:t>
      </w:r>
      <w:r w:rsidR="004B357D">
        <w:rPr>
          <w:sz w:val="24"/>
        </w:rPr>
        <w:t xml:space="preserve">como sujetos obligados </w:t>
      </w:r>
      <w:r w:rsidRPr="00DE3FE7">
        <w:rPr>
          <w:sz w:val="24"/>
        </w:rPr>
        <w:t>dentro del marco legal de transparencia debido a la información pública que manejan y la protección del interés público.</w:t>
      </w:r>
    </w:p>
    <w:p w14:paraId="7DBE5197" w14:textId="56B3593F" w:rsidR="00CF390D" w:rsidRPr="00DE3FE7" w:rsidRDefault="00CF390D" w:rsidP="00CF390D">
      <w:pPr>
        <w:pBdr>
          <w:bottom w:val="single" w:sz="4" w:space="1" w:color="auto"/>
        </w:pBdr>
        <w:jc w:val="both"/>
        <w:rPr>
          <w:sz w:val="24"/>
        </w:rPr>
      </w:pPr>
      <w:r w:rsidRPr="00DE3FE7">
        <w:rPr>
          <w:b/>
          <w:sz w:val="24"/>
        </w:rPr>
        <w:t xml:space="preserve">Calificación. </w:t>
      </w:r>
      <w:r w:rsidRPr="00D475F5">
        <w:rPr>
          <w:sz w:val="24"/>
        </w:rPr>
        <w:t>El</w:t>
      </w:r>
      <w:r>
        <w:rPr>
          <w:b/>
          <w:sz w:val="24"/>
        </w:rPr>
        <w:t xml:space="preserve"> </w:t>
      </w:r>
      <w:r>
        <w:rPr>
          <w:sz w:val="24"/>
        </w:rPr>
        <w:t>m</w:t>
      </w:r>
      <w:r w:rsidRPr="00DE3FE7">
        <w:rPr>
          <w:sz w:val="24"/>
        </w:rPr>
        <w:t xml:space="preserve">arco legal señala explícitamente como </w:t>
      </w:r>
      <w:r>
        <w:rPr>
          <w:sz w:val="24"/>
        </w:rPr>
        <w:t>sujetos obligados</w:t>
      </w:r>
      <w:r w:rsidRPr="00DE3FE7">
        <w:rPr>
          <w:sz w:val="24"/>
        </w:rPr>
        <w:t xml:space="preserve"> de la ley a </w:t>
      </w:r>
      <w:r>
        <w:rPr>
          <w:sz w:val="24"/>
        </w:rPr>
        <w:t>cada uno de los sujetos obligados mencionados a continuación.</w:t>
      </w:r>
    </w:p>
    <w:p w14:paraId="0174ED40" w14:textId="77777777" w:rsidR="00CF390D" w:rsidRPr="00DE3FE7" w:rsidRDefault="00CF390D" w:rsidP="001256F9">
      <w:pPr>
        <w:jc w:val="both"/>
        <w:rPr>
          <w:sz w:val="24"/>
        </w:rPr>
      </w:pPr>
    </w:p>
    <w:p w14:paraId="26C5F29C" w14:textId="5F305FC2" w:rsidR="00AF75CB" w:rsidRPr="00AF75CB" w:rsidRDefault="001256F9" w:rsidP="00FC0ABC">
      <w:pPr>
        <w:pStyle w:val="Ttulo1"/>
      </w:pPr>
      <w:r w:rsidRPr="00917F81">
        <w:t>Criterio 15:</w:t>
      </w:r>
      <w:r w:rsidRPr="00D61C53">
        <w:t xml:space="preserve"> </w:t>
      </w:r>
      <w:r w:rsidR="00D61C53" w:rsidRPr="00EC3482">
        <w:t>Fideicomisos</w:t>
      </w:r>
      <w:r w:rsidR="00D61C53" w:rsidRPr="00917F81">
        <w:t xml:space="preserve"> c</w:t>
      </w:r>
      <w:r w:rsidRPr="00917F81">
        <w:t>on financiamiento público parcial o total y/o con participación de funcionarios de gobierno</w:t>
      </w:r>
    </w:p>
    <w:p w14:paraId="2BF90E8C" w14:textId="2D0283F9" w:rsidR="001256F9" w:rsidRPr="00DE3FE7" w:rsidRDefault="001256F9" w:rsidP="001256F9">
      <w:pPr>
        <w:jc w:val="both"/>
        <w:rPr>
          <w:sz w:val="24"/>
        </w:rPr>
      </w:pPr>
      <w:r w:rsidRPr="00DE3FE7">
        <w:rPr>
          <w:b/>
          <w:sz w:val="24"/>
        </w:rPr>
        <w:t xml:space="preserve">Descripción. </w:t>
      </w:r>
      <w:r w:rsidRPr="00DE3FE7">
        <w:rPr>
          <w:sz w:val="24"/>
        </w:rPr>
        <w:t>Un fideicomiso es una figura jurídica mediante la cual una persona física o moral</w:t>
      </w:r>
      <w:r w:rsidR="00FC570D">
        <w:rPr>
          <w:sz w:val="24"/>
        </w:rPr>
        <w:t xml:space="preserve"> </w:t>
      </w:r>
      <w:r w:rsidRPr="00DE3FE7">
        <w:rPr>
          <w:sz w:val="24"/>
        </w:rPr>
        <w:t>(fideicomitente) encarga el cumplimiento de una actividad a un fideicomisario a través de una institución fiduciaria.</w:t>
      </w:r>
    </w:p>
    <w:p w14:paraId="0CAFD2E0" w14:textId="68F8A1F0" w:rsidR="001256F9" w:rsidRPr="00DE3FE7" w:rsidRDefault="001256F9" w:rsidP="00B5328C">
      <w:pPr>
        <w:pBdr>
          <w:bottom w:val="single" w:sz="4" w:space="1" w:color="auto"/>
        </w:pBdr>
        <w:jc w:val="both"/>
        <w:rPr>
          <w:sz w:val="24"/>
        </w:rPr>
      </w:pPr>
      <w:r w:rsidRPr="00DE3FE7">
        <w:rPr>
          <w:sz w:val="24"/>
        </w:rPr>
        <w:t>Cuando esta figura se constituye en el ámbito público intervienen en su conformación autoridades públicas</w:t>
      </w:r>
      <w:r w:rsidR="00D61C53">
        <w:rPr>
          <w:sz w:val="24"/>
        </w:rPr>
        <w:t>,</w:t>
      </w:r>
      <w:r w:rsidRPr="00DE3FE7">
        <w:rPr>
          <w:sz w:val="24"/>
        </w:rPr>
        <w:t xml:space="preserve"> las cuales reciben recursos provenientes del erario público, además de que el fin último de su constitución es en principio de interés ciudadano. Aún con la afluencia de recursos privados, si las autoridades partícipes son públicas y, sobre todo, si el objetivo del fideicomiso obedece a la satisfacción de un bien o servicio público, es pertinente considerar que la información generada en el mismo debe ser de conocimiento público.</w:t>
      </w:r>
    </w:p>
    <w:p w14:paraId="50398FD3" w14:textId="6E9EF7B6" w:rsidR="001256F9" w:rsidRPr="00EC3482" w:rsidRDefault="00C76D73" w:rsidP="00FC0ABC">
      <w:pPr>
        <w:pStyle w:val="Ttulo1"/>
      </w:pPr>
      <w:r>
        <w:lastRenderedPageBreak/>
        <w:t>Criterio 16</w:t>
      </w:r>
      <w:r w:rsidR="001256F9" w:rsidRPr="00EC3482">
        <w:t>:</w:t>
      </w:r>
      <w:r w:rsidR="001256F9" w:rsidRPr="00D61C53">
        <w:t xml:space="preserve"> </w:t>
      </w:r>
      <w:r w:rsidR="001256F9" w:rsidRPr="00EC3482">
        <w:t>Órgano de Fiscalización Superior del Estado</w:t>
      </w:r>
    </w:p>
    <w:p w14:paraId="4B4F7130" w14:textId="284A9341" w:rsidR="001256F9" w:rsidRPr="00DE3FE7" w:rsidRDefault="001256F9" w:rsidP="00BB79E1">
      <w:pPr>
        <w:jc w:val="both"/>
        <w:rPr>
          <w:sz w:val="24"/>
        </w:rPr>
      </w:pPr>
      <w:r w:rsidRPr="00DE3FE7">
        <w:rPr>
          <w:b/>
          <w:sz w:val="24"/>
        </w:rPr>
        <w:t>Descripción.</w:t>
      </w:r>
      <w:r w:rsidRPr="00DE3FE7">
        <w:rPr>
          <w:sz w:val="24"/>
        </w:rPr>
        <w:t xml:space="preserve"> Cumple la función de fiscalizar</w:t>
      </w:r>
      <w:r w:rsidR="00D61C53">
        <w:rPr>
          <w:sz w:val="24"/>
        </w:rPr>
        <w:t>,</w:t>
      </w:r>
      <w:r w:rsidRPr="00DE3FE7">
        <w:rPr>
          <w:sz w:val="24"/>
        </w:rPr>
        <w:t xml:space="preserve"> </w:t>
      </w:r>
      <w:r w:rsidR="00D61C53" w:rsidRPr="00DE3FE7">
        <w:rPr>
          <w:sz w:val="24"/>
        </w:rPr>
        <w:t>a través de la revisión de la cuenta pública mediante auditorías</w:t>
      </w:r>
      <w:r w:rsidR="00D61C53">
        <w:rPr>
          <w:sz w:val="24"/>
        </w:rPr>
        <w:t>,</w:t>
      </w:r>
      <w:r w:rsidR="00D61C53" w:rsidRPr="00DE3FE7">
        <w:rPr>
          <w:sz w:val="24"/>
        </w:rPr>
        <w:t xml:space="preserve"> </w:t>
      </w:r>
      <w:r w:rsidRPr="00DE3FE7">
        <w:rPr>
          <w:sz w:val="24"/>
        </w:rPr>
        <w:t>el uso y destino de los recursos ejercidos</w:t>
      </w:r>
      <w:r w:rsidR="00D61C53">
        <w:rPr>
          <w:sz w:val="24"/>
        </w:rPr>
        <w:t>.</w:t>
      </w:r>
      <w:r w:rsidRPr="00DE3FE7">
        <w:rPr>
          <w:sz w:val="24"/>
        </w:rPr>
        <w:t xml:space="preserve"> </w:t>
      </w:r>
      <w:r w:rsidR="00D61C53" w:rsidRPr="00DE3FE7">
        <w:rPr>
          <w:sz w:val="24"/>
        </w:rPr>
        <w:t>S</w:t>
      </w:r>
      <w:r w:rsidRPr="00DE3FE7">
        <w:rPr>
          <w:sz w:val="24"/>
        </w:rPr>
        <w:t xml:space="preserve">us resultados </w:t>
      </w:r>
      <w:r w:rsidR="00D61C53">
        <w:rPr>
          <w:sz w:val="24"/>
        </w:rPr>
        <w:t>s</w:t>
      </w:r>
      <w:r w:rsidRPr="00DE3FE7">
        <w:rPr>
          <w:sz w:val="24"/>
        </w:rPr>
        <w:t>on presentados ante la cámara de diputados.</w:t>
      </w:r>
    </w:p>
    <w:p w14:paraId="41B6089E" w14:textId="1FFECE72" w:rsidR="001256F9" w:rsidRPr="00917F81" w:rsidRDefault="00BB79E1" w:rsidP="00FC0ABC">
      <w:pPr>
        <w:pStyle w:val="Ttulo1"/>
      </w:pPr>
      <w:r>
        <w:t>Criterio 17</w:t>
      </w:r>
      <w:r w:rsidR="001256F9" w:rsidRPr="00EC3482">
        <w:t>:</w:t>
      </w:r>
      <w:r w:rsidR="001256F9" w:rsidRPr="00D61C53">
        <w:t xml:space="preserve"> </w:t>
      </w:r>
      <w:r w:rsidR="001256F9" w:rsidRPr="00EC3482">
        <w:t>Órganos públicos autónomos del poder ejecutivo, legislativo y judicial</w:t>
      </w:r>
    </w:p>
    <w:p w14:paraId="7F75687E" w14:textId="786BB082" w:rsidR="001256F9" w:rsidRPr="00DE3FE7" w:rsidRDefault="001256F9" w:rsidP="001256F9">
      <w:pPr>
        <w:jc w:val="both"/>
        <w:rPr>
          <w:sz w:val="24"/>
        </w:rPr>
      </w:pPr>
      <w:r w:rsidRPr="00DE3FE7">
        <w:rPr>
          <w:b/>
          <w:sz w:val="24"/>
        </w:rPr>
        <w:t>Descripción.</w:t>
      </w:r>
      <w:r w:rsidRPr="00DE3FE7">
        <w:rPr>
          <w:sz w:val="24"/>
        </w:rPr>
        <w:t xml:space="preserve"> Dotados de autonomía presupuestal, funcional, de gestión, patrimonio propio y decisión plena en la materia que les corresponde. Pueden crearse desde la </w:t>
      </w:r>
      <w:r w:rsidR="00D61C53">
        <w:rPr>
          <w:sz w:val="24"/>
        </w:rPr>
        <w:t>C</w:t>
      </w:r>
      <w:r w:rsidRPr="00DE3FE7">
        <w:rPr>
          <w:sz w:val="24"/>
        </w:rPr>
        <w:t xml:space="preserve">onstitución o por ley. </w:t>
      </w:r>
    </w:p>
    <w:p w14:paraId="56369478" w14:textId="50211F23" w:rsidR="001256F9" w:rsidRPr="00EC3482" w:rsidRDefault="00BB79E1" w:rsidP="00FC0ABC">
      <w:pPr>
        <w:pStyle w:val="Ttulo1"/>
      </w:pPr>
      <w:r>
        <w:t>Criterio 18</w:t>
      </w:r>
      <w:r w:rsidR="001256F9" w:rsidRPr="00EC3482">
        <w:t>:</w:t>
      </w:r>
      <w:r w:rsidR="001256F9" w:rsidRPr="00D61C53">
        <w:t xml:space="preserve"> </w:t>
      </w:r>
      <w:r w:rsidR="001256F9" w:rsidRPr="00EC3482">
        <w:t>Órganos descentralizados</w:t>
      </w:r>
    </w:p>
    <w:p w14:paraId="06EAB29D" w14:textId="77777777" w:rsidR="001256F9" w:rsidRPr="00DE3FE7" w:rsidRDefault="001256F9" w:rsidP="001256F9">
      <w:pPr>
        <w:jc w:val="both"/>
        <w:rPr>
          <w:sz w:val="24"/>
        </w:rPr>
      </w:pPr>
      <w:r w:rsidRPr="00DE3FE7">
        <w:rPr>
          <w:b/>
          <w:sz w:val="24"/>
        </w:rPr>
        <w:t>Descripción.</w:t>
      </w:r>
      <w:r w:rsidRPr="00DE3FE7">
        <w:rPr>
          <w:sz w:val="24"/>
        </w:rPr>
        <w:t xml:space="preserve"> Ley Orgánica de la Administración Pública Federal define a los organismos descentralizados como:</w:t>
      </w:r>
    </w:p>
    <w:p w14:paraId="74D2DD8A" w14:textId="77777777" w:rsidR="001256F9" w:rsidRPr="00DE3FE7" w:rsidRDefault="001256F9" w:rsidP="0003055E">
      <w:pPr>
        <w:ind w:left="2694" w:right="758"/>
        <w:jc w:val="both"/>
      </w:pPr>
      <w:r w:rsidRPr="00DE3FE7">
        <w:t>Artículo 45</w:t>
      </w:r>
    </w:p>
    <w:p w14:paraId="5889F34A" w14:textId="77777777" w:rsidR="001256F9" w:rsidRPr="00DE3FE7" w:rsidRDefault="001256F9" w:rsidP="0003055E">
      <w:pPr>
        <w:ind w:left="2694" w:right="758"/>
        <w:jc w:val="both"/>
      </w:pPr>
      <w:r w:rsidRPr="00DE3FE7">
        <w:t xml:space="preserve"> “… entidades creadas por ley o decreto del Congreso de la Unión o por decreto del Ejecutivo Federal, con personalidad jurídica y patrimonio propio, cualquiera que sea la estructura legal que adopten.”</w:t>
      </w:r>
    </w:p>
    <w:p w14:paraId="3F4736F9" w14:textId="20489B54" w:rsidR="001256F9" w:rsidRPr="00EC3482" w:rsidRDefault="00BB79E1" w:rsidP="00FC0ABC">
      <w:pPr>
        <w:pStyle w:val="Ttulo1"/>
      </w:pPr>
      <w:r>
        <w:t>Criterio 19</w:t>
      </w:r>
      <w:r w:rsidR="001256F9" w:rsidRPr="00EC3482">
        <w:t>:</w:t>
      </w:r>
      <w:r w:rsidR="001256F9" w:rsidRPr="00D61C53">
        <w:t xml:space="preserve"> </w:t>
      </w:r>
      <w:r w:rsidR="001256F9" w:rsidRPr="00EC3482">
        <w:t>Organismos Paraestatales</w:t>
      </w:r>
    </w:p>
    <w:p w14:paraId="2A14C72C" w14:textId="05E93C5A" w:rsidR="001256F9" w:rsidRDefault="001256F9" w:rsidP="001256F9">
      <w:pPr>
        <w:jc w:val="both"/>
        <w:rPr>
          <w:sz w:val="24"/>
        </w:rPr>
      </w:pPr>
      <w:r w:rsidRPr="00DE3FE7">
        <w:rPr>
          <w:b/>
          <w:sz w:val="24"/>
        </w:rPr>
        <w:t>Descripción.</w:t>
      </w:r>
      <w:r w:rsidRPr="00DE3FE7">
        <w:rPr>
          <w:sz w:val="24"/>
        </w:rPr>
        <w:t xml:space="preserve"> La mención expresa de los organismos paraestatales se debe entender como aquellas empresas con participación estatal mayoritaria, sociedades civiles, así como las asociaciones civiles en las que la mayoría de los asociados sean dependencias o entidades de la administración pública federal o servidores públicos que en razón de sus cargos ocupen lugar en la administración de alguna de las 195 dependencias reconocidas por ley</w:t>
      </w:r>
      <w:r w:rsidRPr="00DE3FE7">
        <w:rPr>
          <w:rStyle w:val="Refdenotaalpie"/>
          <w:sz w:val="24"/>
        </w:rPr>
        <w:footnoteReference w:id="7"/>
      </w:r>
      <w:r w:rsidRPr="00DE3FE7">
        <w:rPr>
          <w:sz w:val="24"/>
        </w:rPr>
        <w:t xml:space="preserve"> y/o </w:t>
      </w:r>
      <w:r w:rsidR="00D61C53">
        <w:rPr>
          <w:sz w:val="24"/>
        </w:rPr>
        <w:t xml:space="preserve">que </w:t>
      </w:r>
      <w:r w:rsidRPr="00DE3FE7">
        <w:rPr>
          <w:sz w:val="24"/>
        </w:rPr>
        <w:t xml:space="preserve">realicen aportaciones con fondos públicos en términos de la Ley Federal de Organismos Paraestatales y, particularmente, </w:t>
      </w:r>
      <w:r w:rsidR="00D61C53">
        <w:rPr>
          <w:sz w:val="24"/>
        </w:rPr>
        <w:t>l</w:t>
      </w:r>
      <w:r w:rsidRPr="00DE3FE7">
        <w:rPr>
          <w:sz w:val="24"/>
        </w:rPr>
        <w:t xml:space="preserve">a Ley Orgánica de la Administración Pública Federal que señala: </w:t>
      </w:r>
    </w:p>
    <w:p w14:paraId="30C0AC63" w14:textId="77777777" w:rsidR="00106D1D" w:rsidRPr="00DE3FE7" w:rsidRDefault="00106D1D" w:rsidP="001256F9">
      <w:pPr>
        <w:jc w:val="both"/>
        <w:rPr>
          <w:sz w:val="24"/>
        </w:rPr>
      </w:pPr>
    </w:p>
    <w:p w14:paraId="7A29BF38" w14:textId="77777777" w:rsidR="001256F9" w:rsidRPr="00DE3FE7" w:rsidRDefault="001256F9" w:rsidP="00106D1D">
      <w:pPr>
        <w:ind w:left="2268" w:right="758"/>
        <w:jc w:val="both"/>
      </w:pPr>
      <w:r w:rsidRPr="00DE3FE7">
        <w:lastRenderedPageBreak/>
        <w:t>Artículo 46.</w:t>
      </w:r>
    </w:p>
    <w:p w14:paraId="2E99B830" w14:textId="77777777" w:rsidR="001256F9" w:rsidRPr="00DE3FE7" w:rsidRDefault="001256F9" w:rsidP="00106D1D">
      <w:pPr>
        <w:ind w:left="2268" w:right="758"/>
        <w:jc w:val="both"/>
      </w:pPr>
      <w:r w:rsidRPr="00DE3FE7">
        <w:t xml:space="preserve">Son empresas de participación estatal mayoritaria las siguientes: </w:t>
      </w:r>
    </w:p>
    <w:p w14:paraId="5A3BD231" w14:textId="77777777" w:rsidR="001256F9" w:rsidRPr="00DE3FE7" w:rsidRDefault="001256F9" w:rsidP="00106D1D">
      <w:pPr>
        <w:ind w:left="2268" w:right="758"/>
        <w:jc w:val="both"/>
      </w:pPr>
      <w:r w:rsidRPr="00DE3FE7">
        <w:t>I.- Las sociedades de crédito constituidas (…</w:t>
      </w:r>
      <w:proofErr w:type="gramStart"/>
      <w:r w:rsidRPr="00DE3FE7">
        <w:t>.)</w:t>
      </w:r>
      <w:proofErr w:type="gramEnd"/>
      <w:r w:rsidRPr="00DE3FE7">
        <w:t>;</w:t>
      </w:r>
    </w:p>
    <w:p w14:paraId="43FB89F4" w14:textId="77777777" w:rsidR="001256F9" w:rsidRPr="00DE3FE7" w:rsidRDefault="001256F9" w:rsidP="00106D1D">
      <w:pPr>
        <w:ind w:left="2268" w:right="758"/>
        <w:jc w:val="both"/>
      </w:pPr>
      <w:r w:rsidRPr="00DE3FE7">
        <w:t>II.- Las sociedades de cualquier otra naturaleza incluyendo las organizaciones auxiliares de crédito; así como las instituciones de seguros y fianzas, en que se satisfagan alguno o varios de los siguientes requisitos:</w:t>
      </w:r>
    </w:p>
    <w:p w14:paraId="23E81B8D" w14:textId="77777777" w:rsidR="001256F9" w:rsidRPr="00DE3FE7" w:rsidRDefault="001256F9" w:rsidP="00106D1D">
      <w:pPr>
        <w:ind w:left="2268" w:right="758"/>
        <w:jc w:val="both"/>
      </w:pPr>
      <w:r w:rsidRPr="00DE3FE7">
        <w:t>Que el Gobierno federal o una o más entidades paraestatales, conjunta o separadamente, aporten o sean propietarios de más de 50% del capital social.</w:t>
      </w:r>
    </w:p>
    <w:p w14:paraId="1A75B5C2" w14:textId="77777777" w:rsidR="001256F9" w:rsidRPr="00DE3FE7" w:rsidRDefault="001256F9" w:rsidP="00106D1D">
      <w:pPr>
        <w:ind w:left="2268" w:right="758"/>
        <w:jc w:val="both"/>
      </w:pPr>
      <w:r w:rsidRPr="00DE3FE7">
        <w:t>Que la constitución de su capital se hagan figurar títulos representativos de capital social de serie especial que sólo puedan ser suscritas por el Gobierno federal; o</w:t>
      </w:r>
    </w:p>
    <w:p w14:paraId="30CA9C88" w14:textId="77777777" w:rsidR="001256F9" w:rsidRPr="00DE3FE7" w:rsidRDefault="001256F9" w:rsidP="00106D1D">
      <w:pPr>
        <w:ind w:left="2268" w:right="758"/>
        <w:jc w:val="both"/>
      </w:pPr>
      <w:r w:rsidRPr="00DE3FE7">
        <w:t>Que el Gobierno Federal corresponda la facultad de nombrar a la mayoría de los miembros del órgano de gobierno o su equivalente, o bien designar al presidente o director general, o cuando tenga facultades para vetar los acuerdos del propio órgano de gobierno.</w:t>
      </w:r>
    </w:p>
    <w:p w14:paraId="2DBDC6F7" w14:textId="1D1C0E5E" w:rsidR="001256F9" w:rsidRPr="00DE3FE7" w:rsidRDefault="00BB79E1" w:rsidP="00BB79E1">
      <w:pPr>
        <w:pStyle w:val="Ttulo1"/>
      </w:pPr>
      <w:r>
        <w:t>Criterio 20</w:t>
      </w:r>
      <w:r w:rsidR="001256F9" w:rsidRPr="00EC3482">
        <w:t>:</w:t>
      </w:r>
      <w:r w:rsidR="001256F9" w:rsidRPr="00D61C53">
        <w:t xml:space="preserve"> </w:t>
      </w:r>
      <w:r w:rsidR="001256F9" w:rsidRPr="00DE3FE7">
        <w:t>Universidades Públicas</w:t>
      </w:r>
    </w:p>
    <w:p w14:paraId="1F6AF22D" w14:textId="67E88EA0" w:rsidR="001256F9" w:rsidRPr="00DE3FE7" w:rsidRDefault="001256F9" w:rsidP="001256F9">
      <w:pPr>
        <w:jc w:val="both"/>
        <w:rPr>
          <w:sz w:val="24"/>
        </w:rPr>
      </w:pPr>
      <w:r w:rsidRPr="00DE3FE7">
        <w:rPr>
          <w:b/>
          <w:sz w:val="24"/>
        </w:rPr>
        <w:t xml:space="preserve">Descripción. </w:t>
      </w:r>
      <w:r w:rsidRPr="00DE3FE7">
        <w:rPr>
          <w:sz w:val="24"/>
        </w:rPr>
        <w:t>Las instituciones públicas de educación superior son aquellas que desempeñ</w:t>
      </w:r>
      <w:r w:rsidR="00D61C53">
        <w:rPr>
          <w:sz w:val="24"/>
        </w:rPr>
        <w:t>a</w:t>
      </w:r>
      <w:r w:rsidRPr="00DE3FE7">
        <w:rPr>
          <w:sz w:val="24"/>
        </w:rPr>
        <w:t xml:space="preserve">n actividades educativas mediante el ejercicio de recursos públicos. Su mención expresa </w:t>
      </w:r>
      <w:r w:rsidR="00D61C53">
        <w:rPr>
          <w:sz w:val="24"/>
        </w:rPr>
        <w:t xml:space="preserve">como sujetos obligados </w:t>
      </w:r>
      <w:r w:rsidRPr="00DE3FE7">
        <w:rPr>
          <w:sz w:val="24"/>
        </w:rPr>
        <w:t xml:space="preserve">en la ley de transparencia, junto con </w:t>
      </w:r>
      <w:r w:rsidR="00D61C53">
        <w:rPr>
          <w:sz w:val="24"/>
        </w:rPr>
        <w:t xml:space="preserve">su </w:t>
      </w:r>
      <w:r w:rsidRPr="00DE3FE7">
        <w:rPr>
          <w:sz w:val="24"/>
        </w:rPr>
        <w:t>incorpora</w:t>
      </w:r>
      <w:r w:rsidR="00D61C53">
        <w:rPr>
          <w:sz w:val="24"/>
        </w:rPr>
        <w:t xml:space="preserve">ción </w:t>
      </w:r>
      <w:r w:rsidRPr="00DE3FE7">
        <w:rPr>
          <w:sz w:val="24"/>
        </w:rPr>
        <w:t>a la cultura de la transparencia e</w:t>
      </w:r>
      <w:r w:rsidR="00D61C53">
        <w:rPr>
          <w:sz w:val="24"/>
        </w:rPr>
        <w:t>n</w:t>
      </w:r>
      <w:r w:rsidRPr="00DE3FE7">
        <w:rPr>
          <w:sz w:val="24"/>
        </w:rPr>
        <w:t xml:space="preserve"> el ejercicio de recursos públicos </w:t>
      </w:r>
      <w:r w:rsidR="00D61C53">
        <w:rPr>
          <w:sz w:val="24"/>
        </w:rPr>
        <w:t>se</w:t>
      </w:r>
      <w:r w:rsidRPr="00DE3FE7">
        <w:rPr>
          <w:sz w:val="24"/>
        </w:rPr>
        <w:t xml:space="preserve"> deriva</w:t>
      </w:r>
      <w:r w:rsidR="00D61C53">
        <w:rPr>
          <w:sz w:val="24"/>
        </w:rPr>
        <w:t xml:space="preserve"> de</w:t>
      </w:r>
      <w:r w:rsidRPr="00DE3FE7">
        <w:rPr>
          <w:sz w:val="24"/>
        </w:rPr>
        <w:t xml:space="preserve"> su función como garantes del derecho fundamental a la educación.</w:t>
      </w:r>
    </w:p>
    <w:p w14:paraId="64D959F3" w14:textId="0366A7AC" w:rsidR="001256F9" w:rsidRPr="001F5E84" w:rsidRDefault="00AF2E34" w:rsidP="00FC0ABC">
      <w:pPr>
        <w:pStyle w:val="Ttulo1"/>
      </w:pPr>
      <w:r>
        <w:t>Criterio 21</w:t>
      </w:r>
      <w:r w:rsidR="001256F9" w:rsidRPr="00AA3E95">
        <w:t>: Partidos Políticos de manera directa</w:t>
      </w:r>
    </w:p>
    <w:p w14:paraId="59D51546" w14:textId="055746CE" w:rsidR="001256F9" w:rsidRPr="00DE3FE7" w:rsidRDefault="001256F9" w:rsidP="001256F9">
      <w:pPr>
        <w:jc w:val="both"/>
        <w:rPr>
          <w:sz w:val="24"/>
        </w:rPr>
      </w:pPr>
      <w:r w:rsidRPr="00DE3FE7">
        <w:rPr>
          <w:b/>
          <w:sz w:val="24"/>
        </w:rPr>
        <w:t xml:space="preserve">Descripción. </w:t>
      </w:r>
      <w:r w:rsidRPr="00DE3FE7">
        <w:rPr>
          <w:sz w:val="24"/>
        </w:rPr>
        <w:t>El sistema de partidos políticos en México se establece desde la Constitución Política en el artículo 41</w:t>
      </w:r>
      <w:r w:rsidR="00167A54">
        <w:rPr>
          <w:sz w:val="24"/>
        </w:rPr>
        <w:t>,</w:t>
      </w:r>
      <w:r w:rsidRPr="00DE3FE7">
        <w:rPr>
          <w:sz w:val="24"/>
        </w:rPr>
        <w:t xml:space="preserve"> que l</w:t>
      </w:r>
      <w:r w:rsidR="00167A54">
        <w:rPr>
          <w:sz w:val="24"/>
        </w:rPr>
        <w:t>o</w:t>
      </w:r>
      <w:r w:rsidRPr="00DE3FE7">
        <w:rPr>
          <w:sz w:val="24"/>
        </w:rPr>
        <w:t xml:space="preserve">s define como entidades de interés público </w:t>
      </w:r>
      <w:r w:rsidR="00167A54">
        <w:rPr>
          <w:sz w:val="24"/>
        </w:rPr>
        <w:t>que</w:t>
      </w:r>
      <w:r w:rsidRPr="00DE3FE7">
        <w:rPr>
          <w:sz w:val="24"/>
        </w:rPr>
        <w:t xml:space="preserve"> forman parte del engranaje institucional democrático para acceder al poder de manera ordenada.</w:t>
      </w:r>
      <w:r w:rsidR="00167A54">
        <w:rPr>
          <w:sz w:val="24"/>
        </w:rPr>
        <w:t xml:space="preserve"> T</w:t>
      </w:r>
      <w:r w:rsidRPr="00DE3FE7">
        <w:rPr>
          <w:sz w:val="24"/>
        </w:rPr>
        <w:t xml:space="preserve">ienen como mandato promover la participación de la población en los temas de interés público. Los partidos políticos son organizaciones que permiten el acceso </w:t>
      </w:r>
      <w:r w:rsidR="00167A54" w:rsidRPr="00DE3FE7">
        <w:rPr>
          <w:sz w:val="24"/>
        </w:rPr>
        <w:t xml:space="preserve">de la ciudadanía </w:t>
      </w:r>
      <w:r w:rsidRPr="00DE3FE7">
        <w:rPr>
          <w:sz w:val="24"/>
        </w:rPr>
        <w:t>al poder, median las relaciones entre sociedad y Estado y representan los intereses de la sociedad en el espacio público.</w:t>
      </w:r>
    </w:p>
    <w:p w14:paraId="5E9E09A7" w14:textId="7B86489F" w:rsidR="001256F9" w:rsidRPr="00DE3FE7" w:rsidRDefault="00A74733" w:rsidP="001256F9">
      <w:pPr>
        <w:jc w:val="both"/>
        <w:rPr>
          <w:sz w:val="24"/>
        </w:rPr>
      </w:pPr>
      <w:r>
        <w:rPr>
          <w:sz w:val="24"/>
        </w:rPr>
        <w:lastRenderedPageBreak/>
        <w:t xml:space="preserve">A los partidos </w:t>
      </w:r>
      <w:r w:rsidRPr="00DE3FE7">
        <w:rPr>
          <w:sz w:val="24"/>
        </w:rPr>
        <w:t xml:space="preserve">se </w:t>
      </w:r>
      <w:r>
        <w:rPr>
          <w:sz w:val="24"/>
        </w:rPr>
        <w:t>les asigna</w:t>
      </w:r>
      <w:r w:rsidRPr="00DE3FE7">
        <w:rPr>
          <w:sz w:val="24"/>
        </w:rPr>
        <w:t xml:space="preserve"> financiamiento público </w:t>
      </w:r>
      <w:r>
        <w:rPr>
          <w:sz w:val="24"/>
        </w:rPr>
        <w:t>p</w:t>
      </w:r>
      <w:r w:rsidR="001256F9" w:rsidRPr="00DE3FE7">
        <w:rPr>
          <w:sz w:val="24"/>
        </w:rPr>
        <w:t>ara cumplir con e</w:t>
      </w:r>
      <w:r>
        <w:rPr>
          <w:sz w:val="24"/>
        </w:rPr>
        <w:t>l</w:t>
      </w:r>
      <w:r w:rsidR="001256F9" w:rsidRPr="00DE3FE7">
        <w:rPr>
          <w:sz w:val="24"/>
        </w:rPr>
        <w:t xml:space="preserve"> fin</w:t>
      </w:r>
      <w:r>
        <w:rPr>
          <w:sz w:val="24"/>
        </w:rPr>
        <w:t xml:space="preserve"> antedicho,</w:t>
      </w:r>
      <w:r w:rsidR="00167A54">
        <w:rPr>
          <w:sz w:val="24"/>
        </w:rPr>
        <w:t xml:space="preserve"> además</w:t>
      </w:r>
      <w:r w:rsidR="001256F9" w:rsidRPr="00DE3FE7">
        <w:rPr>
          <w:sz w:val="24"/>
        </w:rPr>
        <w:t xml:space="preserve"> </w:t>
      </w:r>
      <w:r w:rsidR="00167A54">
        <w:rPr>
          <w:sz w:val="24"/>
        </w:rPr>
        <w:t>d</w:t>
      </w:r>
      <w:r w:rsidR="00167A54" w:rsidRPr="00DE3FE7">
        <w:rPr>
          <w:sz w:val="24"/>
        </w:rPr>
        <w:t xml:space="preserve">el sostenimiento de </w:t>
      </w:r>
      <w:r w:rsidR="00167A54">
        <w:rPr>
          <w:sz w:val="24"/>
        </w:rPr>
        <w:t>sus</w:t>
      </w:r>
      <w:r w:rsidR="00167A54" w:rsidRPr="00DE3FE7">
        <w:rPr>
          <w:sz w:val="24"/>
        </w:rPr>
        <w:t xml:space="preserve"> actividades ordinarias y electorales</w:t>
      </w:r>
      <w:r>
        <w:rPr>
          <w:sz w:val="24"/>
        </w:rPr>
        <w:t xml:space="preserve">; </w:t>
      </w:r>
      <w:r w:rsidR="001256F9" w:rsidRPr="00DE3FE7">
        <w:rPr>
          <w:sz w:val="24"/>
        </w:rPr>
        <w:t xml:space="preserve">en razón de ello, es indispensable su inclusión directa </w:t>
      </w:r>
      <w:r>
        <w:rPr>
          <w:sz w:val="24"/>
        </w:rPr>
        <w:t xml:space="preserve">como sujetos obligados </w:t>
      </w:r>
      <w:r w:rsidR="001256F9" w:rsidRPr="00DE3FE7">
        <w:rPr>
          <w:sz w:val="24"/>
        </w:rPr>
        <w:t>en la ley de transparencia para lograr su rendición de cuentas.</w:t>
      </w:r>
    </w:p>
    <w:p w14:paraId="6FE52E32" w14:textId="3A735525" w:rsidR="001256F9" w:rsidRPr="00FC0ABC" w:rsidRDefault="00AF2E34" w:rsidP="00FC0ABC">
      <w:pPr>
        <w:pStyle w:val="Ttulo1"/>
        <w:rPr>
          <w:rStyle w:val="Ttulodellibro"/>
        </w:rPr>
      </w:pPr>
      <w:r>
        <w:t>Criterio 22</w:t>
      </w:r>
      <w:r w:rsidR="001256F9" w:rsidRPr="00EC3482">
        <w:t>: Sindicatos cuando reciban recursos públicos</w:t>
      </w:r>
      <w:r w:rsidR="001256F9" w:rsidRPr="00FC0ABC">
        <w:rPr>
          <w:rStyle w:val="Ttulodellibro"/>
        </w:rPr>
        <w:t>.</w:t>
      </w:r>
    </w:p>
    <w:p w14:paraId="462A2EE6" w14:textId="699CE8C8" w:rsidR="001256F9" w:rsidRPr="00DE3FE7" w:rsidRDefault="001256F9" w:rsidP="001256F9">
      <w:pPr>
        <w:jc w:val="both"/>
        <w:rPr>
          <w:sz w:val="24"/>
        </w:rPr>
      </w:pPr>
      <w:r w:rsidRPr="00DE3FE7">
        <w:rPr>
          <w:b/>
          <w:sz w:val="24"/>
        </w:rPr>
        <w:t xml:space="preserve">Descripción. </w:t>
      </w:r>
      <w:r w:rsidRPr="00DE3FE7">
        <w:rPr>
          <w:sz w:val="24"/>
        </w:rPr>
        <w:t xml:space="preserve">La </w:t>
      </w:r>
      <w:r w:rsidR="00A74733">
        <w:rPr>
          <w:sz w:val="24"/>
        </w:rPr>
        <w:t>L</w:t>
      </w:r>
      <w:r w:rsidRPr="00DE3FE7">
        <w:rPr>
          <w:sz w:val="24"/>
        </w:rPr>
        <w:t>ey del trabajo en México permite acuerdos entre empleadores y sindicato</w:t>
      </w:r>
      <w:r w:rsidR="00A74733">
        <w:rPr>
          <w:sz w:val="24"/>
        </w:rPr>
        <w:t>s</w:t>
      </w:r>
      <w:r w:rsidRPr="00DE3FE7">
        <w:rPr>
          <w:sz w:val="24"/>
        </w:rPr>
        <w:t xml:space="preserve"> para el recibir, administrar y hacer uso de los recursos de forma autónoma.</w:t>
      </w:r>
    </w:p>
    <w:p w14:paraId="5B55F569" w14:textId="103FDF62" w:rsidR="001256F9" w:rsidRPr="00DE3FE7" w:rsidRDefault="001256F9" w:rsidP="001256F9">
      <w:pPr>
        <w:jc w:val="both"/>
        <w:rPr>
          <w:sz w:val="24"/>
        </w:rPr>
      </w:pPr>
      <w:r w:rsidRPr="00DE3FE7">
        <w:rPr>
          <w:sz w:val="24"/>
        </w:rPr>
        <w:t xml:space="preserve">En el caso de las instituciones públicas </w:t>
      </w:r>
      <w:r w:rsidR="006447D6">
        <w:rPr>
          <w:sz w:val="24"/>
        </w:rPr>
        <w:t>esto</w:t>
      </w:r>
      <w:r w:rsidRPr="00DE3FE7">
        <w:rPr>
          <w:sz w:val="24"/>
        </w:rPr>
        <w:t xml:space="preserve">s recursos son, en gran medida, </w:t>
      </w:r>
      <w:r w:rsidR="006447D6">
        <w:rPr>
          <w:sz w:val="24"/>
        </w:rPr>
        <w:t>de origen</w:t>
      </w:r>
      <w:r w:rsidR="006447D6" w:rsidRPr="00DE3FE7">
        <w:rPr>
          <w:sz w:val="24"/>
        </w:rPr>
        <w:t xml:space="preserve"> </w:t>
      </w:r>
      <w:r w:rsidRPr="00DE3FE7">
        <w:rPr>
          <w:sz w:val="24"/>
        </w:rPr>
        <w:t>público</w:t>
      </w:r>
      <w:r w:rsidR="006447D6">
        <w:rPr>
          <w:sz w:val="24"/>
        </w:rPr>
        <w:t xml:space="preserve">; </w:t>
      </w:r>
      <w:r w:rsidR="006447D6" w:rsidRPr="00DE3FE7">
        <w:rPr>
          <w:sz w:val="24"/>
        </w:rPr>
        <w:t xml:space="preserve">para transparentar la información referente a </w:t>
      </w:r>
      <w:r w:rsidR="006447D6">
        <w:rPr>
          <w:sz w:val="24"/>
        </w:rPr>
        <w:t>su</w:t>
      </w:r>
      <w:r w:rsidR="006447D6" w:rsidRPr="00DE3FE7">
        <w:rPr>
          <w:sz w:val="24"/>
        </w:rPr>
        <w:t xml:space="preserve"> ejecución</w:t>
      </w:r>
      <w:r w:rsidR="006447D6">
        <w:rPr>
          <w:sz w:val="24"/>
        </w:rPr>
        <w:t>, los sindicatos</w:t>
      </w:r>
      <w:r w:rsidRPr="00DE3FE7">
        <w:rPr>
          <w:sz w:val="24"/>
        </w:rPr>
        <w:t xml:space="preserve"> deben estar incluidos en el marco legal</w:t>
      </w:r>
      <w:r w:rsidR="006447D6">
        <w:rPr>
          <w:sz w:val="24"/>
        </w:rPr>
        <w:t xml:space="preserve"> como sujetos obligados</w:t>
      </w:r>
      <w:r w:rsidR="00A74733">
        <w:rPr>
          <w:sz w:val="24"/>
        </w:rPr>
        <w:t>,</w:t>
      </w:r>
      <w:r w:rsidRPr="00DE3FE7">
        <w:rPr>
          <w:sz w:val="24"/>
        </w:rPr>
        <w:t xml:space="preserve"> </w:t>
      </w:r>
      <w:r w:rsidR="00D20E6F">
        <w:rPr>
          <w:sz w:val="24"/>
        </w:rPr>
        <w:t>sin menoscabo de</w:t>
      </w:r>
      <w:r w:rsidR="00D20E6F" w:rsidRPr="00DE3FE7">
        <w:rPr>
          <w:sz w:val="24"/>
        </w:rPr>
        <w:t xml:space="preserve"> </w:t>
      </w:r>
      <w:r w:rsidRPr="00DE3FE7">
        <w:rPr>
          <w:sz w:val="24"/>
        </w:rPr>
        <w:t>la autonomía y libertad sindical.</w:t>
      </w:r>
    </w:p>
    <w:p w14:paraId="115617E9" w14:textId="13FE1DC6" w:rsidR="001256F9" w:rsidRPr="00EC3482" w:rsidRDefault="00AF2E34" w:rsidP="00FC0ABC">
      <w:pPr>
        <w:pStyle w:val="Ttulo1"/>
      </w:pPr>
      <w:r>
        <w:t>Criterio 23</w:t>
      </w:r>
      <w:r w:rsidR="001256F9" w:rsidRPr="00EC3482">
        <w:t>: Ayuntamientos</w:t>
      </w:r>
    </w:p>
    <w:p w14:paraId="3F358101" w14:textId="3D0A05B1" w:rsidR="004C10DB" w:rsidRDefault="001256F9" w:rsidP="004C10DB">
      <w:pPr>
        <w:jc w:val="both"/>
        <w:rPr>
          <w:sz w:val="24"/>
        </w:rPr>
      </w:pPr>
      <w:r w:rsidRPr="00DE3FE7">
        <w:rPr>
          <w:b/>
          <w:sz w:val="24"/>
        </w:rPr>
        <w:t xml:space="preserve">Descripción. </w:t>
      </w:r>
      <w:r w:rsidRPr="00DE3FE7">
        <w:rPr>
          <w:sz w:val="24"/>
        </w:rPr>
        <w:t>El municipio es la base del sistema político mexicano, a partir del funcionamiento del ayuntamiento se organiza la administración pública. Así mismo, una serie de derechos se garantizan en este nivel</w:t>
      </w:r>
      <w:r w:rsidR="0083759F">
        <w:rPr>
          <w:sz w:val="24"/>
        </w:rPr>
        <w:t>,</w:t>
      </w:r>
      <w:r w:rsidRPr="00DE3FE7">
        <w:rPr>
          <w:sz w:val="24"/>
        </w:rPr>
        <w:t xml:space="preserve"> con lo cual resulta imprescindible explicitar</w:t>
      </w:r>
      <w:r w:rsidR="0083759F">
        <w:rPr>
          <w:sz w:val="24"/>
        </w:rPr>
        <w:t xml:space="preserve"> en</w:t>
      </w:r>
      <w:r w:rsidR="0083759F" w:rsidRPr="00DE3FE7">
        <w:rPr>
          <w:sz w:val="24"/>
        </w:rPr>
        <w:t xml:space="preserve"> las leyes de transparencia</w:t>
      </w:r>
      <w:r w:rsidR="0083759F">
        <w:rPr>
          <w:sz w:val="24"/>
        </w:rPr>
        <w:t xml:space="preserve"> su carácter de</w:t>
      </w:r>
      <w:r w:rsidRPr="00DE3FE7">
        <w:rPr>
          <w:sz w:val="24"/>
        </w:rPr>
        <w:t xml:space="preserve"> sujeto </w:t>
      </w:r>
      <w:r w:rsidR="0083759F">
        <w:rPr>
          <w:sz w:val="24"/>
        </w:rPr>
        <w:t>obligado</w:t>
      </w:r>
      <w:r w:rsidRPr="00DE3FE7">
        <w:rPr>
          <w:sz w:val="24"/>
        </w:rPr>
        <w:t>.</w:t>
      </w:r>
    </w:p>
    <w:p w14:paraId="587AB730" w14:textId="5EBBF46A" w:rsidR="00D61C53" w:rsidRPr="00DE3FE7" w:rsidRDefault="00D61C53" w:rsidP="004C10DB">
      <w:pPr>
        <w:pBdr>
          <w:top w:val="single" w:sz="4" w:space="1" w:color="auto"/>
          <w:left w:val="single" w:sz="4" w:space="4" w:color="auto"/>
          <w:bottom w:val="single" w:sz="4" w:space="1" w:color="auto"/>
          <w:right w:val="single" w:sz="4" w:space="4" w:color="auto"/>
        </w:pBdr>
        <w:jc w:val="both"/>
        <w:rPr>
          <w:sz w:val="24"/>
        </w:rPr>
      </w:pPr>
      <w:r w:rsidRPr="00DE3FE7">
        <w:rPr>
          <w:b/>
          <w:sz w:val="24"/>
        </w:rPr>
        <w:t>Calificación de</w:t>
      </w:r>
      <w:r w:rsidR="00981EF1">
        <w:rPr>
          <w:b/>
          <w:sz w:val="24"/>
        </w:rPr>
        <w:t xml:space="preserve"> </w:t>
      </w:r>
      <w:r w:rsidRPr="00DE3FE7">
        <w:rPr>
          <w:b/>
          <w:sz w:val="24"/>
        </w:rPr>
        <w:t>l</w:t>
      </w:r>
      <w:r w:rsidR="00981EF1">
        <w:rPr>
          <w:b/>
          <w:sz w:val="24"/>
        </w:rPr>
        <w:t>os</w:t>
      </w:r>
      <w:r w:rsidRPr="00DE3FE7">
        <w:rPr>
          <w:b/>
          <w:sz w:val="24"/>
        </w:rPr>
        <w:t xml:space="preserve"> criterio</w:t>
      </w:r>
      <w:r w:rsidR="00981EF1">
        <w:rPr>
          <w:b/>
          <w:sz w:val="24"/>
        </w:rPr>
        <w:t>s</w:t>
      </w:r>
      <w:r w:rsidR="004C10DB">
        <w:rPr>
          <w:b/>
          <w:sz w:val="24"/>
        </w:rPr>
        <w:t xml:space="preserve"> 15 al 23</w:t>
      </w:r>
      <w:r w:rsidRPr="00DE3FE7">
        <w:rPr>
          <w:b/>
          <w:sz w:val="24"/>
        </w:rPr>
        <w:t xml:space="preserve">: </w:t>
      </w:r>
      <w:r w:rsidRPr="00DE3FE7">
        <w:rPr>
          <w:sz w:val="24"/>
        </w:rPr>
        <w:t xml:space="preserve">El marco legal debe mencionar explícitamente </w:t>
      </w:r>
      <w:r>
        <w:rPr>
          <w:sz w:val="24"/>
        </w:rPr>
        <w:t xml:space="preserve">como sujetos obligados </w:t>
      </w:r>
      <w:r w:rsidR="006F0937">
        <w:rPr>
          <w:sz w:val="24"/>
        </w:rPr>
        <w:t xml:space="preserve">a </w:t>
      </w:r>
      <w:r w:rsidRPr="00DE3FE7">
        <w:rPr>
          <w:sz w:val="24"/>
        </w:rPr>
        <w:t xml:space="preserve">los entes públicos que se mencionan, </w:t>
      </w:r>
      <w:r w:rsidR="006F0937">
        <w:rPr>
          <w:sz w:val="24"/>
        </w:rPr>
        <w:t>puesto que</w:t>
      </w:r>
      <w:r w:rsidRPr="00DE3FE7">
        <w:rPr>
          <w:sz w:val="24"/>
        </w:rPr>
        <w:t xml:space="preserve"> son considerados de interés estratégico para la implementación del DAI.</w:t>
      </w:r>
    </w:p>
    <w:p w14:paraId="7F7F7A10" w14:textId="77777777" w:rsidR="00D61C53" w:rsidRPr="00DE3FE7" w:rsidRDefault="00D61C53" w:rsidP="001256F9">
      <w:pPr>
        <w:jc w:val="both"/>
        <w:rPr>
          <w:sz w:val="24"/>
        </w:rPr>
      </w:pPr>
    </w:p>
    <w:p w14:paraId="65363FF6" w14:textId="02A2DD22" w:rsidR="001256F9" w:rsidRPr="00DE3FE7" w:rsidRDefault="001256F9" w:rsidP="001256F9">
      <w:pPr>
        <w:pStyle w:val="Ttulo1"/>
        <w:numPr>
          <w:ilvl w:val="1"/>
          <w:numId w:val="2"/>
        </w:numPr>
        <w:ind w:left="709" w:hanging="425"/>
        <w:rPr>
          <w:b w:val="0"/>
        </w:rPr>
      </w:pPr>
      <w:r w:rsidRPr="00DE3FE7">
        <w:t>Personas privadas</w:t>
      </w:r>
    </w:p>
    <w:p w14:paraId="6D40AC09" w14:textId="77777777" w:rsidR="001256F9" w:rsidRPr="00DE3FE7" w:rsidRDefault="001256F9" w:rsidP="001256F9">
      <w:pPr>
        <w:jc w:val="both"/>
        <w:rPr>
          <w:sz w:val="24"/>
        </w:rPr>
      </w:pPr>
      <w:r w:rsidRPr="00DE3FE7">
        <w:rPr>
          <w:b/>
          <w:sz w:val="24"/>
        </w:rPr>
        <w:t xml:space="preserve">Descripción. </w:t>
      </w:r>
      <w:r w:rsidRPr="00DE3FE7">
        <w:rPr>
          <w:sz w:val="24"/>
        </w:rPr>
        <w:t>La información es pública cuando un servidor público la genera o recibe información proveniente de un particular para su uso.</w:t>
      </w:r>
    </w:p>
    <w:p w14:paraId="6514D625" w14:textId="3B084FE1" w:rsidR="001256F9" w:rsidRPr="00DE3FE7" w:rsidRDefault="001256F9" w:rsidP="001256F9">
      <w:pPr>
        <w:jc w:val="both"/>
        <w:rPr>
          <w:sz w:val="24"/>
        </w:rPr>
      </w:pPr>
      <w:r w:rsidRPr="00DE3FE7">
        <w:rPr>
          <w:sz w:val="24"/>
        </w:rPr>
        <w:t>Este segundo supuesto es claramente una evolución positiva y ampliada del concepto original</w:t>
      </w:r>
      <w:r w:rsidRPr="00DE3FE7">
        <w:rPr>
          <w:b/>
          <w:sz w:val="24"/>
        </w:rPr>
        <w:t xml:space="preserve"> </w:t>
      </w:r>
      <w:r w:rsidRPr="00DE3FE7">
        <w:rPr>
          <w:sz w:val="24"/>
        </w:rPr>
        <w:t xml:space="preserve">de información pública, debido </w:t>
      </w:r>
      <w:r w:rsidRPr="00DE3FE7">
        <w:rPr>
          <w:sz w:val="24"/>
        </w:rPr>
        <w:lastRenderedPageBreak/>
        <w:t>que se abarca</w:t>
      </w:r>
      <w:r w:rsidR="00917F81">
        <w:rPr>
          <w:sz w:val="24"/>
        </w:rPr>
        <w:t>n</w:t>
      </w:r>
      <w:r w:rsidRPr="00DE3FE7">
        <w:rPr>
          <w:sz w:val="24"/>
        </w:rPr>
        <w:t xml:space="preserve"> las actividades de </w:t>
      </w:r>
      <w:proofErr w:type="gramStart"/>
      <w:r w:rsidRPr="00DE3FE7">
        <w:rPr>
          <w:sz w:val="24"/>
        </w:rPr>
        <w:t>interés público o realizadas</w:t>
      </w:r>
      <w:proofErr w:type="gramEnd"/>
      <w:r w:rsidRPr="00DE3FE7">
        <w:rPr>
          <w:sz w:val="24"/>
        </w:rPr>
        <w:t xml:space="preserve"> a partir de un bien público: recurso natural, bien inmueble, servicio, derecho o recurso financiero y/o económico.</w:t>
      </w:r>
    </w:p>
    <w:p w14:paraId="6B683376" w14:textId="6BF7A7AC" w:rsidR="001256F9" w:rsidRPr="00DE3FE7" w:rsidRDefault="004C10DB" w:rsidP="00FC0ABC">
      <w:pPr>
        <w:pStyle w:val="Ttulo1"/>
      </w:pPr>
      <w:r>
        <w:t>Criterio 24</w:t>
      </w:r>
      <w:r w:rsidR="001256F9" w:rsidRPr="00DE3FE7">
        <w:t>: Toda persona física o moral que reciba recursos</w:t>
      </w:r>
    </w:p>
    <w:p w14:paraId="178B36E6" w14:textId="5108E22A" w:rsidR="001256F9" w:rsidRPr="00DE3FE7" w:rsidRDefault="001256F9" w:rsidP="001256F9">
      <w:pPr>
        <w:jc w:val="both"/>
        <w:rPr>
          <w:sz w:val="24"/>
        </w:rPr>
      </w:pPr>
      <w:r w:rsidRPr="00DE3FE7">
        <w:rPr>
          <w:b/>
          <w:sz w:val="24"/>
        </w:rPr>
        <w:t xml:space="preserve">Descripción. </w:t>
      </w:r>
      <w:r w:rsidRPr="00DE3FE7">
        <w:rPr>
          <w:sz w:val="24"/>
        </w:rPr>
        <w:t xml:space="preserve">La Constitución señala que cualquier persona física o moral que reciba recursos provenientes del erario público </w:t>
      </w:r>
      <w:r w:rsidR="00917F81">
        <w:rPr>
          <w:sz w:val="24"/>
        </w:rPr>
        <w:t>será</w:t>
      </w:r>
      <w:r w:rsidR="00917F81" w:rsidRPr="00DE3FE7">
        <w:rPr>
          <w:sz w:val="24"/>
        </w:rPr>
        <w:t xml:space="preserve"> </w:t>
      </w:r>
      <w:r w:rsidR="009F07AF">
        <w:rPr>
          <w:sz w:val="24"/>
        </w:rPr>
        <w:t>ob</w:t>
      </w:r>
      <w:r w:rsidRPr="00DE3FE7">
        <w:rPr>
          <w:sz w:val="24"/>
        </w:rPr>
        <w:t>jeto de vigilancia y fiscalización y</w:t>
      </w:r>
      <w:r w:rsidR="00917F81">
        <w:rPr>
          <w:sz w:val="24"/>
        </w:rPr>
        <w:t>,</w:t>
      </w:r>
      <w:r w:rsidRPr="00DE3FE7">
        <w:rPr>
          <w:sz w:val="24"/>
        </w:rPr>
        <w:t xml:space="preserve"> por tanto, sujeto obligado de la legislación de transparencia. En ese marco, la legislación local respectiva debe armonizar los sujetos obligados mencionados con la </w:t>
      </w:r>
      <w:r w:rsidR="009F07AF">
        <w:rPr>
          <w:sz w:val="24"/>
        </w:rPr>
        <w:t>C</w:t>
      </w:r>
      <w:r w:rsidRPr="00DE3FE7">
        <w:rPr>
          <w:sz w:val="24"/>
        </w:rPr>
        <w:t>onstitución y ordenamiento</w:t>
      </w:r>
      <w:r w:rsidR="009F07AF">
        <w:rPr>
          <w:sz w:val="24"/>
        </w:rPr>
        <w:t>s</w:t>
      </w:r>
      <w:r w:rsidRPr="00DE3FE7">
        <w:rPr>
          <w:sz w:val="24"/>
        </w:rPr>
        <w:t xml:space="preserve"> local</w:t>
      </w:r>
      <w:r w:rsidR="009F07AF">
        <w:rPr>
          <w:sz w:val="24"/>
        </w:rPr>
        <w:t>es</w:t>
      </w:r>
      <w:r w:rsidRPr="00DE3FE7">
        <w:rPr>
          <w:sz w:val="24"/>
        </w:rPr>
        <w:t>.</w:t>
      </w:r>
    </w:p>
    <w:p w14:paraId="52C5C0F0" w14:textId="77777777" w:rsidR="001256F9" w:rsidRPr="00DE3FE7" w:rsidRDefault="001256F9" w:rsidP="000C6588">
      <w:pPr>
        <w:pBdr>
          <w:bottom w:val="single" w:sz="4" w:space="1" w:color="auto"/>
        </w:pBdr>
        <w:jc w:val="both"/>
        <w:rPr>
          <w:sz w:val="24"/>
        </w:rPr>
      </w:pPr>
      <w:r w:rsidRPr="00DE3FE7">
        <w:rPr>
          <w:b/>
          <w:sz w:val="24"/>
        </w:rPr>
        <w:t xml:space="preserve">Calificación. </w:t>
      </w:r>
      <w:r w:rsidRPr="00DE3FE7">
        <w:rPr>
          <w:sz w:val="24"/>
        </w:rPr>
        <w:t>La ley debe mencionar la obligación de transparentar el uso y destino de los recursos económicos que reciben personas físicas o morales.</w:t>
      </w:r>
    </w:p>
    <w:p w14:paraId="0787978D" w14:textId="6961F81A" w:rsidR="001256F9" w:rsidRPr="00DE3FE7" w:rsidRDefault="004C10DB" w:rsidP="00FC0ABC">
      <w:pPr>
        <w:pStyle w:val="Ttulo1"/>
      </w:pPr>
      <w:r>
        <w:t>Criterio 25</w:t>
      </w:r>
      <w:r w:rsidR="001256F9" w:rsidRPr="00DE3FE7">
        <w:t>: Toda persona que por mandato de ley ejerza actos de autoridad, realice funciones públicas o de interés público</w:t>
      </w:r>
    </w:p>
    <w:p w14:paraId="77CD9FF6" w14:textId="16CC22F2" w:rsidR="001256F9" w:rsidRPr="00DE3FE7" w:rsidRDefault="001256F9" w:rsidP="001256F9">
      <w:pPr>
        <w:jc w:val="both"/>
        <w:rPr>
          <w:sz w:val="24"/>
        </w:rPr>
      </w:pPr>
      <w:r w:rsidRPr="00DE3FE7">
        <w:rPr>
          <w:b/>
          <w:sz w:val="24"/>
        </w:rPr>
        <w:t xml:space="preserve">Descripción. </w:t>
      </w:r>
      <w:r w:rsidRPr="00DE3FE7">
        <w:rPr>
          <w:sz w:val="24"/>
        </w:rPr>
        <w:t xml:space="preserve">Los actos </w:t>
      </w:r>
      <w:r w:rsidR="00201529">
        <w:rPr>
          <w:sz w:val="24"/>
        </w:rPr>
        <w:t xml:space="preserve">de </w:t>
      </w:r>
      <w:r w:rsidRPr="00DE3FE7">
        <w:rPr>
          <w:sz w:val="24"/>
        </w:rPr>
        <w:t xml:space="preserve">autoridad en México se regulan por la Constitución Política o cuando se realizan de forma excepcional por un particular </w:t>
      </w:r>
      <w:r w:rsidR="00201529">
        <w:rPr>
          <w:sz w:val="24"/>
        </w:rPr>
        <w:t>que</w:t>
      </w:r>
      <w:r w:rsidRPr="00DE3FE7">
        <w:rPr>
          <w:sz w:val="24"/>
        </w:rPr>
        <w:t xml:space="preserve"> cuenta con la aquiescencia de la autoridad involucrada.</w:t>
      </w:r>
    </w:p>
    <w:p w14:paraId="267E92DC" w14:textId="74D515C3" w:rsidR="001256F9" w:rsidRPr="00DE3FE7" w:rsidRDefault="001256F9" w:rsidP="001256F9">
      <w:pPr>
        <w:jc w:val="both"/>
        <w:rPr>
          <w:sz w:val="24"/>
        </w:rPr>
      </w:pPr>
      <w:r w:rsidRPr="00DE3FE7">
        <w:rPr>
          <w:sz w:val="24"/>
        </w:rPr>
        <w:t>El acto de un particular se vuelve un acto de autoridad cuando reúne las características de unilateral</w:t>
      </w:r>
      <w:r w:rsidR="00C27DC0">
        <w:rPr>
          <w:sz w:val="24"/>
        </w:rPr>
        <w:t>idad</w:t>
      </w:r>
      <w:r w:rsidRPr="00DE3FE7">
        <w:rPr>
          <w:sz w:val="24"/>
        </w:rPr>
        <w:t>, coerci</w:t>
      </w:r>
      <w:r w:rsidR="00C27DC0">
        <w:rPr>
          <w:sz w:val="24"/>
        </w:rPr>
        <w:t>ón</w:t>
      </w:r>
      <w:r w:rsidRPr="00DE3FE7">
        <w:rPr>
          <w:sz w:val="24"/>
        </w:rPr>
        <w:t xml:space="preserve"> e </w:t>
      </w:r>
      <w:proofErr w:type="spellStart"/>
      <w:r w:rsidRPr="00DE3FE7">
        <w:rPr>
          <w:sz w:val="24"/>
        </w:rPr>
        <w:t>imperativ</w:t>
      </w:r>
      <w:r w:rsidR="00C27DC0">
        <w:rPr>
          <w:sz w:val="24"/>
        </w:rPr>
        <w:t>idad</w:t>
      </w:r>
      <w:proofErr w:type="spellEnd"/>
      <w:r w:rsidRPr="00DE3FE7">
        <w:rPr>
          <w:rStyle w:val="Refdenotaalpie"/>
          <w:sz w:val="24"/>
        </w:rPr>
        <w:footnoteReference w:id="8"/>
      </w:r>
      <w:r w:rsidRPr="00DE3FE7">
        <w:rPr>
          <w:sz w:val="24"/>
        </w:rPr>
        <w:t xml:space="preserve"> y crea, modifica o extingue situaciones jurídicas que afect</w:t>
      </w:r>
      <w:r w:rsidR="00C27DC0">
        <w:rPr>
          <w:sz w:val="24"/>
        </w:rPr>
        <w:t>a</w:t>
      </w:r>
      <w:r w:rsidRPr="00DE3FE7">
        <w:rPr>
          <w:sz w:val="24"/>
        </w:rPr>
        <w:t>n la esfera legal de los gobernados</w:t>
      </w:r>
      <w:r w:rsidR="00C27DC0">
        <w:rPr>
          <w:sz w:val="24"/>
        </w:rPr>
        <w:t>;</w:t>
      </w:r>
      <w:r w:rsidRPr="00DE3FE7">
        <w:rPr>
          <w:sz w:val="24"/>
          <w:vertAlign w:val="superscript"/>
        </w:rPr>
        <w:footnoteReference w:id="9"/>
      </w:r>
      <w:r w:rsidRPr="00DE3FE7">
        <w:rPr>
          <w:sz w:val="24"/>
        </w:rPr>
        <w:t xml:space="preserve"> por ende, la </w:t>
      </w:r>
      <w:r w:rsidRPr="00DE3FE7">
        <w:rPr>
          <w:sz w:val="24"/>
        </w:rPr>
        <w:lastRenderedPageBreak/>
        <w:t>información generada por esa o esas personas públicas o privadas es de interés ciudadano.</w:t>
      </w:r>
    </w:p>
    <w:p w14:paraId="60D4CA60" w14:textId="511F916D" w:rsidR="001256F9" w:rsidRPr="00DE3FE7" w:rsidRDefault="001256F9" w:rsidP="004C10DB">
      <w:pPr>
        <w:pBdr>
          <w:bottom w:val="single" w:sz="4" w:space="1" w:color="auto"/>
        </w:pBdr>
        <w:jc w:val="both"/>
        <w:rPr>
          <w:sz w:val="24"/>
        </w:rPr>
      </w:pPr>
      <w:r w:rsidRPr="00DE3FE7">
        <w:rPr>
          <w:b/>
          <w:sz w:val="24"/>
        </w:rPr>
        <w:t xml:space="preserve">Calificación. </w:t>
      </w:r>
      <w:r w:rsidRPr="00DE3FE7">
        <w:rPr>
          <w:sz w:val="24"/>
        </w:rPr>
        <w:t xml:space="preserve">Se debe indicar explícitamente </w:t>
      </w:r>
      <w:r w:rsidR="00544BBD">
        <w:rPr>
          <w:sz w:val="24"/>
        </w:rPr>
        <w:t xml:space="preserve">el </w:t>
      </w:r>
      <w:r w:rsidRPr="00DE3FE7">
        <w:rPr>
          <w:sz w:val="24"/>
        </w:rPr>
        <w:t>ejerc</w:t>
      </w:r>
      <w:r w:rsidR="00544BBD">
        <w:rPr>
          <w:sz w:val="24"/>
        </w:rPr>
        <w:t>icio irrestricto d</w:t>
      </w:r>
      <w:r w:rsidRPr="00DE3FE7">
        <w:rPr>
          <w:sz w:val="24"/>
        </w:rPr>
        <w:t>el DAI cuando particulares realizan actos de autoridad reconocidos legalmente.</w:t>
      </w:r>
    </w:p>
    <w:p w14:paraId="5E64B784" w14:textId="77777777" w:rsidR="001256F9" w:rsidRPr="00DE3FE7" w:rsidRDefault="001256F9" w:rsidP="001256F9">
      <w:pPr>
        <w:pStyle w:val="Ttulo1"/>
        <w:numPr>
          <w:ilvl w:val="0"/>
          <w:numId w:val="2"/>
        </w:numPr>
        <w:rPr>
          <w:b w:val="0"/>
        </w:rPr>
      </w:pPr>
      <w:bookmarkStart w:id="6" w:name="_Obligaciones_de_los"/>
      <w:bookmarkEnd w:id="6"/>
      <w:r w:rsidRPr="00DE3FE7">
        <w:t>Obligaciones de los sujetos obligados</w:t>
      </w:r>
    </w:p>
    <w:p w14:paraId="4E962F5E" w14:textId="4F24EB37" w:rsidR="001256F9" w:rsidRPr="00DE3FE7" w:rsidRDefault="001256F9" w:rsidP="001256F9">
      <w:pPr>
        <w:jc w:val="both"/>
        <w:rPr>
          <w:sz w:val="24"/>
        </w:rPr>
      </w:pPr>
      <w:r w:rsidRPr="00DE3FE7">
        <w:rPr>
          <w:sz w:val="24"/>
        </w:rPr>
        <w:t xml:space="preserve">Las obligaciones positivas impuestas a los sujetos obligados </w:t>
      </w:r>
      <w:r w:rsidR="00C448F1">
        <w:rPr>
          <w:sz w:val="24"/>
        </w:rPr>
        <w:t>por</w:t>
      </w:r>
      <w:r w:rsidRPr="00DE3FE7">
        <w:rPr>
          <w:sz w:val="24"/>
        </w:rPr>
        <w:t xml:space="preserve"> la ley es uno de los elementos sustantivo</w:t>
      </w:r>
      <w:r w:rsidR="007E6868">
        <w:rPr>
          <w:sz w:val="24"/>
        </w:rPr>
        <w:t>s del DAI. Las obligaciones se traducen</w:t>
      </w:r>
      <w:r w:rsidRPr="00DE3FE7">
        <w:rPr>
          <w:sz w:val="24"/>
        </w:rPr>
        <w:t xml:space="preserve"> en los criterios del presente indicador.</w:t>
      </w:r>
      <w:r w:rsidR="00C448F1">
        <w:rPr>
          <w:sz w:val="24"/>
        </w:rPr>
        <w:t xml:space="preserve"> Éstos </w:t>
      </w:r>
      <w:r w:rsidRPr="00DE3FE7">
        <w:rPr>
          <w:sz w:val="24"/>
        </w:rPr>
        <w:t>son propuestos a partir de la sistematización y experiencia previa del IDAIM entorno a las buenas prácticas</w:t>
      </w:r>
      <w:r w:rsidR="00C448F1">
        <w:rPr>
          <w:sz w:val="24"/>
        </w:rPr>
        <w:t>,</w:t>
      </w:r>
      <w:r w:rsidRPr="00DE3FE7">
        <w:rPr>
          <w:sz w:val="24"/>
        </w:rPr>
        <w:t xml:space="preserve"> con el propósito de asegurar un estándar básico para la generación, tratamiento y publicidad de la información.</w:t>
      </w:r>
    </w:p>
    <w:p w14:paraId="72A4004A" w14:textId="0F63B8E8" w:rsidR="001256F9" w:rsidRPr="00DE3FE7" w:rsidRDefault="001256F9" w:rsidP="001256F9">
      <w:pPr>
        <w:jc w:val="both"/>
        <w:rPr>
          <w:sz w:val="24"/>
        </w:rPr>
      </w:pPr>
      <w:r w:rsidRPr="00DE3FE7">
        <w:rPr>
          <w:sz w:val="24"/>
        </w:rPr>
        <w:t xml:space="preserve">Lo anterior, en el entendido de que para garantizar el DAI no basta con entregar la información disponible, </w:t>
      </w:r>
      <w:r w:rsidR="00C448F1">
        <w:rPr>
          <w:sz w:val="24"/>
        </w:rPr>
        <w:t xml:space="preserve">pues </w:t>
      </w:r>
      <w:r w:rsidRPr="00DE3FE7">
        <w:rPr>
          <w:sz w:val="24"/>
        </w:rPr>
        <w:t xml:space="preserve">se requiere </w:t>
      </w:r>
      <w:r w:rsidR="00C448F1">
        <w:rPr>
          <w:sz w:val="24"/>
        </w:rPr>
        <w:t xml:space="preserve">de </w:t>
      </w:r>
      <w:r w:rsidRPr="00DE3FE7">
        <w:rPr>
          <w:sz w:val="24"/>
        </w:rPr>
        <w:t>un actuar proactivo de las autoridades y servidores públicos.</w:t>
      </w:r>
    </w:p>
    <w:p w14:paraId="18ABFA3E" w14:textId="4E50A13C" w:rsidR="001256F9" w:rsidRPr="00DE3FE7" w:rsidRDefault="007E6868" w:rsidP="00FC0ABC">
      <w:pPr>
        <w:pStyle w:val="Ttulo1"/>
      </w:pPr>
      <w:r>
        <w:t>Criterio 26</w:t>
      </w:r>
      <w:r w:rsidR="001256F9" w:rsidRPr="00DE3FE7">
        <w:t>: Documentar todo acto que derive del ejercicio de sus facultades, competencias o funciones</w:t>
      </w:r>
    </w:p>
    <w:p w14:paraId="18ABCA9B" w14:textId="750A43DD" w:rsidR="001256F9" w:rsidRPr="00DE3FE7" w:rsidRDefault="001256F9" w:rsidP="001256F9">
      <w:pPr>
        <w:jc w:val="both"/>
        <w:rPr>
          <w:sz w:val="24"/>
        </w:rPr>
      </w:pPr>
      <w:r w:rsidRPr="00DE3FE7">
        <w:rPr>
          <w:b/>
          <w:sz w:val="24"/>
        </w:rPr>
        <w:t>Descripción.</w:t>
      </w:r>
      <w:r w:rsidRPr="00DE3FE7">
        <w:rPr>
          <w:sz w:val="24"/>
        </w:rPr>
        <w:t xml:space="preserve"> </w:t>
      </w:r>
      <w:r w:rsidR="0022263E">
        <w:rPr>
          <w:sz w:val="24"/>
        </w:rPr>
        <w:t>G</w:t>
      </w:r>
      <w:r w:rsidRPr="00DE3FE7">
        <w:rPr>
          <w:sz w:val="24"/>
        </w:rPr>
        <w:t xml:space="preserve">enerar información </w:t>
      </w:r>
      <w:r w:rsidR="0022263E">
        <w:rPr>
          <w:sz w:val="24"/>
        </w:rPr>
        <w:t>y complementarla con</w:t>
      </w:r>
      <w:r w:rsidR="0022263E" w:rsidRPr="00DE3FE7">
        <w:rPr>
          <w:sz w:val="24"/>
        </w:rPr>
        <w:t xml:space="preserve"> </w:t>
      </w:r>
      <w:r w:rsidRPr="00DE3FE7">
        <w:rPr>
          <w:sz w:val="24"/>
        </w:rPr>
        <w:t>un sistema de archivos que la organice y preserve</w:t>
      </w:r>
      <w:r w:rsidR="0022263E">
        <w:rPr>
          <w:sz w:val="24"/>
        </w:rPr>
        <w:t xml:space="preserve"> adecuadamente</w:t>
      </w:r>
      <w:r w:rsidRPr="00DE3FE7">
        <w:rPr>
          <w:sz w:val="24"/>
        </w:rPr>
        <w:t xml:space="preserve">, permite </w:t>
      </w:r>
      <w:proofErr w:type="spellStart"/>
      <w:r w:rsidRPr="00DE3FE7">
        <w:rPr>
          <w:sz w:val="24"/>
        </w:rPr>
        <w:t>eficientar</w:t>
      </w:r>
      <w:proofErr w:type="spellEnd"/>
      <w:r w:rsidRPr="00DE3FE7">
        <w:rPr>
          <w:sz w:val="24"/>
        </w:rPr>
        <w:t xml:space="preserve"> la gestión pública, mejora</w:t>
      </w:r>
      <w:r w:rsidR="005C1472">
        <w:rPr>
          <w:sz w:val="24"/>
        </w:rPr>
        <w:t>r</w:t>
      </w:r>
      <w:r w:rsidRPr="00DE3FE7">
        <w:rPr>
          <w:sz w:val="24"/>
        </w:rPr>
        <w:t xml:space="preserve"> en la toma de decisiones y </w:t>
      </w:r>
      <w:r w:rsidR="0022263E">
        <w:rPr>
          <w:sz w:val="24"/>
        </w:rPr>
        <w:t>provee</w:t>
      </w:r>
      <w:r w:rsidR="005C1472">
        <w:rPr>
          <w:sz w:val="24"/>
        </w:rPr>
        <w:t>r</w:t>
      </w:r>
      <w:r w:rsidR="0022263E">
        <w:rPr>
          <w:sz w:val="24"/>
        </w:rPr>
        <w:t xml:space="preserve"> </w:t>
      </w:r>
      <w:r w:rsidRPr="00DE3FE7">
        <w:rPr>
          <w:sz w:val="24"/>
        </w:rPr>
        <w:t>elementos sustantivos para</w:t>
      </w:r>
      <w:r w:rsidR="00FC570D">
        <w:rPr>
          <w:sz w:val="24"/>
        </w:rPr>
        <w:t xml:space="preserve"> </w:t>
      </w:r>
      <w:r w:rsidRPr="00DE3FE7">
        <w:rPr>
          <w:sz w:val="24"/>
        </w:rPr>
        <w:t>evaluaciones sobre el quehacer gubernamental.</w:t>
      </w:r>
    </w:p>
    <w:p w14:paraId="033AD787" w14:textId="79F8DB09" w:rsidR="0022263E" w:rsidRPr="00DE3FE7" w:rsidRDefault="005C1472" w:rsidP="0022263E">
      <w:pPr>
        <w:jc w:val="both"/>
        <w:rPr>
          <w:sz w:val="24"/>
        </w:rPr>
      </w:pPr>
      <w:r>
        <w:rPr>
          <w:sz w:val="24"/>
        </w:rPr>
        <w:t>Por tanto, e</w:t>
      </w:r>
      <w:r w:rsidR="0022263E" w:rsidRPr="00DE3FE7">
        <w:rPr>
          <w:sz w:val="24"/>
        </w:rPr>
        <w:t>l registr</w:t>
      </w:r>
      <w:r w:rsidR="0022263E">
        <w:rPr>
          <w:sz w:val="24"/>
        </w:rPr>
        <w:t>o de</w:t>
      </w:r>
      <w:r w:rsidR="0022263E" w:rsidRPr="00DE3FE7">
        <w:rPr>
          <w:sz w:val="24"/>
        </w:rPr>
        <w:t xml:space="preserve"> todo acto derivado de las funciones propias del encargo público constituye un pilar </w:t>
      </w:r>
      <w:r>
        <w:rPr>
          <w:sz w:val="24"/>
        </w:rPr>
        <w:t>de</w:t>
      </w:r>
      <w:r w:rsidR="0022263E" w:rsidRPr="00DE3FE7">
        <w:rPr>
          <w:sz w:val="24"/>
        </w:rPr>
        <w:t xml:space="preserve"> la política de transparencia y garantía para el acceso, disfrute y goce del DAI.</w:t>
      </w:r>
    </w:p>
    <w:p w14:paraId="11886AFD" w14:textId="6CD79B34" w:rsidR="001256F9" w:rsidRPr="00DE3FE7" w:rsidRDefault="001256F9" w:rsidP="001256F9">
      <w:pPr>
        <w:jc w:val="both"/>
        <w:rPr>
          <w:sz w:val="24"/>
        </w:rPr>
      </w:pPr>
      <w:r w:rsidRPr="00DE3FE7">
        <w:rPr>
          <w:sz w:val="24"/>
        </w:rPr>
        <w:t xml:space="preserve">La información, además de lo anterior, sirve de memoria institucional en materia de rendición de cuentas y crea una política de transparencia basada en evidencia. </w:t>
      </w:r>
    </w:p>
    <w:p w14:paraId="0E91BD01" w14:textId="20171DDC" w:rsidR="001256F9" w:rsidRPr="00DE3FE7" w:rsidRDefault="001256F9" w:rsidP="00C5015E">
      <w:pPr>
        <w:pBdr>
          <w:bottom w:val="single" w:sz="4" w:space="1" w:color="auto"/>
        </w:pBdr>
        <w:jc w:val="both"/>
        <w:rPr>
          <w:sz w:val="24"/>
        </w:rPr>
      </w:pPr>
      <w:r w:rsidRPr="00DE3FE7">
        <w:rPr>
          <w:b/>
          <w:sz w:val="24"/>
        </w:rPr>
        <w:lastRenderedPageBreak/>
        <w:t xml:space="preserve">Calificación. </w:t>
      </w:r>
      <w:r w:rsidR="00926BDA">
        <w:rPr>
          <w:sz w:val="24"/>
        </w:rPr>
        <w:t>Cumplimiento de la o</w:t>
      </w:r>
      <w:r w:rsidRPr="00DE3FE7">
        <w:rPr>
          <w:sz w:val="24"/>
        </w:rPr>
        <w:t xml:space="preserve">bligación de todo servidor público de registrar sus actividades y poner </w:t>
      </w:r>
      <w:r w:rsidR="00926BDA">
        <w:rPr>
          <w:sz w:val="24"/>
        </w:rPr>
        <w:t xml:space="preserve">la información </w:t>
      </w:r>
      <w:r w:rsidRPr="00DE3FE7">
        <w:rPr>
          <w:sz w:val="24"/>
        </w:rPr>
        <w:t>a disposición pública por los canales institucionales oficiales.</w:t>
      </w:r>
    </w:p>
    <w:p w14:paraId="080C8C22" w14:textId="190BBF52" w:rsidR="001256F9" w:rsidRPr="00DE3FE7" w:rsidRDefault="00FF5565" w:rsidP="00FC0ABC">
      <w:pPr>
        <w:pStyle w:val="Ttulo1"/>
      </w:pPr>
      <w:r>
        <w:t>Criterio 27</w:t>
      </w:r>
      <w:r w:rsidR="001256F9" w:rsidRPr="00DE3FE7">
        <w:t>: Documentar</w:t>
      </w:r>
      <w:r w:rsidR="00FC570D">
        <w:t xml:space="preserve"> </w:t>
      </w:r>
      <w:r w:rsidR="001256F9" w:rsidRPr="00DE3FE7">
        <w:t>los procesos deliberativos y decisión definitiva</w:t>
      </w:r>
    </w:p>
    <w:p w14:paraId="6468B3BD" w14:textId="5563FC9E" w:rsidR="001256F9" w:rsidRPr="00DE3FE7" w:rsidRDefault="001256F9" w:rsidP="001256F9">
      <w:pPr>
        <w:jc w:val="both"/>
        <w:rPr>
          <w:sz w:val="24"/>
        </w:rPr>
      </w:pPr>
      <w:r w:rsidRPr="00DE3FE7">
        <w:rPr>
          <w:b/>
          <w:sz w:val="24"/>
        </w:rPr>
        <w:t>Descripción.</w:t>
      </w:r>
      <w:r w:rsidRPr="00DE3FE7">
        <w:rPr>
          <w:sz w:val="24"/>
        </w:rPr>
        <w:t xml:space="preserve"> Documentar todo el proceso deliberativo es de vital importancia para contribuir a robustecer la cultura de la transparencia y </w:t>
      </w:r>
      <w:r w:rsidR="00C30938">
        <w:rPr>
          <w:sz w:val="24"/>
        </w:rPr>
        <w:t>llevar</w:t>
      </w:r>
      <w:r w:rsidRPr="00DE3FE7">
        <w:rPr>
          <w:sz w:val="24"/>
        </w:rPr>
        <w:t xml:space="preserve"> sus deliberaciones más allá de los especialistas o involucrados en el tema. </w:t>
      </w:r>
    </w:p>
    <w:p w14:paraId="1FC44D20" w14:textId="77DF1D5A" w:rsidR="001256F9" w:rsidRPr="00DE3FE7" w:rsidRDefault="001256F9" w:rsidP="001256F9">
      <w:pPr>
        <w:jc w:val="both"/>
        <w:rPr>
          <w:sz w:val="24"/>
        </w:rPr>
      </w:pPr>
      <w:r w:rsidRPr="00DE3FE7">
        <w:rPr>
          <w:sz w:val="24"/>
        </w:rPr>
        <w:t>El registro de la racionalidad detrás de la toma de decisiones también resulta indispensable para evitar la creación de espacios de alta discrecionalidad, inhibir actos de corrupción, uso abusivo de la función pública, así como de los recursos financieros y materiales.</w:t>
      </w:r>
    </w:p>
    <w:p w14:paraId="48CF9AF1" w14:textId="57D38815" w:rsidR="001256F9" w:rsidRPr="00DE3FE7" w:rsidRDefault="001256F9" w:rsidP="00723F4C">
      <w:pPr>
        <w:pBdr>
          <w:bottom w:val="single" w:sz="4" w:space="1" w:color="auto"/>
        </w:pBdr>
        <w:jc w:val="both"/>
        <w:rPr>
          <w:sz w:val="24"/>
        </w:rPr>
      </w:pPr>
      <w:r w:rsidRPr="00DE3FE7">
        <w:rPr>
          <w:b/>
          <w:sz w:val="24"/>
        </w:rPr>
        <w:t xml:space="preserve">Calificación. </w:t>
      </w:r>
      <w:r w:rsidR="00C30938">
        <w:rPr>
          <w:sz w:val="24"/>
        </w:rPr>
        <w:t>Cumplimiento de la o</w:t>
      </w:r>
      <w:r w:rsidR="00C30938" w:rsidRPr="00DE3FE7">
        <w:rPr>
          <w:sz w:val="24"/>
        </w:rPr>
        <w:t xml:space="preserve">bligación </w:t>
      </w:r>
      <w:r w:rsidRPr="00DE3FE7">
        <w:rPr>
          <w:sz w:val="24"/>
        </w:rPr>
        <w:t>de registrar</w:t>
      </w:r>
      <w:r w:rsidR="00C30938">
        <w:rPr>
          <w:sz w:val="24"/>
        </w:rPr>
        <w:t>,</w:t>
      </w:r>
      <w:r w:rsidRPr="00DE3FE7">
        <w:rPr>
          <w:sz w:val="24"/>
        </w:rPr>
        <w:t xml:space="preserve"> </w:t>
      </w:r>
      <w:r w:rsidR="00C30938" w:rsidRPr="00DE3FE7">
        <w:rPr>
          <w:sz w:val="24"/>
        </w:rPr>
        <w:t xml:space="preserve">transcribir y publicitar </w:t>
      </w:r>
      <w:r w:rsidRPr="00DE3FE7">
        <w:rPr>
          <w:sz w:val="24"/>
        </w:rPr>
        <w:t>las discusiones deliberativas internas y/o públicas, además de la decisión definitiva.</w:t>
      </w:r>
    </w:p>
    <w:p w14:paraId="5F77F2FB" w14:textId="0E898005" w:rsidR="001256F9" w:rsidRPr="00DE3FE7" w:rsidRDefault="00E017FD" w:rsidP="00FC0ABC">
      <w:pPr>
        <w:pStyle w:val="Ttulo1"/>
      </w:pPr>
      <w:r>
        <w:t>Criterio 28</w:t>
      </w:r>
      <w:r w:rsidR="001256F9" w:rsidRPr="00DE3FE7">
        <w:t>. Mantener disponible en Internet y/</w:t>
      </w:r>
      <w:proofErr w:type="spellStart"/>
      <w:r w:rsidR="001256F9" w:rsidRPr="00DE3FE7">
        <w:t>o</w:t>
      </w:r>
      <w:proofErr w:type="spellEnd"/>
      <w:r w:rsidR="001256F9" w:rsidRPr="00DE3FE7">
        <w:t xml:space="preserve"> otros medios las obligaciones de transparencia</w:t>
      </w:r>
    </w:p>
    <w:p w14:paraId="17B16273" w14:textId="1DBD7703" w:rsidR="001256F9" w:rsidRPr="00DE3FE7" w:rsidRDefault="001256F9" w:rsidP="001256F9">
      <w:pPr>
        <w:jc w:val="both"/>
        <w:rPr>
          <w:sz w:val="24"/>
        </w:rPr>
      </w:pPr>
      <w:r w:rsidRPr="00DE3FE7">
        <w:rPr>
          <w:b/>
          <w:sz w:val="24"/>
        </w:rPr>
        <w:t>Descripción.</w:t>
      </w:r>
      <w:r w:rsidRPr="00DE3FE7">
        <w:rPr>
          <w:sz w:val="24"/>
        </w:rPr>
        <w:t xml:space="preserve"> Las obligaciones de transparencia, también conocida como información pública de oficio, se refiere</w:t>
      </w:r>
      <w:r w:rsidR="00FD38FA">
        <w:rPr>
          <w:sz w:val="24"/>
        </w:rPr>
        <w:t>n</w:t>
      </w:r>
      <w:r w:rsidRPr="00DE3FE7">
        <w:rPr>
          <w:sz w:val="24"/>
        </w:rPr>
        <w:t xml:space="preserve"> al activismo de los sujetos obligados para poner a disposición pública la información bajo su cargo, sin necesidad de solicitud o procedimiento previo.</w:t>
      </w:r>
    </w:p>
    <w:p w14:paraId="0B1A9266" w14:textId="6AB1290C" w:rsidR="001256F9" w:rsidRPr="00DE3FE7" w:rsidRDefault="001256F9" w:rsidP="001256F9">
      <w:pPr>
        <w:jc w:val="both"/>
        <w:rPr>
          <w:sz w:val="24"/>
        </w:rPr>
      </w:pPr>
      <w:r w:rsidRPr="00DE3FE7">
        <w:rPr>
          <w:sz w:val="24"/>
        </w:rPr>
        <w:t xml:space="preserve">Lo anterior representa una acción </w:t>
      </w:r>
      <w:r w:rsidR="00FD38FA">
        <w:rPr>
          <w:sz w:val="24"/>
        </w:rPr>
        <w:t>propia</w:t>
      </w:r>
      <w:r w:rsidRPr="00DE3FE7">
        <w:rPr>
          <w:sz w:val="24"/>
        </w:rPr>
        <w:t xml:space="preserve"> de las obligaciones de proactividad de la información</w:t>
      </w:r>
      <w:r w:rsidR="00FD38FA">
        <w:rPr>
          <w:sz w:val="24"/>
        </w:rPr>
        <w:t>, ejecutable</w:t>
      </w:r>
      <w:r w:rsidRPr="00DE3FE7">
        <w:rPr>
          <w:sz w:val="24"/>
        </w:rPr>
        <w:t xml:space="preserve"> a través de internet y otros medios susceptibles de ser usados por las personas en México.</w:t>
      </w:r>
    </w:p>
    <w:p w14:paraId="156F0483" w14:textId="2980A56D" w:rsidR="001256F9" w:rsidRPr="00DE3FE7" w:rsidRDefault="001256F9" w:rsidP="008F3FB2">
      <w:pPr>
        <w:pBdr>
          <w:bottom w:val="single" w:sz="4" w:space="1" w:color="auto"/>
        </w:pBdr>
        <w:jc w:val="both"/>
        <w:rPr>
          <w:sz w:val="24"/>
        </w:rPr>
      </w:pPr>
      <w:r w:rsidRPr="00DE3FE7">
        <w:rPr>
          <w:b/>
          <w:sz w:val="24"/>
        </w:rPr>
        <w:t xml:space="preserve">Calificación. </w:t>
      </w:r>
      <w:r w:rsidRPr="00DE3FE7">
        <w:rPr>
          <w:sz w:val="24"/>
        </w:rPr>
        <w:t>Deber de habilitar internet y otros medios que faciliten el acceso a la información pública y cumpla</w:t>
      </w:r>
      <w:r w:rsidR="00FD38FA">
        <w:rPr>
          <w:sz w:val="24"/>
        </w:rPr>
        <w:t>n</w:t>
      </w:r>
      <w:r w:rsidRPr="00DE3FE7">
        <w:rPr>
          <w:sz w:val="24"/>
        </w:rPr>
        <w:t xml:space="preserve"> con las obligaciones de ley.</w:t>
      </w:r>
    </w:p>
    <w:p w14:paraId="682FE1CE" w14:textId="77777777" w:rsidR="007B27AB" w:rsidRDefault="007B27AB" w:rsidP="00FC0ABC">
      <w:pPr>
        <w:pStyle w:val="Ttulo1"/>
      </w:pPr>
    </w:p>
    <w:p w14:paraId="0FF67F92" w14:textId="77777777" w:rsidR="007B27AB" w:rsidRDefault="007B27AB" w:rsidP="00FC0ABC">
      <w:pPr>
        <w:pStyle w:val="Ttulo1"/>
      </w:pPr>
    </w:p>
    <w:p w14:paraId="5F0CC491" w14:textId="611A9FD3" w:rsidR="001256F9" w:rsidRPr="00DE3FE7" w:rsidRDefault="00EC2BDF" w:rsidP="00FC0ABC">
      <w:pPr>
        <w:pStyle w:val="Ttulo1"/>
      </w:pPr>
      <w:r>
        <w:lastRenderedPageBreak/>
        <w:t>Criterio 29</w:t>
      </w:r>
      <w:r w:rsidR="001256F9" w:rsidRPr="00DE3FE7">
        <w:t>. Generar información en formatos abiertos</w:t>
      </w:r>
    </w:p>
    <w:p w14:paraId="07DDEA9C" w14:textId="42E49A11" w:rsidR="001256F9" w:rsidRPr="00DE3FE7" w:rsidRDefault="001256F9" w:rsidP="001256F9">
      <w:pPr>
        <w:jc w:val="both"/>
        <w:rPr>
          <w:sz w:val="24"/>
        </w:rPr>
      </w:pPr>
      <w:r w:rsidRPr="00DE3FE7">
        <w:rPr>
          <w:b/>
          <w:sz w:val="24"/>
        </w:rPr>
        <w:t>Descripción.</w:t>
      </w:r>
      <w:r w:rsidRPr="00DE3FE7">
        <w:rPr>
          <w:sz w:val="24"/>
        </w:rPr>
        <w:t xml:space="preserve"> </w:t>
      </w:r>
      <w:r w:rsidR="000F7254">
        <w:rPr>
          <w:sz w:val="24"/>
        </w:rPr>
        <w:t>El empleo del</w:t>
      </w:r>
      <w:r w:rsidRPr="00DE3FE7">
        <w:rPr>
          <w:sz w:val="24"/>
        </w:rPr>
        <w:t xml:space="preserve"> formato abierto pone a disposición pública las especificaciones del </w:t>
      </w:r>
      <w:r w:rsidRPr="00DE3FE7">
        <w:rPr>
          <w:i/>
          <w:sz w:val="24"/>
        </w:rPr>
        <w:t>software</w:t>
      </w:r>
      <w:r w:rsidRPr="00DE3FE7">
        <w:rPr>
          <w:sz w:val="24"/>
        </w:rPr>
        <w:t xml:space="preserve"> </w:t>
      </w:r>
      <w:r w:rsidR="000F7254">
        <w:rPr>
          <w:rFonts w:ascii="Cambria" w:hAnsi="Cambria"/>
          <w:sz w:val="24"/>
        </w:rPr>
        <w:t>—</w:t>
      </w:r>
      <w:r w:rsidRPr="00DE3FE7">
        <w:rPr>
          <w:sz w:val="24"/>
        </w:rPr>
        <w:t>sin limitación en su reutilización y libres de derechos de propiedad intelectual</w:t>
      </w:r>
      <w:r w:rsidR="000F7254">
        <w:rPr>
          <w:rFonts w:ascii="Cambria" w:hAnsi="Cambria"/>
          <w:sz w:val="24"/>
        </w:rPr>
        <w:t>—</w:t>
      </w:r>
      <w:r w:rsidRPr="00DE3FE7">
        <w:rPr>
          <w:sz w:val="24"/>
        </w:rPr>
        <w:t xml:space="preserve"> con el fin de facilitar su uso por cualquier persona, </w:t>
      </w:r>
      <w:r w:rsidR="000F7254">
        <w:rPr>
          <w:sz w:val="24"/>
        </w:rPr>
        <w:t xml:space="preserve">lo cual </w:t>
      </w:r>
      <w:r w:rsidRPr="00DE3FE7">
        <w:rPr>
          <w:sz w:val="24"/>
        </w:rPr>
        <w:t>incluye la gratuidad.</w:t>
      </w:r>
      <w:r w:rsidRPr="00DE3FE7">
        <w:rPr>
          <w:sz w:val="24"/>
          <w:vertAlign w:val="superscript"/>
        </w:rPr>
        <w:footnoteReference w:id="10"/>
      </w:r>
    </w:p>
    <w:p w14:paraId="677E26C8" w14:textId="46E62CC6" w:rsidR="001256F9" w:rsidRPr="00DE3FE7" w:rsidRDefault="001256F9" w:rsidP="00E75FB9">
      <w:pPr>
        <w:pBdr>
          <w:bottom w:val="single" w:sz="4" w:space="1" w:color="auto"/>
        </w:pBdr>
        <w:jc w:val="both"/>
        <w:rPr>
          <w:b/>
          <w:sz w:val="24"/>
        </w:rPr>
      </w:pPr>
      <w:r w:rsidRPr="00DE3FE7">
        <w:rPr>
          <w:b/>
          <w:sz w:val="24"/>
        </w:rPr>
        <w:t xml:space="preserve">Calificación. </w:t>
      </w:r>
      <w:r w:rsidR="00E75FB9">
        <w:rPr>
          <w:sz w:val="24"/>
        </w:rPr>
        <w:t>Generar y ofrecer</w:t>
      </w:r>
      <w:r w:rsidRPr="00DE3FE7">
        <w:rPr>
          <w:b/>
          <w:sz w:val="24"/>
        </w:rPr>
        <w:t xml:space="preserve"> </w:t>
      </w:r>
      <w:r w:rsidRPr="00DE3FE7">
        <w:rPr>
          <w:sz w:val="24"/>
        </w:rPr>
        <w:t xml:space="preserve">datos que pueden ser utilizados, reutilizados y redistribuidos libremente a través de </w:t>
      </w:r>
      <w:r w:rsidRPr="00DE3FE7">
        <w:rPr>
          <w:i/>
          <w:sz w:val="24"/>
        </w:rPr>
        <w:t xml:space="preserve">software </w:t>
      </w:r>
      <w:r w:rsidRPr="00DE3FE7">
        <w:rPr>
          <w:sz w:val="24"/>
        </w:rPr>
        <w:t>y por cualquier persona</w:t>
      </w:r>
      <w:r w:rsidRPr="00DE3FE7">
        <w:rPr>
          <w:b/>
          <w:sz w:val="24"/>
        </w:rPr>
        <w:t>.</w:t>
      </w:r>
    </w:p>
    <w:p w14:paraId="3022CD4E" w14:textId="4F2AAFC6" w:rsidR="001256F9" w:rsidRPr="00DE3FE7" w:rsidRDefault="0046291D" w:rsidP="00FC0ABC">
      <w:pPr>
        <w:pStyle w:val="Ttulo1"/>
      </w:pPr>
      <w:r>
        <w:t>Criterio 30</w:t>
      </w:r>
      <w:r w:rsidR="001256F9" w:rsidRPr="00EB4A9D">
        <w:t xml:space="preserve">. </w:t>
      </w:r>
      <w:r w:rsidR="00EB4A9D" w:rsidRPr="00EB4A9D">
        <w:t>asegurar la p</w:t>
      </w:r>
      <w:r w:rsidR="001256F9" w:rsidRPr="00EB4A9D">
        <w:t xml:space="preserve">rotección de los datos personales en </w:t>
      </w:r>
      <w:r w:rsidR="00EB4A9D" w:rsidRPr="00EB4A9D">
        <w:t xml:space="preserve">su </w:t>
      </w:r>
      <w:r w:rsidR="001256F9" w:rsidRPr="00EB4A9D">
        <w:t>posesión</w:t>
      </w:r>
      <w:r w:rsidR="003E2F04" w:rsidRPr="00EB4A9D">
        <w:t xml:space="preserve"> </w:t>
      </w:r>
    </w:p>
    <w:p w14:paraId="422B0473" w14:textId="2D1826BB" w:rsidR="001256F9" w:rsidRPr="00DE3FE7" w:rsidRDefault="001256F9" w:rsidP="001256F9">
      <w:pPr>
        <w:jc w:val="both"/>
        <w:rPr>
          <w:sz w:val="24"/>
        </w:rPr>
      </w:pPr>
      <w:r w:rsidRPr="00DE3FE7">
        <w:rPr>
          <w:b/>
          <w:sz w:val="24"/>
        </w:rPr>
        <w:t>Descripción.</w:t>
      </w:r>
      <w:r w:rsidRPr="00DE3FE7">
        <w:rPr>
          <w:sz w:val="24"/>
        </w:rPr>
        <w:t xml:space="preserve"> La legislación federal vigente en México,</w:t>
      </w:r>
      <w:r w:rsidR="00FC570D">
        <w:rPr>
          <w:sz w:val="24"/>
        </w:rPr>
        <w:t xml:space="preserve"> </w:t>
      </w:r>
      <w:r w:rsidRPr="00DE3FE7">
        <w:rPr>
          <w:sz w:val="24"/>
        </w:rPr>
        <w:t xml:space="preserve">considera datos personales </w:t>
      </w:r>
      <w:r w:rsidR="003E2F04">
        <w:rPr>
          <w:sz w:val="24"/>
        </w:rPr>
        <w:t xml:space="preserve">a </w:t>
      </w:r>
      <w:r w:rsidRPr="00DE3FE7">
        <w:rPr>
          <w:sz w:val="24"/>
        </w:rPr>
        <w:t>“La información concerniente a una persona física, identificada o identificable, entre otra, la relativa a su origen étnico o racial, o que esté referida a las características físicas, morales o emocionales, a su vida afectiva y familiar, domicilio, número telefónico, patrimonio, ideología y opiniones políticas, creencias o convicciones religiosas o filosóficas, los estados de salud físicos o mentales, las preferencias sexuales, u otras análogas que afecten su intimidad”.</w:t>
      </w:r>
      <w:r w:rsidRPr="00DE3FE7">
        <w:rPr>
          <w:rStyle w:val="Refdenotaalpie"/>
          <w:sz w:val="24"/>
        </w:rPr>
        <w:footnoteReference w:id="11"/>
      </w:r>
    </w:p>
    <w:p w14:paraId="07569054" w14:textId="071BA465" w:rsidR="001256F9" w:rsidRPr="00DE3FE7" w:rsidRDefault="001256F9" w:rsidP="001256F9">
      <w:pPr>
        <w:jc w:val="both"/>
        <w:rPr>
          <w:sz w:val="24"/>
        </w:rPr>
      </w:pPr>
      <w:r w:rsidRPr="00DE3FE7">
        <w:rPr>
          <w:sz w:val="24"/>
        </w:rPr>
        <w:t>El propio marco legal mexicano establece la regulación y resguardo de los datos personales por la autoridad especializada y competente en la materia</w:t>
      </w:r>
      <w:r w:rsidR="003E2F04">
        <w:rPr>
          <w:sz w:val="24"/>
        </w:rPr>
        <w:t>;</w:t>
      </w:r>
      <w:r w:rsidRPr="00DE3FE7">
        <w:rPr>
          <w:sz w:val="24"/>
        </w:rPr>
        <w:t xml:space="preserve"> es decir, los órganos garantes de transparencia. No obstante, la primera instancia de protección de datos personales corresponde a todos y cada uno de los sujetos obligados</w:t>
      </w:r>
      <w:r w:rsidR="003E2F04">
        <w:rPr>
          <w:sz w:val="24"/>
        </w:rPr>
        <w:t>,</w:t>
      </w:r>
      <w:r w:rsidRPr="00DE3FE7">
        <w:rPr>
          <w:sz w:val="24"/>
        </w:rPr>
        <w:t xml:space="preserve"> toda vez que son ellos quienes resguardan </w:t>
      </w:r>
      <w:r w:rsidR="003E2F04">
        <w:rPr>
          <w:sz w:val="24"/>
        </w:rPr>
        <w:t xml:space="preserve">primaria y </w:t>
      </w:r>
      <w:r w:rsidRPr="00DE3FE7">
        <w:rPr>
          <w:sz w:val="24"/>
        </w:rPr>
        <w:t xml:space="preserve">directamente los datos personales. </w:t>
      </w:r>
    </w:p>
    <w:p w14:paraId="1EEB8889" w14:textId="388FC8A3" w:rsidR="001256F9" w:rsidRPr="00DE3FE7" w:rsidRDefault="001256F9" w:rsidP="0046291D">
      <w:pPr>
        <w:pBdr>
          <w:bottom w:val="single" w:sz="4" w:space="1" w:color="auto"/>
        </w:pBdr>
        <w:jc w:val="both"/>
        <w:rPr>
          <w:sz w:val="24"/>
        </w:rPr>
      </w:pPr>
      <w:r w:rsidRPr="00DE3FE7">
        <w:rPr>
          <w:b/>
          <w:sz w:val="24"/>
        </w:rPr>
        <w:lastRenderedPageBreak/>
        <w:t xml:space="preserve">Calificación. </w:t>
      </w:r>
      <w:r w:rsidR="00A03C17">
        <w:rPr>
          <w:sz w:val="24"/>
        </w:rPr>
        <w:t>R</w:t>
      </w:r>
      <w:r w:rsidRPr="00DE3FE7">
        <w:rPr>
          <w:sz w:val="24"/>
        </w:rPr>
        <w:t>egulación legal armonizad</w:t>
      </w:r>
      <w:r w:rsidR="00A03C17">
        <w:rPr>
          <w:sz w:val="24"/>
        </w:rPr>
        <w:t>a</w:t>
      </w:r>
      <w:r w:rsidRPr="00DE3FE7">
        <w:rPr>
          <w:sz w:val="24"/>
        </w:rPr>
        <w:t xml:space="preserve"> con el marco local, </w:t>
      </w:r>
      <w:r w:rsidR="00A03C17">
        <w:rPr>
          <w:sz w:val="24"/>
        </w:rPr>
        <w:t xml:space="preserve">conteniendo </w:t>
      </w:r>
      <w:r w:rsidR="004D3610">
        <w:rPr>
          <w:sz w:val="24"/>
        </w:rPr>
        <w:t xml:space="preserve">explícitas </w:t>
      </w:r>
      <w:r w:rsidRPr="00DE3FE7">
        <w:rPr>
          <w:sz w:val="24"/>
        </w:rPr>
        <w:t xml:space="preserve">las obligaciones de los órganos garantes y las medidas de sanción por incumplimiento. </w:t>
      </w:r>
    </w:p>
    <w:p w14:paraId="4CE1B514" w14:textId="6467D814" w:rsidR="001256F9" w:rsidRPr="00DE3FE7" w:rsidRDefault="00AF64B8" w:rsidP="00FC0ABC">
      <w:pPr>
        <w:pStyle w:val="Ttulo1"/>
      </w:pPr>
      <w:r>
        <w:t>Criterio 31</w:t>
      </w:r>
      <w:r w:rsidR="001256F9" w:rsidRPr="00DE3FE7">
        <w:t>. Publicar proactivamente la información de interés público</w:t>
      </w:r>
    </w:p>
    <w:p w14:paraId="09EC9AC8" w14:textId="50DA9A7F" w:rsidR="001256F9" w:rsidRPr="00DE3FE7" w:rsidRDefault="001256F9" w:rsidP="001256F9">
      <w:pPr>
        <w:jc w:val="both"/>
        <w:rPr>
          <w:sz w:val="24"/>
        </w:rPr>
      </w:pPr>
      <w:r w:rsidRPr="00DE3FE7">
        <w:rPr>
          <w:b/>
          <w:sz w:val="24"/>
        </w:rPr>
        <w:t>Descripción.</w:t>
      </w:r>
      <w:r w:rsidRPr="00DE3FE7">
        <w:rPr>
          <w:sz w:val="24"/>
        </w:rPr>
        <w:t xml:space="preserve"> El interés público se relaciona con el conjunto de pretensiones vinculadas y relacionadas con las necesidades colectivas de los integrantes de la comunidad y protegidas mediante la intervención directa y permanente del Estado</w:t>
      </w:r>
      <w:r w:rsidR="004D3610">
        <w:rPr>
          <w:sz w:val="24"/>
        </w:rPr>
        <w:t>;</w:t>
      </w:r>
      <w:r w:rsidRPr="00DE3FE7">
        <w:rPr>
          <w:sz w:val="24"/>
          <w:vertAlign w:val="superscript"/>
        </w:rPr>
        <w:footnoteReference w:id="12"/>
      </w:r>
      <w:r w:rsidRPr="00DE3FE7">
        <w:rPr>
          <w:sz w:val="24"/>
        </w:rPr>
        <w:t xml:space="preserve"> en ese sentido, la Constitución contempla medidas de transparencia activa para los poderes de la </w:t>
      </w:r>
      <w:r w:rsidR="00D40F74">
        <w:rPr>
          <w:sz w:val="24"/>
        </w:rPr>
        <w:t>U</w:t>
      </w:r>
      <w:r w:rsidRPr="00DE3FE7">
        <w:rPr>
          <w:sz w:val="24"/>
        </w:rPr>
        <w:t>nión, además de los procedimientos de acceso a la información pública.</w:t>
      </w:r>
    </w:p>
    <w:p w14:paraId="54FAAE51" w14:textId="720BC860" w:rsidR="001256F9" w:rsidRPr="00DE3FE7" w:rsidRDefault="00D40F74" w:rsidP="001256F9">
      <w:pPr>
        <w:jc w:val="both"/>
        <w:rPr>
          <w:sz w:val="24"/>
        </w:rPr>
      </w:pPr>
      <w:r w:rsidRPr="00DE3FE7">
        <w:rPr>
          <w:sz w:val="24"/>
        </w:rPr>
        <w:t>Para fortalecer la política pública de transparencia en la información pública en México</w:t>
      </w:r>
      <w:r>
        <w:rPr>
          <w:sz w:val="24"/>
        </w:rPr>
        <w:t>, a lo antedicho s</w:t>
      </w:r>
      <w:r w:rsidR="001256F9" w:rsidRPr="00DE3FE7">
        <w:rPr>
          <w:sz w:val="24"/>
        </w:rPr>
        <w:t>e suma la obligación de mantener una política comunicacional hacia las y los ciudadanos, con el fin de explicar las acciones que realizan las instituciones públicas.</w:t>
      </w:r>
    </w:p>
    <w:p w14:paraId="2FFE3417" w14:textId="4912F533" w:rsidR="001256F9" w:rsidRPr="00DE3FE7" w:rsidRDefault="001256F9" w:rsidP="00AF64B8">
      <w:pPr>
        <w:pBdr>
          <w:bottom w:val="single" w:sz="4" w:space="1" w:color="auto"/>
        </w:pBdr>
        <w:jc w:val="both"/>
        <w:rPr>
          <w:sz w:val="24"/>
        </w:rPr>
      </w:pPr>
      <w:r w:rsidRPr="00DE3FE7">
        <w:rPr>
          <w:b/>
          <w:sz w:val="24"/>
        </w:rPr>
        <w:t>Calificación.</w:t>
      </w:r>
      <w:r w:rsidRPr="00DE3FE7">
        <w:rPr>
          <w:sz w:val="24"/>
        </w:rPr>
        <w:t xml:space="preserve"> El ordenamiento legal obliga a presentar información de interés público sin que medie procedimiento alguno, además de hacer arreglos tecnológicos y comunicacionales vinculados a los avances en el cumplimiento de las medidas de proactividad. </w:t>
      </w:r>
    </w:p>
    <w:p w14:paraId="462127F4" w14:textId="5CC59602" w:rsidR="001256F9" w:rsidRPr="00DE3FE7" w:rsidRDefault="007673AD" w:rsidP="00FC0ABC">
      <w:pPr>
        <w:pStyle w:val="Ttulo1"/>
      </w:pPr>
      <w:r>
        <w:t>Criterio 32</w:t>
      </w:r>
      <w:r w:rsidR="001256F9" w:rsidRPr="00DE3FE7">
        <w:t>. Contar con equipo de cómputo y asistencia técnica a disposición del público para facilitar las solicitudes de acceso a la información</w:t>
      </w:r>
    </w:p>
    <w:p w14:paraId="01068E11" w14:textId="61607364" w:rsidR="001256F9" w:rsidRPr="00DE3FE7" w:rsidRDefault="001256F9" w:rsidP="001256F9">
      <w:pPr>
        <w:jc w:val="both"/>
        <w:rPr>
          <w:sz w:val="24"/>
        </w:rPr>
      </w:pPr>
      <w:r w:rsidRPr="00DE3FE7">
        <w:t xml:space="preserve"> </w:t>
      </w:r>
      <w:r w:rsidRPr="00DE3FE7">
        <w:rPr>
          <w:b/>
          <w:sz w:val="24"/>
        </w:rPr>
        <w:t>Descripción.</w:t>
      </w:r>
      <w:r w:rsidRPr="00DE3FE7">
        <w:t xml:space="preserve"> </w:t>
      </w:r>
      <w:r w:rsidRPr="00DE3FE7">
        <w:rPr>
          <w:sz w:val="24"/>
        </w:rPr>
        <w:t xml:space="preserve">La política pública de transparencia </w:t>
      </w:r>
      <w:r w:rsidR="0023136D">
        <w:rPr>
          <w:sz w:val="24"/>
        </w:rPr>
        <w:t>se</w:t>
      </w:r>
      <w:r w:rsidRPr="00DE3FE7">
        <w:rPr>
          <w:sz w:val="24"/>
        </w:rPr>
        <w:t xml:space="preserve"> </w:t>
      </w:r>
      <w:r w:rsidR="0023136D">
        <w:rPr>
          <w:sz w:val="24"/>
        </w:rPr>
        <w:t>realiza con</w:t>
      </w:r>
      <w:r w:rsidRPr="00DE3FE7">
        <w:rPr>
          <w:sz w:val="24"/>
        </w:rPr>
        <w:t xml:space="preserve"> diversos elementos estructurales</w:t>
      </w:r>
      <w:r w:rsidR="0023136D">
        <w:rPr>
          <w:sz w:val="24"/>
        </w:rPr>
        <w:t xml:space="preserve"> y </w:t>
      </w:r>
      <w:r w:rsidRPr="00DE3FE7">
        <w:rPr>
          <w:sz w:val="24"/>
        </w:rPr>
        <w:t>procedimentales</w:t>
      </w:r>
      <w:r w:rsidR="0023136D">
        <w:rPr>
          <w:sz w:val="24"/>
        </w:rPr>
        <w:t xml:space="preserve"> apoyados en </w:t>
      </w:r>
      <w:r w:rsidRPr="00DE3FE7">
        <w:rPr>
          <w:sz w:val="24"/>
        </w:rPr>
        <w:t>el uso de herramientas tecnológicas que, en su conjunto, facilitan el acceso, goce y disfrute del derecho de acceso a la información.</w:t>
      </w:r>
    </w:p>
    <w:p w14:paraId="7384CE28" w14:textId="083C8D6F" w:rsidR="001256F9" w:rsidRPr="00DE3FE7" w:rsidRDefault="0023136D" w:rsidP="001256F9">
      <w:pPr>
        <w:jc w:val="both"/>
        <w:rPr>
          <w:sz w:val="24"/>
        </w:rPr>
      </w:pPr>
      <w:r>
        <w:rPr>
          <w:sz w:val="24"/>
        </w:rPr>
        <w:t xml:space="preserve">Por ello </w:t>
      </w:r>
      <w:r w:rsidRPr="00DE3FE7">
        <w:rPr>
          <w:sz w:val="24"/>
        </w:rPr>
        <w:t xml:space="preserve">resulta indispensable </w:t>
      </w:r>
      <w:r>
        <w:rPr>
          <w:sz w:val="24"/>
        </w:rPr>
        <w:t>p</w:t>
      </w:r>
      <w:r w:rsidR="001256F9" w:rsidRPr="00DE3FE7">
        <w:rPr>
          <w:sz w:val="24"/>
        </w:rPr>
        <w:t>oner a disposición del público herramientas informática</w:t>
      </w:r>
      <w:r>
        <w:rPr>
          <w:sz w:val="24"/>
        </w:rPr>
        <w:t>s</w:t>
      </w:r>
      <w:r w:rsidR="001256F9" w:rsidRPr="00DE3FE7">
        <w:rPr>
          <w:sz w:val="24"/>
        </w:rPr>
        <w:t xml:space="preserve"> y equipos computacionales además de la asistencia técnica directa para las personas que desconocen el </w:t>
      </w:r>
      <w:r w:rsidR="001256F9" w:rsidRPr="00DE3FE7">
        <w:rPr>
          <w:sz w:val="24"/>
        </w:rPr>
        <w:lastRenderedPageBreak/>
        <w:t>manejo de equipos de cómputo y el propio procedimiento establecido por Ley</w:t>
      </w:r>
      <w:r>
        <w:rPr>
          <w:sz w:val="24"/>
        </w:rPr>
        <w:t xml:space="preserve"> para solicitar información</w:t>
      </w:r>
      <w:r w:rsidR="001256F9" w:rsidRPr="00DE3FE7">
        <w:rPr>
          <w:sz w:val="24"/>
        </w:rPr>
        <w:t>.</w:t>
      </w:r>
    </w:p>
    <w:p w14:paraId="48E5C646" w14:textId="2E1DBFC2" w:rsidR="001256F9" w:rsidRPr="00DE3FE7" w:rsidRDefault="001256F9" w:rsidP="007673AD">
      <w:pPr>
        <w:pBdr>
          <w:bottom w:val="single" w:sz="4" w:space="1" w:color="auto"/>
        </w:pBdr>
        <w:jc w:val="both"/>
        <w:rPr>
          <w:sz w:val="24"/>
        </w:rPr>
      </w:pPr>
      <w:r w:rsidRPr="00DE3FE7">
        <w:rPr>
          <w:b/>
          <w:sz w:val="24"/>
        </w:rPr>
        <w:t xml:space="preserve">Calificación. </w:t>
      </w:r>
      <w:r w:rsidRPr="00DE3FE7">
        <w:rPr>
          <w:sz w:val="24"/>
        </w:rPr>
        <w:t>Establece lugares, herramientas informáticas, computacionales y asistencia técnica, como parte de las obligaciones de los sujetos públicos</w:t>
      </w:r>
      <w:r w:rsidR="0023136D">
        <w:rPr>
          <w:sz w:val="24"/>
        </w:rPr>
        <w:t xml:space="preserve"> </w:t>
      </w:r>
      <w:r w:rsidRPr="00DE3FE7">
        <w:rPr>
          <w:sz w:val="24"/>
        </w:rPr>
        <w:t xml:space="preserve">para facilitar la presentación de solicitudes de información. </w:t>
      </w:r>
    </w:p>
    <w:p w14:paraId="31F44678" w14:textId="05E410AD" w:rsidR="001256F9" w:rsidRPr="00DE3FE7" w:rsidRDefault="00B940FD" w:rsidP="00FC0ABC">
      <w:pPr>
        <w:pStyle w:val="Ttulo1"/>
      </w:pPr>
      <w:r>
        <w:t>Criterio 33</w:t>
      </w:r>
      <w:r w:rsidR="001256F9" w:rsidRPr="00DE3FE7">
        <w:t>. Deber de los sujetos obligados de reportar anualmente sobre las acciones de implementación de la Ley de Acceso a la Información Pública</w:t>
      </w:r>
      <w:r w:rsidR="001256F9" w:rsidRPr="00DE3FE7">
        <w:tab/>
      </w:r>
    </w:p>
    <w:p w14:paraId="034037AC" w14:textId="13C1C2E8" w:rsidR="001256F9" w:rsidRPr="00DE3FE7" w:rsidRDefault="001256F9" w:rsidP="001256F9">
      <w:pPr>
        <w:jc w:val="both"/>
        <w:rPr>
          <w:sz w:val="24"/>
        </w:rPr>
      </w:pPr>
      <w:r w:rsidRPr="00DE3FE7">
        <w:rPr>
          <w:b/>
          <w:sz w:val="24"/>
        </w:rPr>
        <w:t>Descripción.</w:t>
      </w:r>
      <w:r w:rsidRPr="00DE3FE7">
        <w:rPr>
          <w:sz w:val="24"/>
        </w:rPr>
        <w:t xml:space="preserve"> </w:t>
      </w:r>
      <w:r w:rsidR="00610A1A">
        <w:rPr>
          <w:sz w:val="24"/>
        </w:rPr>
        <w:t>El</w:t>
      </w:r>
      <w:r w:rsidRPr="00DE3FE7">
        <w:rPr>
          <w:sz w:val="24"/>
        </w:rPr>
        <w:t xml:space="preserve"> </w:t>
      </w:r>
      <w:r w:rsidR="00610A1A" w:rsidRPr="00610A1A">
        <w:rPr>
          <w:sz w:val="24"/>
        </w:rPr>
        <w:t>cumplimiento</w:t>
      </w:r>
      <w:r w:rsidRPr="00DE3FE7">
        <w:rPr>
          <w:sz w:val="24"/>
        </w:rPr>
        <w:t xml:space="preserve"> de la Ley de Acceso a la Información Pública requiere del reconocimiento, implementación y evaluación de </w:t>
      </w:r>
      <w:r w:rsidR="008F2599">
        <w:rPr>
          <w:sz w:val="24"/>
        </w:rPr>
        <w:t>acciones</w:t>
      </w:r>
      <w:r w:rsidRPr="00DE3FE7">
        <w:rPr>
          <w:sz w:val="24"/>
        </w:rPr>
        <w:t xml:space="preserve"> aceptad</w:t>
      </w:r>
      <w:r w:rsidR="008F2599">
        <w:rPr>
          <w:sz w:val="24"/>
        </w:rPr>
        <w:t>a</w:t>
      </w:r>
      <w:r w:rsidRPr="00DE3FE7">
        <w:rPr>
          <w:sz w:val="24"/>
        </w:rPr>
        <w:t>s entre diversos actores públicos y privados</w:t>
      </w:r>
      <w:r w:rsidR="00610A1A">
        <w:rPr>
          <w:sz w:val="24"/>
        </w:rPr>
        <w:t>;</w:t>
      </w:r>
      <w:r w:rsidRPr="00DE3FE7">
        <w:rPr>
          <w:sz w:val="24"/>
        </w:rPr>
        <w:t xml:space="preserve"> </w:t>
      </w:r>
      <w:r w:rsidR="00610A1A">
        <w:rPr>
          <w:sz w:val="24"/>
        </w:rPr>
        <w:t>p</w:t>
      </w:r>
      <w:r w:rsidRPr="00DE3FE7">
        <w:rPr>
          <w:sz w:val="24"/>
        </w:rPr>
        <w:t>or ello hace sentido la incorporación de estándares internacionales en el marco jurídico nacional y en las propias políticas de transparencia y acceso a la información pública</w:t>
      </w:r>
      <w:r w:rsidR="008F2599">
        <w:rPr>
          <w:sz w:val="24"/>
        </w:rPr>
        <w:t>, ya</w:t>
      </w:r>
      <w:r w:rsidRPr="00DE3FE7">
        <w:rPr>
          <w:sz w:val="24"/>
        </w:rPr>
        <w:t xml:space="preserve"> que tiene</w:t>
      </w:r>
      <w:r w:rsidR="00610A1A">
        <w:rPr>
          <w:sz w:val="24"/>
        </w:rPr>
        <w:t>n</w:t>
      </w:r>
      <w:r w:rsidRPr="00DE3FE7">
        <w:rPr>
          <w:sz w:val="24"/>
        </w:rPr>
        <w:t xml:space="preserve"> un doble efecto en la construcción de un c</w:t>
      </w:r>
      <w:r w:rsidR="008F2599">
        <w:rPr>
          <w:sz w:val="24"/>
        </w:rPr>
        <w:t>í</w:t>
      </w:r>
      <w:r w:rsidRPr="00DE3FE7">
        <w:rPr>
          <w:sz w:val="24"/>
        </w:rPr>
        <w:t>rculo virtuoso.</w:t>
      </w:r>
      <w:r w:rsidRPr="00DE3FE7">
        <w:rPr>
          <w:rStyle w:val="Refdenotaalpie"/>
          <w:sz w:val="24"/>
        </w:rPr>
        <w:footnoteReference w:id="13"/>
      </w:r>
    </w:p>
    <w:p w14:paraId="51A47F4D" w14:textId="46B956A0" w:rsidR="001256F9" w:rsidRPr="00DE3FE7" w:rsidRDefault="008F2599" w:rsidP="001256F9">
      <w:pPr>
        <w:jc w:val="both"/>
        <w:rPr>
          <w:sz w:val="24"/>
        </w:rPr>
      </w:pPr>
      <w:r>
        <w:rPr>
          <w:sz w:val="24"/>
        </w:rPr>
        <w:t xml:space="preserve">En principio, </w:t>
      </w:r>
      <w:r w:rsidR="001256F9" w:rsidRPr="00DE3FE7">
        <w:rPr>
          <w:sz w:val="24"/>
        </w:rPr>
        <w:t xml:space="preserve"> </w:t>
      </w:r>
      <w:r>
        <w:rPr>
          <w:sz w:val="24"/>
        </w:rPr>
        <w:t xml:space="preserve">reportar acerca de la implementación de la Ley </w:t>
      </w:r>
      <w:r w:rsidR="001256F9" w:rsidRPr="00DE3FE7">
        <w:rPr>
          <w:sz w:val="24"/>
        </w:rPr>
        <w:t xml:space="preserve">es un paso </w:t>
      </w:r>
      <w:r w:rsidR="00610A1A">
        <w:rPr>
          <w:sz w:val="24"/>
        </w:rPr>
        <w:t xml:space="preserve">estratégico </w:t>
      </w:r>
      <w:r w:rsidR="001256F9" w:rsidRPr="00DE3FE7">
        <w:rPr>
          <w:sz w:val="24"/>
        </w:rPr>
        <w:t xml:space="preserve">para </w:t>
      </w:r>
      <w:r w:rsidR="00610A1A">
        <w:rPr>
          <w:sz w:val="24"/>
        </w:rPr>
        <w:t>pasar</w:t>
      </w:r>
      <w:r w:rsidR="00610A1A" w:rsidRPr="00DE3FE7">
        <w:rPr>
          <w:sz w:val="24"/>
        </w:rPr>
        <w:t xml:space="preserve"> </w:t>
      </w:r>
      <w:r w:rsidR="001256F9" w:rsidRPr="00DE3FE7">
        <w:rPr>
          <w:sz w:val="24"/>
        </w:rPr>
        <w:t>de la retórica a la práctica en materia de cumplimiento de las obligaciones básicas de respetar, proteger y garantizar los derechos humanos de las personas,</w:t>
      </w:r>
      <w:r w:rsidR="001256F9" w:rsidRPr="00DE3FE7">
        <w:rPr>
          <w:rStyle w:val="Refdenotaalpie"/>
          <w:sz w:val="24"/>
        </w:rPr>
        <w:footnoteReference w:id="14"/>
      </w:r>
      <w:r w:rsidR="001256F9" w:rsidRPr="00DE3FE7">
        <w:rPr>
          <w:sz w:val="24"/>
        </w:rPr>
        <w:t xml:space="preserve"> independientemente de su origen nacional, situación jurídica, social o cualquier otra condición; una segunda razón, radica en </w:t>
      </w:r>
      <w:r>
        <w:rPr>
          <w:sz w:val="24"/>
        </w:rPr>
        <w:t xml:space="preserve">el hecho de que </w:t>
      </w:r>
      <w:r w:rsidR="001256F9" w:rsidRPr="00DE3FE7">
        <w:rPr>
          <w:sz w:val="24"/>
        </w:rPr>
        <w:t>las acciones promovidas en el ámbito internacional a través de la fijación de estándares facilitan el mejoramiento de los marcos internos y, al mismo tiempo, trascienden los gobiernos en turno y consolida</w:t>
      </w:r>
      <w:r>
        <w:rPr>
          <w:sz w:val="24"/>
        </w:rPr>
        <w:t>n</w:t>
      </w:r>
      <w:r w:rsidR="001256F9" w:rsidRPr="00DE3FE7">
        <w:rPr>
          <w:sz w:val="24"/>
        </w:rPr>
        <w:t xml:space="preserve"> una política de Estado posible de monitorear y evaluar a través de diversos instrumentos y metodologías.</w:t>
      </w:r>
    </w:p>
    <w:p w14:paraId="2EB48132" w14:textId="4F3D206D" w:rsidR="001256F9" w:rsidRPr="00DE3FE7" w:rsidRDefault="001256F9" w:rsidP="00B940FD">
      <w:pPr>
        <w:pBdr>
          <w:bottom w:val="single" w:sz="4" w:space="1" w:color="auto"/>
        </w:pBdr>
        <w:jc w:val="both"/>
        <w:rPr>
          <w:sz w:val="24"/>
        </w:rPr>
      </w:pPr>
      <w:r w:rsidRPr="00DE3FE7">
        <w:rPr>
          <w:b/>
          <w:sz w:val="24"/>
        </w:rPr>
        <w:lastRenderedPageBreak/>
        <w:t>Calificación.</w:t>
      </w:r>
      <w:r w:rsidRPr="00DE3FE7">
        <w:rPr>
          <w:sz w:val="24"/>
        </w:rPr>
        <w:t xml:space="preserve"> </w:t>
      </w:r>
      <w:r w:rsidR="008F2599">
        <w:rPr>
          <w:sz w:val="24"/>
        </w:rPr>
        <w:t>Se i</w:t>
      </w:r>
      <w:r w:rsidR="008F2599" w:rsidRPr="008F2599">
        <w:rPr>
          <w:sz w:val="24"/>
        </w:rPr>
        <w:t>mplanta</w:t>
      </w:r>
      <w:r w:rsidR="008F2599">
        <w:rPr>
          <w:sz w:val="24"/>
        </w:rPr>
        <w:t xml:space="preserve"> la obligación de r</w:t>
      </w:r>
      <w:r w:rsidRPr="00DE3FE7">
        <w:rPr>
          <w:sz w:val="24"/>
        </w:rPr>
        <w:t xml:space="preserve">eportar anualmente la situación que guarda la implementación de la Ley de Acceso a la Información Pública a través de estándares reconocidos en instrumentos internacionales y desde un enfoque de derechos humanos. </w:t>
      </w:r>
    </w:p>
    <w:p w14:paraId="5DCD2BEF" w14:textId="256B5EB0" w:rsidR="001256F9" w:rsidRPr="00DE3FE7" w:rsidRDefault="00B940FD" w:rsidP="00FC0ABC">
      <w:pPr>
        <w:pStyle w:val="Ttulo1"/>
      </w:pPr>
      <w:r>
        <w:t>Criterio 34</w:t>
      </w:r>
      <w:r w:rsidR="001256F9" w:rsidRPr="00DE3FE7">
        <w:t>. Responder sustancialmente a las solicitudes de información que sean formuladas</w:t>
      </w:r>
      <w:r w:rsidR="001256F9" w:rsidRPr="00DE3FE7">
        <w:tab/>
      </w:r>
    </w:p>
    <w:p w14:paraId="231B68B0" w14:textId="5A8C647D" w:rsidR="001256F9" w:rsidRPr="00DE3FE7" w:rsidRDefault="001256F9" w:rsidP="001256F9">
      <w:pPr>
        <w:jc w:val="both"/>
        <w:rPr>
          <w:sz w:val="24"/>
        </w:rPr>
      </w:pPr>
      <w:r w:rsidRPr="00DE3FE7">
        <w:rPr>
          <w:b/>
          <w:sz w:val="24"/>
        </w:rPr>
        <w:t>Descripción.</w:t>
      </w:r>
      <w:r w:rsidRPr="00DE3FE7">
        <w:rPr>
          <w:sz w:val="24"/>
        </w:rPr>
        <w:t xml:space="preserve"> Las solicitudes de información son </w:t>
      </w:r>
      <w:r w:rsidR="00217BE3" w:rsidRPr="00DE3FE7">
        <w:rPr>
          <w:sz w:val="24"/>
        </w:rPr>
        <w:t>la cara opuesta a la tradicional cultura del</w:t>
      </w:r>
      <w:r w:rsidR="00217BE3">
        <w:rPr>
          <w:sz w:val="24"/>
        </w:rPr>
        <w:t xml:space="preserve"> </w:t>
      </w:r>
      <w:r w:rsidR="00217BE3" w:rsidRPr="00DE3FE7">
        <w:rPr>
          <w:sz w:val="24"/>
        </w:rPr>
        <w:t xml:space="preserve">secretismo en la función pública </w:t>
      </w:r>
      <w:r w:rsidR="00217BE3">
        <w:rPr>
          <w:sz w:val="24"/>
        </w:rPr>
        <w:t xml:space="preserve">y </w:t>
      </w:r>
      <w:r w:rsidRPr="00DE3FE7">
        <w:rPr>
          <w:sz w:val="24"/>
        </w:rPr>
        <w:t>parte del</w:t>
      </w:r>
      <w:r w:rsidR="00FC570D">
        <w:rPr>
          <w:sz w:val="24"/>
        </w:rPr>
        <w:t xml:space="preserve"> </w:t>
      </w:r>
      <w:r w:rsidRPr="00DE3FE7">
        <w:rPr>
          <w:sz w:val="24"/>
        </w:rPr>
        <w:t>ejercicio del derecho humano a la información pública</w:t>
      </w:r>
      <w:r w:rsidR="00217BE3">
        <w:rPr>
          <w:sz w:val="24"/>
        </w:rPr>
        <w:t xml:space="preserve"> para el</w:t>
      </w:r>
      <w:r w:rsidRPr="00DE3FE7">
        <w:rPr>
          <w:sz w:val="24"/>
        </w:rPr>
        <w:t xml:space="preserve"> que el Estado </w:t>
      </w:r>
      <w:r w:rsidR="00F80AD2">
        <w:rPr>
          <w:sz w:val="24"/>
        </w:rPr>
        <w:t>h</w:t>
      </w:r>
      <w:r w:rsidRPr="00DE3FE7">
        <w:rPr>
          <w:sz w:val="24"/>
        </w:rPr>
        <w:t>a dispuesto de una especial protección. Al mismo tiempo, el acceso a la información es una herramienta de la transparencia en la gestión pública.</w:t>
      </w:r>
    </w:p>
    <w:p w14:paraId="6D8BDAE3" w14:textId="3C0B32CA" w:rsidR="001256F9" w:rsidRPr="00DE3FE7" w:rsidRDefault="001256F9" w:rsidP="001256F9">
      <w:pPr>
        <w:jc w:val="both"/>
        <w:rPr>
          <w:sz w:val="24"/>
        </w:rPr>
      </w:pPr>
      <w:r w:rsidRPr="00DE3FE7">
        <w:rPr>
          <w:sz w:val="24"/>
        </w:rPr>
        <w:t>Considerando esa doble dimensión, las respuestas que se ofrecen a los peticionarios de la información pública deben contar con los criterios de confiabilidad de los datos o información entregada,</w:t>
      </w:r>
      <w:r w:rsidR="00217BE3">
        <w:rPr>
          <w:sz w:val="24"/>
        </w:rPr>
        <w:t xml:space="preserve"> así como la garantía de</w:t>
      </w:r>
      <w:r w:rsidRPr="00DE3FE7">
        <w:rPr>
          <w:sz w:val="24"/>
        </w:rPr>
        <w:t xml:space="preserve"> máxima búsqueda, calidad y volumen adecuado a la necesidad de la solicitud y la entrega de la misma en forma oportuna en el tiempo.</w:t>
      </w:r>
      <w:r w:rsidRPr="00DE3FE7">
        <w:rPr>
          <w:rStyle w:val="Refdenotaalpie"/>
          <w:sz w:val="24"/>
        </w:rPr>
        <w:footnoteReference w:id="15"/>
      </w:r>
    </w:p>
    <w:p w14:paraId="29592416" w14:textId="56A51D0A" w:rsidR="001256F9" w:rsidRDefault="001256F9" w:rsidP="00592588">
      <w:pPr>
        <w:jc w:val="both"/>
        <w:rPr>
          <w:sz w:val="24"/>
        </w:rPr>
      </w:pPr>
      <w:r w:rsidRPr="00DE3FE7">
        <w:rPr>
          <w:b/>
          <w:sz w:val="24"/>
        </w:rPr>
        <w:t>Calificación.</w:t>
      </w:r>
      <w:r w:rsidRPr="00DE3FE7">
        <w:rPr>
          <w:sz w:val="24"/>
        </w:rPr>
        <w:t xml:space="preserve"> El marco legal fija criterios para la entrega de la información pública atendiendo a los criterios de máxima búsqueda, calidad, volumen, publicidad y pertinencia en el tiempo.</w:t>
      </w:r>
      <w:r w:rsidR="0070643A">
        <w:rPr>
          <w:sz w:val="24"/>
        </w:rPr>
        <w:t xml:space="preserve"> Se establece como obligación de los sujetos obligados que respondan a las solicitudes atendiendo a dichos criterios.</w:t>
      </w:r>
    </w:p>
    <w:p w14:paraId="09C7B322" w14:textId="4D2FCD35" w:rsidR="005D0998" w:rsidRPr="005D0998" w:rsidRDefault="00581A1B" w:rsidP="005D0998">
      <w:pPr>
        <w:pStyle w:val="Ttulo1"/>
      </w:pPr>
      <w:r w:rsidRPr="00155D65">
        <w:t>Criterio 35</w:t>
      </w:r>
      <w:r w:rsidR="00592588" w:rsidRPr="00155D65">
        <w:t xml:space="preserve">. </w:t>
      </w:r>
      <w:r w:rsidR="00D939AD" w:rsidRPr="00155D65">
        <w:t>obligatoriedad en el cumplimiento de las resoluciones del órgano garante</w:t>
      </w:r>
    </w:p>
    <w:p w14:paraId="7FBA48F6" w14:textId="4224CC1C" w:rsidR="00592588" w:rsidRDefault="00D50769" w:rsidP="00592588">
      <w:pPr>
        <w:rPr>
          <w:sz w:val="24"/>
        </w:rPr>
      </w:pPr>
      <w:r>
        <w:t xml:space="preserve"> </w:t>
      </w:r>
      <w:r w:rsidR="00EE65FB" w:rsidRPr="00DE3FE7">
        <w:rPr>
          <w:b/>
          <w:sz w:val="24"/>
        </w:rPr>
        <w:t>Descripción.</w:t>
      </w:r>
      <w:r w:rsidR="00EE65FB" w:rsidRPr="00DE3FE7">
        <w:rPr>
          <w:sz w:val="24"/>
        </w:rPr>
        <w:t xml:space="preserve"> </w:t>
      </w:r>
      <w:r w:rsidR="005D0998">
        <w:rPr>
          <w:sz w:val="24"/>
        </w:rPr>
        <w:t xml:space="preserve">Uno de los mayores retos de las leyes de transparencia en México es asegurar la entrega de información pública a quienes la solicitan, sobre todo, cuando hay reticencias de los sujetos obligados. Además de establecer los cimientos para la construcción de órganos garantes de </w:t>
      </w:r>
      <w:proofErr w:type="gramStart"/>
      <w:r w:rsidR="005D0998">
        <w:rPr>
          <w:sz w:val="24"/>
        </w:rPr>
        <w:t>la transparencia fuertes</w:t>
      </w:r>
      <w:proofErr w:type="gramEnd"/>
      <w:r w:rsidR="005D0998">
        <w:rPr>
          <w:sz w:val="24"/>
        </w:rPr>
        <w:t xml:space="preserve">, se puede abonar a reforzar el cumplimiento de las resoluciones </w:t>
      </w:r>
      <w:r w:rsidR="005D0998">
        <w:rPr>
          <w:sz w:val="24"/>
        </w:rPr>
        <w:lastRenderedPageBreak/>
        <w:t>de los OG al establecer como obligación de los sujetos de la transparencia que cumplan con las resoluciones de dichos órganos.</w:t>
      </w:r>
    </w:p>
    <w:p w14:paraId="1FD2FCE5" w14:textId="5807E64F" w:rsidR="005D0998" w:rsidRPr="005F3819" w:rsidRDefault="005D0998" w:rsidP="005F3819">
      <w:pPr>
        <w:pBdr>
          <w:bottom w:val="single" w:sz="4" w:space="1" w:color="auto"/>
        </w:pBdr>
        <w:jc w:val="both"/>
        <w:rPr>
          <w:sz w:val="24"/>
        </w:rPr>
      </w:pPr>
      <w:r w:rsidRPr="004C2C15">
        <w:rPr>
          <w:b/>
          <w:sz w:val="24"/>
        </w:rPr>
        <w:t>Calificación.</w:t>
      </w:r>
      <w:r>
        <w:rPr>
          <w:b/>
          <w:sz w:val="24"/>
        </w:rPr>
        <w:t xml:space="preserve"> </w:t>
      </w:r>
      <w:r w:rsidRPr="00590536">
        <w:rPr>
          <w:sz w:val="24"/>
        </w:rPr>
        <w:t>L</w:t>
      </w:r>
      <w:r>
        <w:rPr>
          <w:sz w:val="24"/>
        </w:rPr>
        <w:t>a ley lo señala de manera explícita en el apartado de obligaciones de los SO.</w:t>
      </w:r>
    </w:p>
    <w:p w14:paraId="6C9AA60D" w14:textId="77777777" w:rsidR="001256F9" w:rsidRPr="00DE3FE7" w:rsidRDefault="001256F9" w:rsidP="001256F9">
      <w:pPr>
        <w:pStyle w:val="Ttulo1"/>
        <w:numPr>
          <w:ilvl w:val="0"/>
          <w:numId w:val="2"/>
        </w:numPr>
        <w:rPr>
          <w:b w:val="0"/>
        </w:rPr>
      </w:pPr>
      <w:bookmarkStart w:id="7" w:name="_Criterios_legales_que"/>
      <w:bookmarkEnd w:id="7"/>
      <w:r w:rsidRPr="00DE3FE7">
        <w:t>Criterios legales que regulan la clasificación de la información</w:t>
      </w:r>
    </w:p>
    <w:p w14:paraId="03E13C82" w14:textId="0356E379" w:rsidR="001256F9" w:rsidRPr="00DE3FE7" w:rsidRDefault="001256F9" w:rsidP="001256F9">
      <w:pPr>
        <w:jc w:val="both"/>
        <w:rPr>
          <w:sz w:val="24"/>
        </w:rPr>
      </w:pPr>
      <w:r w:rsidRPr="00DE3FE7">
        <w:rPr>
          <w:sz w:val="24"/>
        </w:rPr>
        <w:t>La transparencia y el acceso a la información pública debe</w:t>
      </w:r>
      <w:r w:rsidR="00BF0195">
        <w:rPr>
          <w:sz w:val="24"/>
        </w:rPr>
        <w:t>n</w:t>
      </w:r>
      <w:r w:rsidRPr="00DE3FE7">
        <w:rPr>
          <w:sz w:val="24"/>
        </w:rPr>
        <w:t xml:space="preserve"> contar con criterios claros para el procedimiento de clasificación de la información. De esta forma se reduce la discrecional</w:t>
      </w:r>
      <w:r w:rsidR="00BF0195">
        <w:rPr>
          <w:sz w:val="24"/>
        </w:rPr>
        <w:t>idad</w:t>
      </w:r>
      <w:r w:rsidRPr="00DE3FE7">
        <w:rPr>
          <w:sz w:val="24"/>
        </w:rPr>
        <w:t xml:space="preserve"> por parte de las autoridades para restringir </w:t>
      </w:r>
      <w:r w:rsidR="00BF0195" w:rsidRPr="00DE3FE7">
        <w:rPr>
          <w:sz w:val="24"/>
        </w:rPr>
        <w:t xml:space="preserve">a conveniencia </w:t>
      </w:r>
      <w:r w:rsidRPr="00DE3FE7">
        <w:rPr>
          <w:sz w:val="24"/>
        </w:rPr>
        <w:t>el acceso a información, y se da certeza a la población sobre la legalidad del proceso al publicar dichos criterios y sus formas de aplicación.</w:t>
      </w:r>
    </w:p>
    <w:p w14:paraId="72DAFD66" w14:textId="35B9BC4B" w:rsidR="001256F9" w:rsidRDefault="0011672D" w:rsidP="00FC0ABC">
      <w:pPr>
        <w:pStyle w:val="Ttulo1"/>
      </w:pPr>
      <w:r w:rsidRPr="00DE6FF0">
        <w:t>Criterio 36</w:t>
      </w:r>
      <w:r w:rsidR="001256F9" w:rsidRPr="00DE6FF0">
        <w:t xml:space="preserve">. </w:t>
      </w:r>
      <w:r w:rsidRPr="00DE6FF0">
        <w:t>reserva excepcional por cuestiones de interés público</w:t>
      </w:r>
    </w:p>
    <w:p w14:paraId="58151797" w14:textId="77777777" w:rsidR="0059016C" w:rsidRPr="00590536" w:rsidRDefault="0059016C" w:rsidP="0059016C">
      <w:pPr>
        <w:jc w:val="both"/>
        <w:rPr>
          <w:sz w:val="24"/>
        </w:rPr>
      </w:pPr>
      <w:r>
        <w:rPr>
          <w:b/>
          <w:sz w:val="24"/>
        </w:rPr>
        <w:t xml:space="preserve">Descripción. </w:t>
      </w:r>
      <w:r w:rsidRPr="009C1307">
        <w:rPr>
          <w:sz w:val="24"/>
        </w:rPr>
        <w:t>Para la aplicación del criterio se requiere</w:t>
      </w:r>
      <w:r>
        <w:rPr>
          <w:b/>
          <w:sz w:val="24"/>
        </w:rPr>
        <w:t xml:space="preserve"> </w:t>
      </w:r>
      <w:r>
        <w:rPr>
          <w:sz w:val="24"/>
        </w:rPr>
        <w:t>d</w:t>
      </w:r>
      <w:r w:rsidRPr="00590536">
        <w:rPr>
          <w:sz w:val="24"/>
        </w:rPr>
        <w:t>emostrar</w:t>
      </w:r>
      <w:r>
        <w:rPr>
          <w:sz w:val="24"/>
        </w:rPr>
        <w:t xml:space="preserve"> que la reserva es la excepción, señalando las características del interés público y </w:t>
      </w:r>
      <w:r w:rsidRPr="00590536">
        <w:rPr>
          <w:sz w:val="24"/>
        </w:rPr>
        <w:t>acot</w:t>
      </w:r>
      <w:r>
        <w:rPr>
          <w:sz w:val="24"/>
        </w:rPr>
        <w:t>án</w:t>
      </w:r>
      <w:r w:rsidRPr="00590536">
        <w:rPr>
          <w:sz w:val="24"/>
        </w:rPr>
        <w:t>d</w:t>
      </w:r>
      <w:r>
        <w:rPr>
          <w:sz w:val="24"/>
        </w:rPr>
        <w:t>ol</w:t>
      </w:r>
      <w:r w:rsidRPr="00590536">
        <w:rPr>
          <w:sz w:val="24"/>
        </w:rPr>
        <w:t xml:space="preserve">a </w:t>
      </w:r>
      <w:r>
        <w:rPr>
          <w:sz w:val="24"/>
        </w:rPr>
        <w:t xml:space="preserve">al </w:t>
      </w:r>
      <w:r w:rsidRPr="00590536">
        <w:rPr>
          <w:sz w:val="24"/>
        </w:rPr>
        <w:t>principio de má</w:t>
      </w:r>
      <w:r>
        <w:rPr>
          <w:sz w:val="24"/>
        </w:rPr>
        <w:t xml:space="preserve">xima publicidad </w:t>
      </w:r>
      <w:r w:rsidRPr="00590536">
        <w:rPr>
          <w:sz w:val="24"/>
        </w:rPr>
        <w:t>y</w:t>
      </w:r>
      <w:r>
        <w:rPr>
          <w:sz w:val="24"/>
        </w:rPr>
        <w:t xml:space="preserve"> a una </w:t>
      </w:r>
      <w:r w:rsidRPr="00590536">
        <w:rPr>
          <w:sz w:val="24"/>
        </w:rPr>
        <w:t>temporal</w:t>
      </w:r>
      <w:r>
        <w:rPr>
          <w:sz w:val="24"/>
        </w:rPr>
        <w:t>idad proporcional al caso</w:t>
      </w:r>
      <w:r w:rsidRPr="00590536">
        <w:rPr>
          <w:sz w:val="24"/>
        </w:rPr>
        <w:t>.</w:t>
      </w:r>
    </w:p>
    <w:p w14:paraId="090D236F" w14:textId="581AFD51" w:rsidR="0059016C" w:rsidRPr="0059016C" w:rsidRDefault="0059016C" w:rsidP="0059016C">
      <w:pPr>
        <w:pBdr>
          <w:bottom w:val="single" w:sz="4" w:space="1" w:color="auto"/>
        </w:pBdr>
        <w:jc w:val="both"/>
        <w:rPr>
          <w:sz w:val="24"/>
        </w:rPr>
      </w:pPr>
      <w:r w:rsidRPr="004C2C15">
        <w:rPr>
          <w:b/>
          <w:sz w:val="24"/>
        </w:rPr>
        <w:t>Calificación.</w:t>
      </w:r>
      <w:r>
        <w:rPr>
          <w:b/>
          <w:sz w:val="24"/>
        </w:rPr>
        <w:t xml:space="preserve"> </w:t>
      </w:r>
      <w:r w:rsidRPr="00590536">
        <w:rPr>
          <w:sz w:val="24"/>
        </w:rPr>
        <w:t>L</w:t>
      </w:r>
      <w:r>
        <w:rPr>
          <w:sz w:val="24"/>
        </w:rPr>
        <w:t>a ley lo señala de manera explícita.</w:t>
      </w:r>
    </w:p>
    <w:p w14:paraId="69182CB1" w14:textId="11D3BB95" w:rsidR="0011672D" w:rsidRPr="0011672D" w:rsidRDefault="0011672D" w:rsidP="00AB7D38">
      <w:pPr>
        <w:pStyle w:val="Ttulo1"/>
      </w:pPr>
      <w:r>
        <w:t>Criterio 37</w:t>
      </w:r>
      <w:r w:rsidRPr="00DE3FE7">
        <w:t>. Prevé versiones públicas de los documentos clasificados</w:t>
      </w:r>
    </w:p>
    <w:p w14:paraId="56381868" w14:textId="26CB5C9E" w:rsidR="001256F9" w:rsidRPr="00DE3FE7" w:rsidRDefault="001256F9" w:rsidP="001256F9">
      <w:pPr>
        <w:jc w:val="both"/>
        <w:rPr>
          <w:sz w:val="24"/>
        </w:rPr>
      </w:pPr>
      <w:r w:rsidRPr="00DE3FE7">
        <w:rPr>
          <w:b/>
          <w:sz w:val="24"/>
        </w:rPr>
        <w:t xml:space="preserve">Descripción. </w:t>
      </w:r>
      <w:r w:rsidRPr="00DE3FE7">
        <w:rPr>
          <w:sz w:val="24"/>
        </w:rPr>
        <w:t>Los estándares actuales son sensibles al principio de máxima publicidad</w:t>
      </w:r>
      <w:r w:rsidR="00DE7000">
        <w:rPr>
          <w:sz w:val="24"/>
        </w:rPr>
        <w:t>; e</w:t>
      </w:r>
      <w:r w:rsidRPr="00DE3FE7">
        <w:rPr>
          <w:sz w:val="24"/>
        </w:rPr>
        <w:t>n ellos se establece la obligación de la autoridad para elaborar versiones públicas de los documentos clasifi</w:t>
      </w:r>
      <w:r w:rsidR="00BF0195">
        <w:rPr>
          <w:sz w:val="24"/>
        </w:rPr>
        <w:t>cados</w:t>
      </w:r>
      <w:r w:rsidRPr="00DE3FE7">
        <w:rPr>
          <w:sz w:val="24"/>
        </w:rPr>
        <w:t>,</w:t>
      </w:r>
      <w:r w:rsidR="00BF0195">
        <w:rPr>
          <w:sz w:val="24"/>
        </w:rPr>
        <w:t xml:space="preserve"> </w:t>
      </w:r>
      <w:r w:rsidRPr="00DE3FE7">
        <w:rPr>
          <w:sz w:val="24"/>
        </w:rPr>
        <w:t xml:space="preserve">resguardando en todo momento los datos personales </w:t>
      </w:r>
      <w:r w:rsidR="00BF0195">
        <w:rPr>
          <w:sz w:val="24"/>
        </w:rPr>
        <w:t>para que</w:t>
      </w:r>
      <w:r w:rsidRPr="00DE3FE7">
        <w:rPr>
          <w:sz w:val="24"/>
        </w:rPr>
        <w:t xml:space="preserve"> la información reservada no sea del conocimiento público.</w:t>
      </w:r>
    </w:p>
    <w:p w14:paraId="410D2C6A" w14:textId="1E5E4F75" w:rsidR="001256F9" w:rsidRPr="00DE3FE7" w:rsidRDefault="001256F9" w:rsidP="00AB7D38">
      <w:pPr>
        <w:pBdr>
          <w:bottom w:val="single" w:sz="4" w:space="1" w:color="auto"/>
        </w:pBdr>
        <w:jc w:val="both"/>
        <w:rPr>
          <w:sz w:val="24"/>
        </w:rPr>
      </w:pPr>
      <w:r w:rsidRPr="00DE3FE7">
        <w:rPr>
          <w:b/>
          <w:sz w:val="24"/>
        </w:rPr>
        <w:t xml:space="preserve">Calificación. </w:t>
      </w:r>
      <w:r w:rsidRPr="00DE3FE7">
        <w:rPr>
          <w:sz w:val="24"/>
        </w:rPr>
        <w:t>El marco legal establece la jerarquía del principio de máxima publicidad y obliga la elaboración de documentos con versiones públicas que resguarden datos personales</w:t>
      </w:r>
      <w:r w:rsidR="00FC570D">
        <w:rPr>
          <w:sz w:val="24"/>
        </w:rPr>
        <w:t xml:space="preserve"> </w:t>
      </w:r>
      <w:r w:rsidRPr="00DE3FE7">
        <w:rPr>
          <w:sz w:val="24"/>
        </w:rPr>
        <w:t>e información reservada.</w:t>
      </w:r>
    </w:p>
    <w:p w14:paraId="316DC828" w14:textId="18C45FCC" w:rsidR="001256F9" w:rsidRPr="00DE3FE7" w:rsidRDefault="00C92A12" w:rsidP="00FC0ABC">
      <w:pPr>
        <w:pStyle w:val="Ttulo1"/>
      </w:pPr>
      <w:r>
        <w:lastRenderedPageBreak/>
        <w:t>Criterio 38</w:t>
      </w:r>
      <w:r w:rsidR="001256F9" w:rsidRPr="00DE3FE7">
        <w:t>. Obligación de fundar y motivar la reserva bajo el régimen de excepción</w:t>
      </w:r>
      <w:r>
        <w:t xml:space="preserve"> </w:t>
      </w:r>
    </w:p>
    <w:p w14:paraId="5BA484B7" w14:textId="57B94D13" w:rsidR="001256F9" w:rsidRPr="00DE3FE7" w:rsidRDefault="001256F9" w:rsidP="001256F9">
      <w:pPr>
        <w:jc w:val="both"/>
        <w:rPr>
          <w:sz w:val="24"/>
        </w:rPr>
      </w:pPr>
      <w:r w:rsidRPr="00DE3FE7">
        <w:rPr>
          <w:b/>
          <w:sz w:val="24"/>
        </w:rPr>
        <w:t>Descripción.</w:t>
      </w:r>
      <w:r w:rsidRPr="00DE3FE7">
        <w:rPr>
          <w:sz w:val="24"/>
        </w:rPr>
        <w:t xml:space="preserve"> El artículo 16 constitucional</w:t>
      </w:r>
      <w:r w:rsidR="0044418B">
        <w:rPr>
          <w:sz w:val="24"/>
        </w:rPr>
        <w:t xml:space="preserve"> </w:t>
      </w:r>
      <w:r w:rsidRPr="00DE3FE7">
        <w:rPr>
          <w:sz w:val="24"/>
        </w:rPr>
        <w:t xml:space="preserve">señala </w:t>
      </w:r>
      <w:r w:rsidR="0044418B">
        <w:rPr>
          <w:sz w:val="24"/>
        </w:rPr>
        <w:t xml:space="preserve">que </w:t>
      </w:r>
      <w:r w:rsidR="0044418B" w:rsidRPr="00DE3FE7">
        <w:rPr>
          <w:sz w:val="24"/>
        </w:rPr>
        <w:t>para tener validez jurídica</w:t>
      </w:r>
      <w:r w:rsidR="0044418B">
        <w:rPr>
          <w:sz w:val="24"/>
        </w:rPr>
        <w:t>,</w:t>
      </w:r>
      <w:r w:rsidR="0044418B" w:rsidRPr="00DE3FE7">
        <w:rPr>
          <w:sz w:val="24"/>
        </w:rPr>
        <w:t xml:space="preserve"> </w:t>
      </w:r>
      <w:r w:rsidRPr="00DE3FE7">
        <w:rPr>
          <w:sz w:val="24"/>
        </w:rPr>
        <w:t xml:space="preserve">cualquier acto de autoridad </w:t>
      </w:r>
      <w:r w:rsidR="0044418B">
        <w:rPr>
          <w:sz w:val="24"/>
        </w:rPr>
        <w:t>debe cubrir los</w:t>
      </w:r>
      <w:r w:rsidR="0044418B" w:rsidRPr="00DE3FE7">
        <w:rPr>
          <w:sz w:val="24"/>
        </w:rPr>
        <w:t xml:space="preserve"> requisito</w:t>
      </w:r>
      <w:r w:rsidR="0044418B">
        <w:rPr>
          <w:sz w:val="24"/>
        </w:rPr>
        <w:t>s</w:t>
      </w:r>
      <w:r w:rsidR="0044418B" w:rsidRPr="00DE3FE7">
        <w:rPr>
          <w:sz w:val="24"/>
        </w:rPr>
        <w:t xml:space="preserve"> de</w:t>
      </w:r>
      <w:r w:rsidRPr="00DE3FE7">
        <w:rPr>
          <w:sz w:val="24"/>
        </w:rPr>
        <w:t xml:space="preserve"> </w:t>
      </w:r>
      <w:r w:rsidR="0044418B">
        <w:rPr>
          <w:sz w:val="24"/>
        </w:rPr>
        <w:t xml:space="preserve">hacerse </w:t>
      </w:r>
      <w:r w:rsidRPr="00DE3FE7">
        <w:rPr>
          <w:sz w:val="24"/>
        </w:rPr>
        <w:t>constar por escrito</w:t>
      </w:r>
      <w:r w:rsidR="0044418B">
        <w:rPr>
          <w:sz w:val="24"/>
        </w:rPr>
        <w:t>,</w:t>
      </w:r>
      <w:r w:rsidRPr="00DE3FE7">
        <w:rPr>
          <w:sz w:val="24"/>
        </w:rPr>
        <w:t xml:space="preserve"> </w:t>
      </w:r>
      <w:r w:rsidR="0044418B">
        <w:rPr>
          <w:sz w:val="24"/>
        </w:rPr>
        <w:t xml:space="preserve">así como de </w:t>
      </w:r>
      <w:r w:rsidRPr="00DE3FE7">
        <w:rPr>
          <w:sz w:val="24"/>
        </w:rPr>
        <w:t>estar fundado y motivado.</w:t>
      </w:r>
      <w:r w:rsidRPr="00DE3FE7">
        <w:rPr>
          <w:sz w:val="24"/>
          <w:vertAlign w:val="superscript"/>
        </w:rPr>
        <w:footnoteReference w:id="16"/>
      </w:r>
      <w:r w:rsidRPr="00DE3FE7">
        <w:rPr>
          <w:sz w:val="24"/>
        </w:rPr>
        <w:t xml:space="preserve"> Por ende, la restricción de información es un acto de autoridad que debe estar debidamente fundado y motivado para gozar de validez jurídica.</w:t>
      </w:r>
    </w:p>
    <w:p w14:paraId="518446AF" w14:textId="61536461" w:rsidR="001256F9" w:rsidRPr="00DE3FE7" w:rsidRDefault="001256F9" w:rsidP="001256F9">
      <w:pPr>
        <w:jc w:val="both"/>
        <w:rPr>
          <w:sz w:val="24"/>
        </w:rPr>
      </w:pPr>
      <w:r w:rsidRPr="00DE3FE7">
        <w:rPr>
          <w:sz w:val="24"/>
        </w:rPr>
        <w:t>Fundar</w:t>
      </w:r>
      <w:r w:rsidR="0044418B">
        <w:rPr>
          <w:sz w:val="24"/>
        </w:rPr>
        <w:t>,</w:t>
      </w:r>
      <w:r w:rsidRPr="00DE3FE7">
        <w:rPr>
          <w:sz w:val="24"/>
        </w:rPr>
        <w:t xml:space="preserve"> en términos jurídicos</w:t>
      </w:r>
      <w:r w:rsidR="0044418B">
        <w:rPr>
          <w:sz w:val="24"/>
        </w:rPr>
        <w:t>,</w:t>
      </w:r>
      <w:r w:rsidRPr="00DE3FE7">
        <w:rPr>
          <w:sz w:val="24"/>
        </w:rPr>
        <w:t xml:space="preserve"> es el deber de la autoridad de expresar, por escrito, los preceptos legales que regulan el hecho y las consecuencias jurídicas en su aplicación.</w:t>
      </w:r>
    </w:p>
    <w:p w14:paraId="5A98781F" w14:textId="69625E5E" w:rsidR="001256F9" w:rsidRPr="00DE3FE7" w:rsidRDefault="001256F9" w:rsidP="001256F9">
      <w:pPr>
        <w:jc w:val="both"/>
        <w:rPr>
          <w:sz w:val="24"/>
        </w:rPr>
      </w:pPr>
      <w:r w:rsidRPr="00DE3FE7">
        <w:rPr>
          <w:sz w:val="24"/>
        </w:rPr>
        <w:t xml:space="preserve">La motivación jurídica </w:t>
      </w:r>
      <w:r w:rsidR="00611D94">
        <w:rPr>
          <w:sz w:val="24"/>
        </w:rPr>
        <w:t>se refiere a</w:t>
      </w:r>
      <w:r w:rsidR="00611D94" w:rsidRPr="00DE3FE7">
        <w:rPr>
          <w:sz w:val="24"/>
        </w:rPr>
        <w:t xml:space="preserve"> </w:t>
      </w:r>
      <w:r w:rsidRPr="00DE3FE7">
        <w:rPr>
          <w:sz w:val="24"/>
        </w:rPr>
        <w:t xml:space="preserve">las razones por las cuales la autoridad considera que los hechos en que basa su proceder se encuentran probados y son precisamente los previstos en la disposición legal que </w:t>
      </w:r>
      <w:r w:rsidR="00D37822">
        <w:rPr>
          <w:sz w:val="24"/>
        </w:rPr>
        <w:t>pretende</w:t>
      </w:r>
      <w:r w:rsidR="00D37822" w:rsidRPr="00DE3FE7">
        <w:rPr>
          <w:sz w:val="24"/>
        </w:rPr>
        <w:t xml:space="preserve"> </w:t>
      </w:r>
      <w:r w:rsidRPr="00DE3FE7">
        <w:rPr>
          <w:sz w:val="24"/>
        </w:rPr>
        <w:t>aplicar.</w:t>
      </w:r>
      <w:r w:rsidRPr="00DE3FE7">
        <w:rPr>
          <w:sz w:val="24"/>
          <w:vertAlign w:val="superscript"/>
        </w:rPr>
        <w:footnoteReference w:id="17"/>
      </w:r>
    </w:p>
    <w:p w14:paraId="26452138" w14:textId="4BA83552" w:rsidR="001256F9" w:rsidRPr="00DE3FE7" w:rsidRDefault="001256F9" w:rsidP="00C92A12">
      <w:pPr>
        <w:pBdr>
          <w:bottom w:val="single" w:sz="4" w:space="1" w:color="auto"/>
        </w:pBdr>
        <w:jc w:val="both"/>
        <w:rPr>
          <w:sz w:val="24"/>
        </w:rPr>
      </w:pPr>
      <w:r w:rsidRPr="00DE3FE7">
        <w:rPr>
          <w:b/>
          <w:sz w:val="24"/>
        </w:rPr>
        <w:t xml:space="preserve">Calificación. </w:t>
      </w:r>
      <w:r w:rsidR="00BE63B4" w:rsidRPr="00C92A12">
        <w:rPr>
          <w:sz w:val="24"/>
        </w:rPr>
        <w:t xml:space="preserve">El </w:t>
      </w:r>
      <w:r w:rsidR="00BE63B4">
        <w:rPr>
          <w:sz w:val="24"/>
        </w:rPr>
        <w:t>m</w:t>
      </w:r>
      <w:r>
        <w:rPr>
          <w:sz w:val="24"/>
        </w:rPr>
        <w:t xml:space="preserve">arco legal establece </w:t>
      </w:r>
      <w:r w:rsidR="00BE63B4">
        <w:rPr>
          <w:sz w:val="24"/>
        </w:rPr>
        <w:t xml:space="preserve">para la autoridad </w:t>
      </w:r>
      <w:r>
        <w:rPr>
          <w:sz w:val="24"/>
        </w:rPr>
        <w:t>la obliga</w:t>
      </w:r>
      <w:r w:rsidR="00BE63B4">
        <w:rPr>
          <w:sz w:val="24"/>
        </w:rPr>
        <w:t>ción</w:t>
      </w:r>
      <w:r>
        <w:rPr>
          <w:sz w:val="24"/>
        </w:rPr>
        <w:t xml:space="preserve"> de fundar y motivar las respuestas ante las solicitudes de acceso a la información pública</w:t>
      </w:r>
      <w:r w:rsidRPr="00DE3FE7">
        <w:rPr>
          <w:sz w:val="24"/>
        </w:rPr>
        <w:t>.</w:t>
      </w:r>
    </w:p>
    <w:p w14:paraId="57B7984E" w14:textId="404CA84E" w:rsidR="00B4327A" w:rsidRDefault="00B4327A" w:rsidP="00D431F4">
      <w:pPr>
        <w:pStyle w:val="Ttulo1"/>
        <w:shd w:val="clear" w:color="auto" w:fill="FFFFFF" w:themeFill="background1"/>
      </w:pPr>
      <w:r w:rsidRPr="00D431F4">
        <w:t>Criterio 39. obligación de notificar a los solicitantes la demostración del daño claro, presente específico y probable a los intereses públicos determinados por la ley que justifica la reserva de información.</w:t>
      </w:r>
    </w:p>
    <w:p w14:paraId="6C1DDBDB" w14:textId="77777777" w:rsidR="00DE6FF0" w:rsidRDefault="00DE6FF0" w:rsidP="00DE6FF0">
      <w:pPr>
        <w:jc w:val="both"/>
        <w:rPr>
          <w:sz w:val="24"/>
        </w:rPr>
      </w:pPr>
      <w:r w:rsidRPr="009C1307">
        <w:rPr>
          <w:b/>
          <w:sz w:val="24"/>
        </w:rPr>
        <w:t>Descripción.</w:t>
      </w:r>
      <w:r>
        <w:rPr>
          <w:sz w:val="24"/>
        </w:rPr>
        <w:t xml:space="preserve"> La</w:t>
      </w:r>
      <w:r w:rsidRPr="009C1307">
        <w:rPr>
          <w:sz w:val="24"/>
        </w:rPr>
        <w:t xml:space="preserve"> doctrina sobre transparencia y acceso a la información </w:t>
      </w:r>
      <w:r>
        <w:rPr>
          <w:sz w:val="24"/>
        </w:rPr>
        <w:t>señala la “</w:t>
      </w:r>
      <w:r w:rsidRPr="009C1307">
        <w:rPr>
          <w:sz w:val="24"/>
        </w:rPr>
        <w:t>prueba de daño</w:t>
      </w:r>
      <w:r>
        <w:rPr>
          <w:sz w:val="24"/>
        </w:rPr>
        <w:t>” como un mecanismo efectivo que</w:t>
      </w:r>
      <w:r w:rsidRPr="009C1307">
        <w:rPr>
          <w:sz w:val="24"/>
        </w:rPr>
        <w:t xml:space="preserve"> implica una ponderación de derechos para argumentar objetivamente y demostrar la existencia de un daño presente, probable e inminente </w:t>
      </w:r>
      <w:r>
        <w:rPr>
          <w:sz w:val="24"/>
        </w:rPr>
        <w:t xml:space="preserve">en el </w:t>
      </w:r>
      <w:r w:rsidRPr="009C1307">
        <w:rPr>
          <w:sz w:val="24"/>
        </w:rPr>
        <w:t>que se desembocaría al permitir el acceso ciudadano a determinada información se</w:t>
      </w:r>
      <w:r>
        <w:rPr>
          <w:sz w:val="24"/>
        </w:rPr>
        <w:t>nsible y de acceso restringido.</w:t>
      </w:r>
    </w:p>
    <w:p w14:paraId="5088615C" w14:textId="77777777" w:rsidR="00DE6FF0" w:rsidRDefault="00DE6FF0" w:rsidP="00DE6FF0">
      <w:pPr>
        <w:jc w:val="both"/>
        <w:rPr>
          <w:sz w:val="24"/>
        </w:rPr>
      </w:pPr>
      <w:r>
        <w:rPr>
          <w:sz w:val="24"/>
        </w:rPr>
        <w:lastRenderedPageBreak/>
        <w:t>En resumen, se necesita que el responsable realice un</w:t>
      </w:r>
      <w:r w:rsidRPr="009C1307">
        <w:rPr>
          <w:sz w:val="24"/>
        </w:rPr>
        <w:t xml:space="preserve"> profundo </w:t>
      </w:r>
      <w:r>
        <w:rPr>
          <w:sz w:val="24"/>
        </w:rPr>
        <w:t xml:space="preserve">ejercicio </w:t>
      </w:r>
      <w:r w:rsidRPr="009C1307">
        <w:rPr>
          <w:sz w:val="24"/>
        </w:rPr>
        <w:t>de análisis y equilibrio sustancial entre</w:t>
      </w:r>
      <w:r>
        <w:rPr>
          <w:sz w:val="24"/>
        </w:rPr>
        <w:t xml:space="preserve"> los</w:t>
      </w:r>
      <w:r w:rsidRPr="009C1307">
        <w:rPr>
          <w:sz w:val="24"/>
        </w:rPr>
        <w:t xml:space="preserve"> derechos fundamentales </w:t>
      </w:r>
      <w:r>
        <w:rPr>
          <w:sz w:val="24"/>
        </w:rPr>
        <w:t>confrontados</w:t>
      </w:r>
      <w:r w:rsidRPr="009C1307">
        <w:rPr>
          <w:sz w:val="24"/>
        </w:rPr>
        <w:t>.</w:t>
      </w:r>
    </w:p>
    <w:p w14:paraId="645C343B" w14:textId="330BABFA" w:rsidR="00B4327A" w:rsidRPr="00DE6FF0" w:rsidRDefault="00DE6FF0" w:rsidP="00DE6FF0">
      <w:pPr>
        <w:pBdr>
          <w:bottom w:val="single" w:sz="4" w:space="1" w:color="auto"/>
        </w:pBdr>
        <w:jc w:val="both"/>
        <w:rPr>
          <w:sz w:val="24"/>
        </w:rPr>
      </w:pPr>
      <w:r w:rsidRPr="004C2C15">
        <w:rPr>
          <w:b/>
          <w:sz w:val="24"/>
        </w:rPr>
        <w:t>Calificación.</w:t>
      </w:r>
      <w:r>
        <w:rPr>
          <w:b/>
          <w:sz w:val="24"/>
        </w:rPr>
        <w:t xml:space="preserve"> </w:t>
      </w:r>
      <w:r w:rsidRPr="00FC0ABC">
        <w:rPr>
          <w:sz w:val="24"/>
        </w:rPr>
        <w:t xml:space="preserve">La </w:t>
      </w:r>
      <w:r w:rsidRPr="002E5C5C">
        <w:rPr>
          <w:sz w:val="24"/>
        </w:rPr>
        <w:t>Ley</w:t>
      </w:r>
      <w:r w:rsidRPr="00590536">
        <w:rPr>
          <w:sz w:val="24"/>
        </w:rPr>
        <w:t xml:space="preserve"> contempla</w:t>
      </w:r>
      <w:r>
        <w:rPr>
          <w:sz w:val="24"/>
        </w:rPr>
        <w:t xml:space="preserve"> la</w:t>
      </w:r>
      <w:r w:rsidRPr="00590536">
        <w:rPr>
          <w:sz w:val="24"/>
        </w:rPr>
        <w:t xml:space="preserve"> prueba</w:t>
      </w:r>
      <w:r>
        <w:rPr>
          <w:sz w:val="24"/>
        </w:rPr>
        <w:t xml:space="preserve"> de daño </w:t>
      </w:r>
      <w:r w:rsidRPr="00590536">
        <w:rPr>
          <w:sz w:val="24"/>
        </w:rPr>
        <w:t>como mecanismo para la resolución de conflictos en el proceso de petición de información pública.</w:t>
      </w:r>
    </w:p>
    <w:p w14:paraId="451820A8" w14:textId="75F174A7" w:rsidR="001256F9" w:rsidRPr="003632B3" w:rsidRDefault="00B4327A" w:rsidP="00FC0ABC">
      <w:pPr>
        <w:pStyle w:val="Ttulo1"/>
      </w:pPr>
      <w:r>
        <w:t>Criterio 40</w:t>
      </w:r>
      <w:r w:rsidR="001256F9" w:rsidRPr="0078624E">
        <w:t>. Desclasificación de la información cuando se extingan las causas que le dieron origen</w:t>
      </w:r>
    </w:p>
    <w:p w14:paraId="49A9B987" w14:textId="6052213C" w:rsidR="001256F9" w:rsidRDefault="001256F9" w:rsidP="001256F9">
      <w:pPr>
        <w:jc w:val="both"/>
        <w:rPr>
          <w:sz w:val="24"/>
        </w:rPr>
      </w:pPr>
      <w:r w:rsidRPr="00DE3FE7">
        <w:rPr>
          <w:b/>
          <w:sz w:val="24"/>
        </w:rPr>
        <w:t>Descripción</w:t>
      </w:r>
      <w:r>
        <w:rPr>
          <w:b/>
          <w:sz w:val="24"/>
        </w:rPr>
        <w:t xml:space="preserve">. </w:t>
      </w:r>
      <w:r w:rsidR="0078624E">
        <w:rPr>
          <w:sz w:val="24"/>
        </w:rPr>
        <w:t>En materia de transparencia y acceso a la i</w:t>
      </w:r>
      <w:r w:rsidR="0078624E" w:rsidRPr="00C34995">
        <w:rPr>
          <w:sz w:val="24"/>
        </w:rPr>
        <w:t xml:space="preserve">nformación </w:t>
      </w:r>
      <w:r w:rsidR="0078624E">
        <w:rPr>
          <w:sz w:val="24"/>
        </w:rPr>
        <w:t>p</w:t>
      </w:r>
      <w:r w:rsidR="0078624E" w:rsidRPr="00C34995">
        <w:rPr>
          <w:sz w:val="24"/>
        </w:rPr>
        <w:t xml:space="preserve">ública </w:t>
      </w:r>
      <w:r w:rsidR="0078624E">
        <w:rPr>
          <w:sz w:val="24"/>
        </w:rPr>
        <w:t>g</w:t>
      </w:r>
      <w:r w:rsidR="0078624E" w:rsidRPr="00C34995">
        <w:rPr>
          <w:sz w:val="24"/>
        </w:rPr>
        <w:t>ubernamental</w:t>
      </w:r>
      <w:r w:rsidR="0078624E">
        <w:rPr>
          <w:sz w:val="24"/>
        </w:rPr>
        <w:t>, l</w:t>
      </w:r>
      <w:r w:rsidRPr="00C34995">
        <w:rPr>
          <w:sz w:val="24"/>
        </w:rPr>
        <w:t>os acuerdos internacionales y</w:t>
      </w:r>
      <w:r>
        <w:rPr>
          <w:b/>
          <w:sz w:val="24"/>
        </w:rPr>
        <w:t xml:space="preserve"> </w:t>
      </w:r>
      <w:r>
        <w:rPr>
          <w:sz w:val="24"/>
        </w:rPr>
        <w:t xml:space="preserve">las legislaciones de diversas partes de mundo </w:t>
      </w:r>
      <w:r w:rsidR="0078624E">
        <w:rPr>
          <w:rFonts w:ascii="Cambria" w:hAnsi="Cambria"/>
          <w:sz w:val="24"/>
        </w:rPr>
        <w:t xml:space="preserve">—y </w:t>
      </w:r>
      <w:r>
        <w:rPr>
          <w:sz w:val="24"/>
        </w:rPr>
        <w:t>México no es la excepción</w:t>
      </w:r>
      <w:r w:rsidR="0078624E">
        <w:rPr>
          <w:rFonts w:ascii="Cambria" w:hAnsi="Cambria"/>
          <w:sz w:val="24"/>
        </w:rPr>
        <w:t>—</w:t>
      </w:r>
      <w:r>
        <w:rPr>
          <w:sz w:val="24"/>
        </w:rPr>
        <w:t>,señalan la posibilidad de clasificar la información</w:t>
      </w:r>
      <w:r w:rsidR="0078624E">
        <w:rPr>
          <w:sz w:val="24"/>
        </w:rPr>
        <w:t xml:space="preserve"> </w:t>
      </w:r>
      <w:r>
        <w:rPr>
          <w:sz w:val="24"/>
        </w:rPr>
        <w:t>como reservada</w:t>
      </w:r>
      <w:r w:rsidR="0078624E">
        <w:rPr>
          <w:rFonts w:ascii="Cambria" w:hAnsi="Cambria"/>
          <w:sz w:val="24"/>
        </w:rPr>
        <w:t xml:space="preserve"> </w:t>
      </w:r>
      <w:r>
        <w:rPr>
          <w:sz w:val="24"/>
        </w:rPr>
        <w:t xml:space="preserve">siempre preservando </w:t>
      </w:r>
      <w:r w:rsidR="0078624E">
        <w:rPr>
          <w:sz w:val="24"/>
        </w:rPr>
        <w:t xml:space="preserve">y </w:t>
      </w:r>
      <w:r>
        <w:rPr>
          <w:sz w:val="24"/>
        </w:rPr>
        <w:t>valorando el principio de publicidad y regulando los casos de</w:t>
      </w:r>
      <w:r w:rsidRPr="00C34995">
        <w:rPr>
          <w:sz w:val="24"/>
        </w:rPr>
        <w:t xml:space="preserve"> conformidad</w:t>
      </w:r>
      <w:r>
        <w:rPr>
          <w:sz w:val="24"/>
        </w:rPr>
        <w:t xml:space="preserve"> con los criterios reconocidos internacional y nacionalmente</w:t>
      </w:r>
      <w:r w:rsidRPr="00C34995">
        <w:rPr>
          <w:sz w:val="24"/>
        </w:rPr>
        <w:t>.</w:t>
      </w:r>
    </w:p>
    <w:p w14:paraId="0F3F4A7C" w14:textId="49C02EBF" w:rsidR="001256F9" w:rsidRPr="00C34995" w:rsidRDefault="001256F9" w:rsidP="001256F9">
      <w:pPr>
        <w:jc w:val="both"/>
        <w:rPr>
          <w:sz w:val="24"/>
        </w:rPr>
      </w:pPr>
      <w:r>
        <w:rPr>
          <w:sz w:val="24"/>
        </w:rPr>
        <w:t>Esos instrumentos legales señalan la posibilidad de revertir ese</w:t>
      </w:r>
      <w:r w:rsidRPr="00C34995">
        <w:rPr>
          <w:sz w:val="24"/>
        </w:rPr>
        <w:t xml:space="preserve"> acto </w:t>
      </w:r>
      <w:r w:rsidR="0078624E">
        <w:rPr>
          <w:sz w:val="24"/>
        </w:rPr>
        <w:t>y desclasificar</w:t>
      </w:r>
      <w:r w:rsidRPr="00C34995">
        <w:rPr>
          <w:sz w:val="24"/>
        </w:rPr>
        <w:t xml:space="preserve"> la información reservada una vez que el tiempo </w:t>
      </w:r>
      <w:r w:rsidR="0078624E">
        <w:rPr>
          <w:sz w:val="24"/>
        </w:rPr>
        <w:t>designado</w:t>
      </w:r>
      <w:r w:rsidRPr="00C34995">
        <w:rPr>
          <w:sz w:val="24"/>
        </w:rPr>
        <w:t xml:space="preserve"> haya concluido y</w:t>
      </w:r>
      <w:r>
        <w:rPr>
          <w:sz w:val="24"/>
        </w:rPr>
        <w:t>/o</w:t>
      </w:r>
      <w:r w:rsidRPr="00C34995">
        <w:rPr>
          <w:sz w:val="24"/>
        </w:rPr>
        <w:t xml:space="preserve"> no subsista la fundamentación </w:t>
      </w:r>
      <w:r w:rsidR="0078624E">
        <w:rPr>
          <w:sz w:val="24"/>
        </w:rPr>
        <w:t>o</w:t>
      </w:r>
      <w:r w:rsidRPr="00C34995">
        <w:rPr>
          <w:sz w:val="24"/>
        </w:rPr>
        <w:t xml:space="preserve"> motivación</w:t>
      </w:r>
      <w:r>
        <w:rPr>
          <w:sz w:val="24"/>
        </w:rPr>
        <w:t xml:space="preserve"> que le dier</w:t>
      </w:r>
      <w:r w:rsidR="0078624E">
        <w:rPr>
          <w:sz w:val="24"/>
        </w:rPr>
        <w:t>a</w:t>
      </w:r>
      <w:r>
        <w:rPr>
          <w:sz w:val="24"/>
        </w:rPr>
        <w:t xml:space="preserve"> origen</w:t>
      </w:r>
      <w:r w:rsidRPr="00C34995">
        <w:rPr>
          <w:sz w:val="24"/>
        </w:rPr>
        <w:t>.</w:t>
      </w:r>
    </w:p>
    <w:p w14:paraId="0A1933BE" w14:textId="550D5029" w:rsidR="001256F9" w:rsidRDefault="001256F9" w:rsidP="00BD4A88">
      <w:pPr>
        <w:pBdr>
          <w:bottom w:val="single" w:sz="4" w:space="1" w:color="auto"/>
        </w:pBdr>
        <w:jc w:val="both"/>
        <w:rPr>
          <w:sz w:val="24"/>
        </w:rPr>
      </w:pPr>
      <w:r w:rsidRPr="00DE3FE7">
        <w:rPr>
          <w:b/>
          <w:sz w:val="24"/>
        </w:rPr>
        <w:t>Calificación.</w:t>
      </w:r>
      <w:r>
        <w:rPr>
          <w:sz w:val="24"/>
        </w:rPr>
        <w:t xml:space="preserve"> </w:t>
      </w:r>
      <w:r w:rsidR="0078624E">
        <w:rPr>
          <w:sz w:val="24"/>
        </w:rPr>
        <w:t>Existe un p</w:t>
      </w:r>
      <w:r w:rsidR="00BD4A88">
        <w:rPr>
          <w:sz w:val="24"/>
        </w:rPr>
        <w:t>rocedimiento</w:t>
      </w:r>
      <w:r w:rsidR="0078624E">
        <w:rPr>
          <w:sz w:val="24"/>
        </w:rPr>
        <w:t xml:space="preserve"> </w:t>
      </w:r>
      <w:r w:rsidR="00BD4A88">
        <w:rPr>
          <w:sz w:val="24"/>
        </w:rPr>
        <w:t xml:space="preserve">en la ley </w:t>
      </w:r>
      <w:r>
        <w:rPr>
          <w:sz w:val="24"/>
        </w:rPr>
        <w:t xml:space="preserve">para </w:t>
      </w:r>
      <w:r w:rsidR="0078624E">
        <w:rPr>
          <w:sz w:val="24"/>
        </w:rPr>
        <w:t xml:space="preserve">desclasificar </w:t>
      </w:r>
      <w:r>
        <w:rPr>
          <w:sz w:val="24"/>
        </w:rPr>
        <w:t>la información</w:t>
      </w:r>
      <w:r w:rsidR="00554D9B">
        <w:rPr>
          <w:sz w:val="24"/>
        </w:rPr>
        <w:t xml:space="preserve"> reservada</w:t>
      </w:r>
      <w:r>
        <w:rPr>
          <w:sz w:val="24"/>
        </w:rPr>
        <w:t xml:space="preserve"> sin que medie solicitud de información</w:t>
      </w:r>
      <w:r w:rsidR="0078624E">
        <w:rPr>
          <w:sz w:val="24"/>
        </w:rPr>
        <w:t xml:space="preserve"> u otra condición</w:t>
      </w:r>
      <w:r w:rsidR="00BD4A88">
        <w:rPr>
          <w:sz w:val="24"/>
        </w:rPr>
        <w:t>.</w:t>
      </w:r>
    </w:p>
    <w:p w14:paraId="03E2B873" w14:textId="6C3C6186" w:rsidR="001256F9" w:rsidRPr="00472EF1" w:rsidRDefault="001256F9" w:rsidP="00FC0ABC">
      <w:pPr>
        <w:pStyle w:val="Ttulo1"/>
      </w:pPr>
      <w:r w:rsidRPr="00472EF1">
        <w:t xml:space="preserve">Criterio </w:t>
      </w:r>
      <w:r w:rsidR="00472EF1" w:rsidRPr="00472EF1">
        <w:t>41</w:t>
      </w:r>
      <w:r w:rsidRPr="00472EF1">
        <w:t xml:space="preserve">. </w:t>
      </w:r>
      <w:r w:rsidR="00472EF1" w:rsidRPr="00472EF1">
        <w:t>el periodo máximo de reserva es de 7 años</w:t>
      </w:r>
    </w:p>
    <w:p w14:paraId="1C004929" w14:textId="363D3430" w:rsidR="001256F9" w:rsidRDefault="001256F9" w:rsidP="001256F9">
      <w:pPr>
        <w:jc w:val="both"/>
        <w:rPr>
          <w:sz w:val="24"/>
        </w:rPr>
      </w:pPr>
      <w:r w:rsidRPr="001A5449">
        <w:rPr>
          <w:b/>
          <w:sz w:val="24"/>
        </w:rPr>
        <w:t xml:space="preserve">Descripción. </w:t>
      </w:r>
      <w:r w:rsidRPr="001A5449">
        <w:rPr>
          <w:sz w:val="24"/>
        </w:rPr>
        <w:t xml:space="preserve">La reserva de información es una restricción, </w:t>
      </w:r>
      <w:r>
        <w:rPr>
          <w:sz w:val="24"/>
        </w:rPr>
        <w:t>regulada por el marco legal en el ejercicio del DAI</w:t>
      </w:r>
      <w:r w:rsidRPr="001A5449">
        <w:rPr>
          <w:sz w:val="24"/>
        </w:rPr>
        <w:t xml:space="preserve">. </w:t>
      </w:r>
      <w:r>
        <w:rPr>
          <w:sz w:val="24"/>
        </w:rPr>
        <w:t xml:space="preserve">Dicha medida debe ser considerada como </w:t>
      </w:r>
      <w:r w:rsidRPr="001A5449">
        <w:rPr>
          <w:sz w:val="24"/>
        </w:rPr>
        <w:t>excepcional</w:t>
      </w:r>
      <w:r>
        <w:rPr>
          <w:sz w:val="24"/>
        </w:rPr>
        <w:t xml:space="preserve"> y temporal a partir de </w:t>
      </w:r>
      <w:r w:rsidRPr="001A5449">
        <w:rPr>
          <w:sz w:val="24"/>
        </w:rPr>
        <w:t xml:space="preserve">un plazo razonable y proporcional al bien jurídico constitucional que busca proteger. </w:t>
      </w:r>
      <w:r w:rsidR="007C6240">
        <w:rPr>
          <w:sz w:val="24"/>
        </w:rPr>
        <w:t>Este</w:t>
      </w:r>
      <w:r w:rsidRPr="001A5449">
        <w:rPr>
          <w:sz w:val="24"/>
        </w:rPr>
        <w:t xml:space="preserve"> plazo no debe superar los siete años, con la posi</w:t>
      </w:r>
      <w:r>
        <w:rPr>
          <w:sz w:val="24"/>
        </w:rPr>
        <w:t>bilidad de prorrogarse por un s</w:t>
      </w:r>
      <w:r w:rsidR="00554D9B">
        <w:rPr>
          <w:sz w:val="24"/>
        </w:rPr>
        <w:t>o</w:t>
      </w:r>
      <w:r w:rsidRPr="001A5449">
        <w:rPr>
          <w:sz w:val="24"/>
        </w:rPr>
        <w:t xml:space="preserve">lo periodo </w:t>
      </w:r>
      <w:r>
        <w:rPr>
          <w:sz w:val="24"/>
        </w:rPr>
        <w:t>de igual tiempo</w:t>
      </w:r>
      <w:r w:rsidRPr="001A5449">
        <w:rPr>
          <w:sz w:val="24"/>
        </w:rPr>
        <w:t>.</w:t>
      </w:r>
      <w:r w:rsidR="003F575B">
        <w:rPr>
          <w:sz w:val="24"/>
        </w:rPr>
        <w:t xml:space="preserve"> </w:t>
      </w:r>
    </w:p>
    <w:p w14:paraId="52036A7B" w14:textId="033734DC" w:rsidR="001256F9" w:rsidRPr="001A5449" w:rsidRDefault="001256F9" w:rsidP="003F575B">
      <w:pPr>
        <w:pBdr>
          <w:bottom w:val="single" w:sz="4" w:space="1" w:color="auto"/>
        </w:pBdr>
        <w:jc w:val="both"/>
        <w:rPr>
          <w:sz w:val="24"/>
        </w:rPr>
      </w:pPr>
      <w:r w:rsidRPr="00DE3FE7">
        <w:rPr>
          <w:b/>
          <w:sz w:val="24"/>
        </w:rPr>
        <w:t>Calificación.</w:t>
      </w:r>
      <w:r>
        <w:rPr>
          <w:sz w:val="24"/>
        </w:rPr>
        <w:t xml:space="preserve"> </w:t>
      </w:r>
      <w:r w:rsidR="00554D9B">
        <w:rPr>
          <w:sz w:val="24"/>
        </w:rPr>
        <w:t>El m</w:t>
      </w:r>
      <w:r>
        <w:rPr>
          <w:sz w:val="24"/>
        </w:rPr>
        <w:t xml:space="preserve">arco legal señala </w:t>
      </w:r>
      <w:r w:rsidR="003F575B">
        <w:rPr>
          <w:sz w:val="24"/>
        </w:rPr>
        <w:t>un plazo de reserva de información de siete años o menor.</w:t>
      </w:r>
    </w:p>
    <w:p w14:paraId="6818E08D" w14:textId="3DB76674" w:rsidR="001256F9" w:rsidRPr="004C2C15" w:rsidRDefault="001256F9" w:rsidP="00FC0ABC">
      <w:pPr>
        <w:pStyle w:val="Ttulo1"/>
      </w:pPr>
      <w:r>
        <w:t xml:space="preserve">Criterio </w:t>
      </w:r>
      <w:r w:rsidR="000F43E2">
        <w:t>42</w:t>
      </w:r>
      <w:r w:rsidRPr="004C2C15">
        <w:t xml:space="preserve">. </w:t>
      </w:r>
      <w:r w:rsidR="008A7D83">
        <w:t>El p</w:t>
      </w:r>
      <w:r w:rsidRPr="004C2C15">
        <w:t>eriodo de reserva podrá ser renovado siempre que subsistan las causas que le dieron origen</w:t>
      </w:r>
    </w:p>
    <w:p w14:paraId="1D6B6255" w14:textId="3FE25645" w:rsidR="001256F9" w:rsidRPr="004C2C15" w:rsidRDefault="001256F9" w:rsidP="001256F9">
      <w:pPr>
        <w:jc w:val="both"/>
        <w:rPr>
          <w:b/>
          <w:sz w:val="24"/>
        </w:rPr>
      </w:pPr>
      <w:r>
        <w:rPr>
          <w:b/>
          <w:sz w:val="24"/>
        </w:rPr>
        <w:lastRenderedPageBreak/>
        <w:t xml:space="preserve">Descripción. </w:t>
      </w:r>
      <w:r w:rsidR="007C6240" w:rsidRPr="00B80AF7">
        <w:rPr>
          <w:sz w:val="24"/>
        </w:rPr>
        <w:t>Según las práctica</w:t>
      </w:r>
      <w:r w:rsidR="000F43E2">
        <w:rPr>
          <w:sz w:val="24"/>
        </w:rPr>
        <w:t>s</w:t>
      </w:r>
      <w:r w:rsidR="007C6240" w:rsidRPr="00B80AF7">
        <w:rPr>
          <w:sz w:val="24"/>
        </w:rPr>
        <w:t xml:space="preserve"> internacionales,</w:t>
      </w:r>
      <w:r w:rsidR="007C6240">
        <w:rPr>
          <w:rStyle w:val="Refdenotaalpie"/>
          <w:sz w:val="24"/>
        </w:rPr>
        <w:footnoteReference w:id="18"/>
      </w:r>
      <w:r w:rsidR="007C6240">
        <w:rPr>
          <w:sz w:val="24"/>
        </w:rPr>
        <w:t xml:space="preserve"> l</w:t>
      </w:r>
      <w:r>
        <w:rPr>
          <w:sz w:val="24"/>
        </w:rPr>
        <w:t>a</w:t>
      </w:r>
      <w:r w:rsidRPr="004C2C15">
        <w:rPr>
          <w:sz w:val="24"/>
        </w:rPr>
        <w:t xml:space="preserve"> medida excepcional</w:t>
      </w:r>
      <w:r>
        <w:rPr>
          <w:sz w:val="24"/>
        </w:rPr>
        <w:t xml:space="preserve"> de la reserva </w:t>
      </w:r>
      <w:r w:rsidRPr="004C2C15">
        <w:rPr>
          <w:sz w:val="24"/>
        </w:rPr>
        <w:t>podrá renovarse por un periodo más, en la medida que las causas que motivaron su reserva continúen vigentes. No debe tomarse esta medida como la regla, sino como un caso de excepción.</w:t>
      </w:r>
    </w:p>
    <w:p w14:paraId="3BA819F1" w14:textId="1D1DC359" w:rsidR="001256F9" w:rsidRPr="001A5449" w:rsidRDefault="001256F9" w:rsidP="00696E17">
      <w:pPr>
        <w:pBdr>
          <w:bottom w:val="single" w:sz="4" w:space="1" w:color="auto"/>
        </w:pBdr>
        <w:jc w:val="both"/>
        <w:rPr>
          <w:sz w:val="24"/>
        </w:rPr>
      </w:pPr>
      <w:r w:rsidRPr="00DE3FE7">
        <w:rPr>
          <w:b/>
          <w:sz w:val="24"/>
        </w:rPr>
        <w:t>Calificación.</w:t>
      </w:r>
      <w:r>
        <w:rPr>
          <w:sz w:val="24"/>
        </w:rPr>
        <w:t xml:space="preserve"> </w:t>
      </w:r>
      <w:r w:rsidR="006C1625">
        <w:rPr>
          <w:sz w:val="24"/>
        </w:rPr>
        <w:t>El m</w:t>
      </w:r>
      <w:r>
        <w:rPr>
          <w:sz w:val="24"/>
        </w:rPr>
        <w:t>arco legal señala casos específicos de reserva, además de plazos razonables y proporcionales.</w:t>
      </w:r>
    </w:p>
    <w:p w14:paraId="3AF7FBD5" w14:textId="5A2CA7A7" w:rsidR="001256F9" w:rsidRPr="000B4E6B" w:rsidRDefault="008864CE" w:rsidP="00FC0ABC">
      <w:pPr>
        <w:pStyle w:val="Ttulo1"/>
      </w:pPr>
      <w:r w:rsidRPr="000B4E6B">
        <w:t>Criterio 43</w:t>
      </w:r>
      <w:r w:rsidR="001256F9" w:rsidRPr="000B4E6B">
        <w:t>. Establece explícitamente responsables de clasificar la información</w:t>
      </w:r>
    </w:p>
    <w:p w14:paraId="5684E694" w14:textId="5DF37386" w:rsidR="001256F9" w:rsidRPr="004C2C15" w:rsidRDefault="001256F9" w:rsidP="001256F9">
      <w:pPr>
        <w:jc w:val="both"/>
        <w:rPr>
          <w:sz w:val="24"/>
        </w:rPr>
      </w:pPr>
      <w:r w:rsidRPr="000B4E6B">
        <w:rPr>
          <w:b/>
          <w:sz w:val="24"/>
        </w:rPr>
        <w:t xml:space="preserve">Descripción. </w:t>
      </w:r>
      <w:r w:rsidR="006C1625" w:rsidRPr="000B4E6B">
        <w:rPr>
          <w:sz w:val="24"/>
        </w:rPr>
        <w:t>La eficacia de</w:t>
      </w:r>
      <w:r w:rsidR="000B4E6B" w:rsidRPr="000B4E6B">
        <w:rPr>
          <w:sz w:val="24"/>
        </w:rPr>
        <w:t>l criterio radica en dotar de</w:t>
      </w:r>
      <w:r w:rsidRPr="000B4E6B">
        <w:rPr>
          <w:sz w:val="24"/>
        </w:rPr>
        <w:t xml:space="preserve"> mayor certeza a las y los usuarios del DAI al momento de substanciarse una solicitud de información. En nuestro país se ha configurado un sistema de desahogo de las peticiones de información que involucran a las unidades de enlace, a las unidades administrativas competentes o </w:t>
      </w:r>
      <w:r w:rsidR="006C1625" w:rsidRPr="000B4E6B">
        <w:rPr>
          <w:sz w:val="24"/>
        </w:rPr>
        <w:t xml:space="preserve">a </w:t>
      </w:r>
      <w:r w:rsidRPr="000B4E6B">
        <w:rPr>
          <w:sz w:val="24"/>
        </w:rPr>
        <w:t>quienes tendrían que poseer, por la naturaleza de sus funciones, la información y a los comités colegiados de transparencia.</w:t>
      </w:r>
    </w:p>
    <w:p w14:paraId="438EB18E" w14:textId="10146959" w:rsidR="001256F9" w:rsidRPr="004C2C15" w:rsidRDefault="001256F9" w:rsidP="00EC66A3">
      <w:pPr>
        <w:pBdr>
          <w:bottom w:val="single" w:sz="4" w:space="1" w:color="auto"/>
        </w:pBdr>
        <w:jc w:val="both"/>
        <w:rPr>
          <w:sz w:val="24"/>
        </w:rPr>
      </w:pPr>
      <w:r w:rsidRPr="004C2C15">
        <w:rPr>
          <w:b/>
          <w:sz w:val="24"/>
        </w:rPr>
        <w:t>Calificación.</w:t>
      </w:r>
      <w:r>
        <w:rPr>
          <w:sz w:val="24"/>
        </w:rPr>
        <w:t xml:space="preserve"> </w:t>
      </w:r>
      <w:r w:rsidR="006C1625">
        <w:rPr>
          <w:sz w:val="24"/>
        </w:rPr>
        <w:t>El m</w:t>
      </w:r>
      <w:r>
        <w:rPr>
          <w:sz w:val="24"/>
        </w:rPr>
        <w:t xml:space="preserve">andato legal establece </w:t>
      </w:r>
      <w:r w:rsidR="00EC66A3">
        <w:rPr>
          <w:sz w:val="24"/>
        </w:rPr>
        <w:t>un responsable (un cargo u oficina al interior del sujeto obligado) de la clasificación de la información.</w:t>
      </w:r>
    </w:p>
    <w:p w14:paraId="543E5CBE" w14:textId="19484B64" w:rsidR="001256F9" w:rsidRPr="004C2C15" w:rsidRDefault="001256F9" w:rsidP="00FC0ABC">
      <w:pPr>
        <w:pStyle w:val="Ttulo1"/>
      </w:pPr>
      <w:r>
        <w:t xml:space="preserve">Criterio </w:t>
      </w:r>
      <w:r w:rsidR="00D12830">
        <w:t>44</w:t>
      </w:r>
      <w:r w:rsidRPr="004C2C15">
        <w:t>. Imposibilidad de reservar información cuando se trate de la investigació</w:t>
      </w:r>
      <w:r>
        <w:t>n de delitos de lesa humanidad</w:t>
      </w:r>
    </w:p>
    <w:p w14:paraId="7778BBCA" w14:textId="6E91BEE8" w:rsidR="001256F9" w:rsidRDefault="001256F9" w:rsidP="001256F9">
      <w:pPr>
        <w:jc w:val="both"/>
        <w:rPr>
          <w:sz w:val="24"/>
        </w:rPr>
      </w:pPr>
      <w:r w:rsidRPr="004C2C15">
        <w:rPr>
          <w:b/>
          <w:sz w:val="24"/>
        </w:rPr>
        <w:t xml:space="preserve">Descripción. </w:t>
      </w:r>
      <w:r w:rsidR="009F5C24">
        <w:rPr>
          <w:sz w:val="24"/>
        </w:rPr>
        <w:t>El</w:t>
      </w:r>
      <w:r w:rsidRPr="004C2C15">
        <w:rPr>
          <w:sz w:val="24"/>
        </w:rPr>
        <w:t xml:space="preserve"> </w:t>
      </w:r>
      <w:r w:rsidR="001465A1">
        <w:rPr>
          <w:sz w:val="24"/>
        </w:rPr>
        <w:t>crimen</w:t>
      </w:r>
      <w:r w:rsidRPr="004C2C15">
        <w:rPr>
          <w:sz w:val="24"/>
        </w:rPr>
        <w:t xml:space="preserve"> de lesa humanidad es una concepción jurídica internacional que surge a raíz de l</w:t>
      </w:r>
      <w:r w:rsidR="001465A1">
        <w:rPr>
          <w:sz w:val="24"/>
        </w:rPr>
        <w:t>a</w:t>
      </w:r>
      <w:r w:rsidRPr="004C2C15">
        <w:rPr>
          <w:sz w:val="24"/>
        </w:rPr>
        <w:t xml:space="preserve">s </w:t>
      </w:r>
      <w:r w:rsidR="001465A1" w:rsidRPr="001465A1">
        <w:rPr>
          <w:sz w:val="24"/>
        </w:rPr>
        <w:t>transgresiones</w:t>
      </w:r>
      <w:r w:rsidR="001465A1" w:rsidRPr="004C2C15">
        <w:rPr>
          <w:sz w:val="24"/>
        </w:rPr>
        <w:t xml:space="preserve"> </w:t>
      </w:r>
      <w:r w:rsidR="001465A1">
        <w:rPr>
          <w:sz w:val="24"/>
        </w:rPr>
        <w:t>llevadas a cabo</w:t>
      </w:r>
      <w:r w:rsidR="001465A1" w:rsidRPr="004C2C15">
        <w:rPr>
          <w:sz w:val="24"/>
        </w:rPr>
        <w:t xml:space="preserve"> </w:t>
      </w:r>
      <w:r w:rsidR="001465A1">
        <w:rPr>
          <w:sz w:val="24"/>
        </w:rPr>
        <w:t>durante</w:t>
      </w:r>
      <w:r w:rsidR="001465A1" w:rsidRPr="004C2C15">
        <w:rPr>
          <w:sz w:val="24"/>
        </w:rPr>
        <w:t xml:space="preserve"> </w:t>
      </w:r>
      <w:r w:rsidRPr="004C2C15">
        <w:rPr>
          <w:sz w:val="24"/>
        </w:rPr>
        <w:t>el período de guerras</w:t>
      </w:r>
      <w:r w:rsidR="001465A1">
        <w:rPr>
          <w:sz w:val="24"/>
        </w:rPr>
        <w:t xml:space="preserve"> mundiales a partir de los cuales surge e</w:t>
      </w:r>
      <w:r w:rsidRPr="004C2C15">
        <w:rPr>
          <w:sz w:val="24"/>
        </w:rPr>
        <w:t>l Estatuto de Roma de la Corte Penal Internacional</w:t>
      </w:r>
      <w:r w:rsidR="001465A1">
        <w:rPr>
          <w:sz w:val="24"/>
        </w:rPr>
        <w:t>.</w:t>
      </w:r>
      <w:r w:rsidRPr="004C2C15">
        <w:rPr>
          <w:sz w:val="24"/>
          <w:vertAlign w:val="superscript"/>
        </w:rPr>
        <w:footnoteReference w:id="19"/>
      </w:r>
    </w:p>
    <w:p w14:paraId="6DC91B42" w14:textId="0DEBDC20" w:rsidR="001256F9" w:rsidRDefault="001256F9" w:rsidP="001256F9">
      <w:pPr>
        <w:jc w:val="both"/>
        <w:rPr>
          <w:sz w:val="24"/>
        </w:rPr>
      </w:pPr>
      <w:r w:rsidRPr="004C2C15">
        <w:rPr>
          <w:sz w:val="24"/>
        </w:rPr>
        <w:t>Dada</w:t>
      </w:r>
      <w:r w:rsidR="001465A1">
        <w:rPr>
          <w:sz w:val="24"/>
        </w:rPr>
        <w:t xml:space="preserve"> la</w:t>
      </w:r>
      <w:r w:rsidRPr="004C2C15">
        <w:rPr>
          <w:sz w:val="24"/>
        </w:rPr>
        <w:t xml:space="preserve"> </w:t>
      </w:r>
      <w:r>
        <w:rPr>
          <w:sz w:val="24"/>
        </w:rPr>
        <w:t xml:space="preserve">trascendencia </w:t>
      </w:r>
      <w:r w:rsidRPr="004C2C15">
        <w:rPr>
          <w:sz w:val="24"/>
        </w:rPr>
        <w:t>en la prevenc</w:t>
      </w:r>
      <w:r w:rsidR="00737A05">
        <w:rPr>
          <w:sz w:val="24"/>
        </w:rPr>
        <w:t>ión, sanción y restitución de lo</w:t>
      </w:r>
      <w:r w:rsidRPr="004C2C15">
        <w:rPr>
          <w:sz w:val="24"/>
        </w:rPr>
        <w:t>s derechos vulnerados por este tipo de cr</w:t>
      </w:r>
      <w:r>
        <w:rPr>
          <w:sz w:val="24"/>
        </w:rPr>
        <w:t xml:space="preserve">ímenes, el propio instrumento internacional la CPI y las resoluciones de Naciones </w:t>
      </w:r>
      <w:r>
        <w:rPr>
          <w:sz w:val="24"/>
        </w:rPr>
        <w:lastRenderedPageBreak/>
        <w:t>Unida</w:t>
      </w:r>
      <w:r>
        <w:rPr>
          <w:rStyle w:val="Refdenotaalpie"/>
          <w:sz w:val="24"/>
        </w:rPr>
        <w:footnoteReference w:id="20"/>
      </w:r>
      <w:r>
        <w:rPr>
          <w:sz w:val="24"/>
        </w:rPr>
        <w:t xml:space="preserve"> establecen como objetivo superior la máxima protección de las personas</w:t>
      </w:r>
      <w:r w:rsidRPr="005B1DB6">
        <w:rPr>
          <w:rStyle w:val="Refdenotaalpie"/>
          <w:sz w:val="24"/>
        </w:rPr>
        <w:footnoteReference w:id="21"/>
      </w:r>
      <w:r>
        <w:rPr>
          <w:sz w:val="24"/>
        </w:rPr>
        <w:t xml:space="preserve"> </w:t>
      </w:r>
      <w:r w:rsidR="001465A1">
        <w:rPr>
          <w:sz w:val="24"/>
        </w:rPr>
        <w:t xml:space="preserve">por encima de </w:t>
      </w:r>
      <w:r>
        <w:rPr>
          <w:sz w:val="24"/>
        </w:rPr>
        <w:t>las reglas de</w:t>
      </w:r>
      <w:r w:rsidRPr="004C2C15">
        <w:rPr>
          <w:sz w:val="24"/>
        </w:rPr>
        <w:t xml:space="preserve"> re</w:t>
      </w:r>
      <w:r>
        <w:rPr>
          <w:sz w:val="24"/>
        </w:rPr>
        <w:t>serva de la información.</w:t>
      </w:r>
    </w:p>
    <w:p w14:paraId="57279BF3" w14:textId="02F2757E" w:rsidR="001256F9" w:rsidRPr="004C2C15" w:rsidRDefault="001256F9" w:rsidP="00737A05">
      <w:pPr>
        <w:pBdr>
          <w:bottom w:val="single" w:sz="4" w:space="1" w:color="auto"/>
        </w:pBdr>
        <w:jc w:val="both"/>
        <w:rPr>
          <w:sz w:val="24"/>
        </w:rPr>
      </w:pPr>
      <w:r w:rsidRPr="004C2C15">
        <w:rPr>
          <w:b/>
          <w:sz w:val="24"/>
        </w:rPr>
        <w:t>Calificación.</w:t>
      </w:r>
      <w:r>
        <w:rPr>
          <w:sz w:val="24"/>
        </w:rPr>
        <w:t xml:space="preserve"> L</w:t>
      </w:r>
      <w:r w:rsidR="001465A1">
        <w:rPr>
          <w:sz w:val="24"/>
        </w:rPr>
        <w:t>a l</w:t>
      </w:r>
      <w:r>
        <w:rPr>
          <w:sz w:val="24"/>
        </w:rPr>
        <w:t>ey establece límites a la reserva de información cuando se trate de investigaciones relacionadas con crímenes de lesa humanidad</w:t>
      </w:r>
      <w:r w:rsidRPr="004C2C15">
        <w:rPr>
          <w:sz w:val="24"/>
        </w:rPr>
        <w:t>.</w:t>
      </w:r>
    </w:p>
    <w:p w14:paraId="2596A58D" w14:textId="768C2CFD" w:rsidR="001256F9" w:rsidRPr="005B1DB6" w:rsidRDefault="00D50E97" w:rsidP="00FC0ABC">
      <w:pPr>
        <w:pStyle w:val="Ttulo1"/>
      </w:pPr>
      <w:r>
        <w:t xml:space="preserve">Criterio </w:t>
      </w:r>
      <w:r w:rsidR="000B1AA2">
        <w:t>45</w:t>
      </w:r>
      <w:r w:rsidR="001256F9" w:rsidRPr="005B1DB6">
        <w:t>. Imposibilidad de reservar información ante solicitudes de información relacionada con violaciones graves a los derechos humanos</w:t>
      </w:r>
      <w:r w:rsidR="001256F9" w:rsidRPr="005B1DB6">
        <w:rPr>
          <w:vertAlign w:val="superscript"/>
        </w:rPr>
        <w:footnoteReference w:id="22"/>
      </w:r>
    </w:p>
    <w:p w14:paraId="1F59D7C2" w14:textId="3C0A0D57" w:rsidR="001256F9" w:rsidRPr="00805A1A" w:rsidRDefault="001256F9" w:rsidP="001256F9">
      <w:pPr>
        <w:jc w:val="both"/>
        <w:rPr>
          <w:sz w:val="24"/>
        </w:rPr>
      </w:pPr>
      <w:r w:rsidRPr="00805A1A">
        <w:rPr>
          <w:b/>
          <w:sz w:val="24"/>
        </w:rPr>
        <w:t>Descripción.</w:t>
      </w:r>
      <w:r w:rsidRPr="00805A1A">
        <w:rPr>
          <w:sz w:val="24"/>
        </w:rPr>
        <w:t xml:space="preserve"> Las legislaciones en materia de transparencia y acceso a la información reconocen la posibilidad de reservar información temporalmente en averiguaciones previas</w:t>
      </w:r>
      <w:r w:rsidR="00C37EDC">
        <w:rPr>
          <w:sz w:val="24"/>
        </w:rPr>
        <w:t>;</w:t>
      </w:r>
      <w:r w:rsidRPr="00805A1A">
        <w:rPr>
          <w:sz w:val="24"/>
        </w:rPr>
        <w:t xml:space="preserve"> sin embargo</w:t>
      </w:r>
      <w:r w:rsidR="00C37EDC">
        <w:rPr>
          <w:sz w:val="24"/>
        </w:rPr>
        <w:t>,</w:t>
      </w:r>
      <w:r w:rsidRPr="00805A1A">
        <w:rPr>
          <w:sz w:val="24"/>
        </w:rPr>
        <w:t xml:space="preserve"> en los casos de violaciones graves a derechos humanos no se debe reservar información alguna, independientemente del estatus del proceso legal para fincar responsabilidades.</w:t>
      </w:r>
    </w:p>
    <w:p w14:paraId="54B6F688" w14:textId="77777777" w:rsidR="001256F9" w:rsidRDefault="001256F9" w:rsidP="001256F9">
      <w:pPr>
        <w:jc w:val="both"/>
        <w:rPr>
          <w:sz w:val="24"/>
        </w:rPr>
      </w:pPr>
      <w:r w:rsidRPr="00805A1A">
        <w:rPr>
          <w:sz w:val="24"/>
        </w:rPr>
        <w:t>La magnitud de estas violaciones y su posible impacto en el estado de derecho y la vida democrática de</w:t>
      </w:r>
      <w:r>
        <w:rPr>
          <w:sz w:val="24"/>
        </w:rPr>
        <w:t>l</w:t>
      </w:r>
      <w:r w:rsidRPr="00805A1A">
        <w:rPr>
          <w:sz w:val="24"/>
        </w:rPr>
        <w:t xml:space="preserve"> país, obligan a las autoridades a mantener pública la información relacionada con estas violaciones. No hay forma de argumentar un daño probable, posible o presente en estas situaciones. </w:t>
      </w:r>
    </w:p>
    <w:p w14:paraId="0A1C9D12" w14:textId="090E16E4" w:rsidR="001256F9" w:rsidRPr="004C2C15" w:rsidRDefault="001256F9" w:rsidP="000F3C48">
      <w:pPr>
        <w:pBdr>
          <w:bottom w:val="single" w:sz="4" w:space="1" w:color="auto"/>
        </w:pBdr>
        <w:jc w:val="both"/>
        <w:rPr>
          <w:sz w:val="24"/>
        </w:rPr>
      </w:pPr>
      <w:r w:rsidRPr="004C2C15">
        <w:rPr>
          <w:b/>
          <w:sz w:val="24"/>
        </w:rPr>
        <w:t>Calificación.</w:t>
      </w:r>
      <w:r>
        <w:rPr>
          <w:sz w:val="24"/>
        </w:rPr>
        <w:t xml:space="preserve"> L</w:t>
      </w:r>
      <w:r w:rsidR="00C37EDC">
        <w:rPr>
          <w:sz w:val="24"/>
        </w:rPr>
        <w:t>a l</w:t>
      </w:r>
      <w:r>
        <w:rPr>
          <w:sz w:val="24"/>
        </w:rPr>
        <w:t>ey establece límites a la reserva de información cuando se trate de investigaciones relacionadas con violaciones graves a los derechos humanos</w:t>
      </w:r>
      <w:r w:rsidRPr="004C2C15">
        <w:rPr>
          <w:sz w:val="24"/>
        </w:rPr>
        <w:t>.</w:t>
      </w:r>
    </w:p>
    <w:p w14:paraId="06C270F7" w14:textId="61B8706B" w:rsidR="001256F9" w:rsidRPr="00805A1A" w:rsidRDefault="001256F9" w:rsidP="00FC0ABC">
      <w:pPr>
        <w:pStyle w:val="Ttulo1"/>
      </w:pPr>
      <w:r>
        <w:t xml:space="preserve">Criterio </w:t>
      </w:r>
      <w:r w:rsidR="005A2F7A">
        <w:t>46</w:t>
      </w:r>
      <w:r w:rsidRPr="00805A1A">
        <w:t>. Prohibición de invocar el secreto bancario cuando el titular de las cuentas ba</w:t>
      </w:r>
      <w:r>
        <w:t>ncarias sea un sujeto obligado</w:t>
      </w:r>
    </w:p>
    <w:p w14:paraId="6C747AC3" w14:textId="1A1349CB" w:rsidR="001256F9" w:rsidRPr="00805A1A" w:rsidRDefault="001256F9" w:rsidP="001256F9">
      <w:pPr>
        <w:jc w:val="both"/>
        <w:rPr>
          <w:sz w:val="24"/>
        </w:rPr>
      </w:pPr>
      <w:r w:rsidRPr="00293EAA">
        <w:rPr>
          <w:b/>
          <w:sz w:val="24"/>
        </w:rPr>
        <w:lastRenderedPageBreak/>
        <w:t>Descripción.</w:t>
      </w:r>
      <w:r>
        <w:rPr>
          <w:sz w:val="24"/>
        </w:rPr>
        <w:t xml:space="preserve"> E</w:t>
      </w:r>
      <w:r w:rsidRPr="00805A1A">
        <w:rPr>
          <w:sz w:val="24"/>
        </w:rPr>
        <w:t>l derecho a la privacidad de las personas,</w:t>
      </w:r>
      <w:r>
        <w:rPr>
          <w:sz w:val="24"/>
        </w:rPr>
        <w:t xml:space="preserve"> particularmente </w:t>
      </w:r>
      <w:r w:rsidR="00C37EDC">
        <w:rPr>
          <w:sz w:val="24"/>
        </w:rPr>
        <w:t xml:space="preserve">en lo relativo a </w:t>
      </w:r>
      <w:r w:rsidRPr="00805A1A">
        <w:rPr>
          <w:sz w:val="24"/>
        </w:rPr>
        <w:t>la secrecía en el desarrollo de operaci</w:t>
      </w:r>
      <w:r>
        <w:rPr>
          <w:sz w:val="24"/>
        </w:rPr>
        <w:t>ones bancarias</w:t>
      </w:r>
      <w:r w:rsidR="00C37EDC">
        <w:rPr>
          <w:sz w:val="24"/>
        </w:rPr>
        <w:t>,</w:t>
      </w:r>
      <w:r>
        <w:rPr>
          <w:sz w:val="24"/>
        </w:rPr>
        <w:t xml:space="preserve"> es justificable</w:t>
      </w:r>
      <w:r w:rsidRPr="00805A1A">
        <w:rPr>
          <w:sz w:val="24"/>
        </w:rPr>
        <w:t xml:space="preserve"> cuando </w:t>
      </w:r>
      <w:r w:rsidR="00C37EDC">
        <w:rPr>
          <w:sz w:val="24"/>
        </w:rPr>
        <w:t xml:space="preserve">éstas </w:t>
      </w:r>
      <w:r w:rsidRPr="00805A1A">
        <w:rPr>
          <w:sz w:val="24"/>
        </w:rPr>
        <w:t>se realiza</w:t>
      </w:r>
      <w:r w:rsidR="00C37EDC">
        <w:rPr>
          <w:sz w:val="24"/>
        </w:rPr>
        <w:t>n</w:t>
      </w:r>
      <w:r w:rsidRPr="00805A1A">
        <w:rPr>
          <w:sz w:val="24"/>
        </w:rPr>
        <w:t xml:space="preserve"> con instituciones y dinero privado</w:t>
      </w:r>
      <w:r w:rsidR="00C37EDC">
        <w:rPr>
          <w:sz w:val="24"/>
        </w:rPr>
        <w:t>;</w:t>
      </w:r>
      <w:r>
        <w:rPr>
          <w:sz w:val="24"/>
        </w:rPr>
        <w:t xml:space="preserve"> </w:t>
      </w:r>
      <w:r w:rsidRPr="00805A1A">
        <w:rPr>
          <w:sz w:val="24"/>
        </w:rPr>
        <w:t>tratándose de cuentas bancarias de una autoridad pública en la</w:t>
      </w:r>
      <w:r w:rsidR="00C37EDC">
        <w:rPr>
          <w:sz w:val="24"/>
        </w:rPr>
        <w:t>s</w:t>
      </w:r>
      <w:r w:rsidRPr="00805A1A">
        <w:rPr>
          <w:sz w:val="24"/>
        </w:rPr>
        <w:t xml:space="preserve"> que se manej</w:t>
      </w:r>
      <w:r w:rsidR="004D6B8B">
        <w:rPr>
          <w:sz w:val="24"/>
        </w:rPr>
        <w:t>a</w:t>
      </w:r>
      <w:r w:rsidRPr="00805A1A">
        <w:rPr>
          <w:sz w:val="24"/>
        </w:rPr>
        <w:t>n recursos provenientes del erario público, es necesaria su publicidad</w:t>
      </w:r>
      <w:r>
        <w:rPr>
          <w:sz w:val="24"/>
        </w:rPr>
        <w:t xml:space="preserve">, incluso cuando </w:t>
      </w:r>
      <w:r w:rsidR="00C37EDC">
        <w:rPr>
          <w:sz w:val="24"/>
        </w:rPr>
        <w:t xml:space="preserve">los recursos sean </w:t>
      </w:r>
      <w:r>
        <w:rPr>
          <w:sz w:val="24"/>
        </w:rPr>
        <w:t>triangula</w:t>
      </w:r>
      <w:r w:rsidR="00C37EDC">
        <w:rPr>
          <w:sz w:val="24"/>
        </w:rPr>
        <w:t>dos</w:t>
      </w:r>
      <w:r>
        <w:rPr>
          <w:sz w:val="24"/>
        </w:rPr>
        <w:t xml:space="preserve"> hacia terceros</w:t>
      </w:r>
      <w:r w:rsidRPr="00805A1A">
        <w:rPr>
          <w:sz w:val="24"/>
        </w:rPr>
        <w:t>.</w:t>
      </w:r>
    </w:p>
    <w:p w14:paraId="4B966C2C" w14:textId="435D06DA" w:rsidR="001256F9" w:rsidRPr="004C2C15" w:rsidRDefault="001256F9" w:rsidP="005A2F7A">
      <w:pPr>
        <w:pBdr>
          <w:bottom w:val="single" w:sz="4" w:space="1" w:color="auto"/>
        </w:pBdr>
        <w:jc w:val="both"/>
        <w:rPr>
          <w:sz w:val="24"/>
        </w:rPr>
      </w:pPr>
      <w:r w:rsidRPr="004C2C15">
        <w:rPr>
          <w:b/>
          <w:sz w:val="24"/>
        </w:rPr>
        <w:t>Calificación.</w:t>
      </w:r>
      <w:r>
        <w:rPr>
          <w:sz w:val="24"/>
        </w:rPr>
        <w:t xml:space="preserve"> </w:t>
      </w:r>
      <w:r w:rsidR="005A2F7A">
        <w:rPr>
          <w:sz w:val="24"/>
        </w:rPr>
        <w:t>La ley establece de manera explícita la prohibición de invocar el secreto bancario cuando el titular de las cuentas bancarias sea un sujeto obligado o establece la obligación de hacer pública dicha información.</w:t>
      </w:r>
    </w:p>
    <w:p w14:paraId="64C0AC06" w14:textId="5101971F" w:rsidR="001256F9" w:rsidRPr="00EA2F70" w:rsidRDefault="006363A8" w:rsidP="00FC0ABC">
      <w:pPr>
        <w:pStyle w:val="Ttulo1"/>
      </w:pPr>
      <w:r>
        <w:t>C</w:t>
      </w:r>
      <w:r w:rsidR="00492642">
        <w:t>riterio 47</w:t>
      </w:r>
      <w:r w:rsidR="001256F9" w:rsidRPr="00EA2F70">
        <w:t>. Prohibición de invocar el secreto fiduciario cuando se trate de fideicomisos constituidos con fondos públicos o participación de funcionarios públicos</w:t>
      </w:r>
    </w:p>
    <w:p w14:paraId="4E944C6D" w14:textId="2445F8A3" w:rsidR="001256F9" w:rsidRPr="00EA2F70" w:rsidRDefault="001256F9" w:rsidP="001256F9">
      <w:pPr>
        <w:jc w:val="both"/>
        <w:rPr>
          <w:sz w:val="24"/>
        </w:rPr>
      </w:pPr>
      <w:r w:rsidRPr="00EA2F70">
        <w:rPr>
          <w:b/>
          <w:sz w:val="24"/>
        </w:rPr>
        <w:t>Descripción.</w:t>
      </w:r>
      <w:r>
        <w:rPr>
          <w:sz w:val="24"/>
        </w:rPr>
        <w:t xml:space="preserve"> </w:t>
      </w:r>
      <w:r w:rsidRPr="00EA2F70">
        <w:rPr>
          <w:sz w:val="24"/>
        </w:rPr>
        <w:t>El secreto fiduciario</w:t>
      </w:r>
      <w:r w:rsidRPr="00EA2F70">
        <w:rPr>
          <w:sz w:val="24"/>
          <w:vertAlign w:val="superscript"/>
        </w:rPr>
        <w:footnoteReference w:id="23"/>
      </w:r>
      <w:r w:rsidRPr="00EA2F70">
        <w:rPr>
          <w:sz w:val="24"/>
          <w:vertAlign w:val="superscript"/>
        </w:rPr>
        <w:t xml:space="preserve"> </w:t>
      </w:r>
      <w:r w:rsidRPr="00EA2F70">
        <w:rPr>
          <w:sz w:val="24"/>
        </w:rPr>
        <w:t>es una causal para la reserva de la información pública contenida en el artículo 117 de la Ley de Instituciones de Crédito y en distintas legislaciones esta</w:t>
      </w:r>
      <w:r w:rsidR="00B013D5">
        <w:rPr>
          <w:sz w:val="24"/>
        </w:rPr>
        <w:t>t</w:t>
      </w:r>
      <w:r w:rsidRPr="00EA2F70">
        <w:rPr>
          <w:sz w:val="24"/>
        </w:rPr>
        <w:t xml:space="preserve">ales. </w:t>
      </w:r>
      <w:r w:rsidR="00B013D5">
        <w:rPr>
          <w:sz w:val="24"/>
        </w:rPr>
        <w:t>Así, l</w:t>
      </w:r>
      <w:r w:rsidRPr="00EA2F70">
        <w:rPr>
          <w:sz w:val="24"/>
        </w:rPr>
        <w:t>as operaciones fiduciarias, bancarias y de crédito contienen información que, de acuerdo con la legislación vigente,</w:t>
      </w:r>
      <w:r w:rsidR="00B013D5">
        <w:rPr>
          <w:sz w:val="24"/>
        </w:rPr>
        <w:t xml:space="preserve"> </w:t>
      </w:r>
      <w:r w:rsidR="00B013D5" w:rsidRPr="00EA2F70">
        <w:rPr>
          <w:sz w:val="24"/>
        </w:rPr>
        <w:t>debe</w:t>
      </w:r>
      <w:r w:rsidRPr="00EA2F70">
        <w:rPr>
          <w:sz w:val="24"/>
        </w:rPr>
        <w:t xml:space="preserve"> mantenerse en la mayor secrecía. No obstante, esta reserva de información es indiscriminada y no distingue entre fideicomisos privados y fideicomisos públicos. Como fue mencionado en el indicador 19 sobre sujetos obligados </w:t>
      </w:r>
      <w:r w:rsidR="00B013D5">
        <w:rPr>
          <w:rFonts w:ascii="Cambria" w:hAnsi="Cambria"/>
          <w:sz w:val="24"/>
        </w:rPr>
        <w:t>—</w:t>
      </w:r>
      <w:r w:rsidRPr="00EA2F70">
        <w:rPr>
          <w:sz w:val="24"/>
        </w:rPr>
        <w:t>fideicomisos públicos</w:t>
      </w:r>
      <w:r w:rsidR="00B013D5">
        <w:rPr>
          <w:rFonts w:ascii="Cambria" w:hAnsi="Cambria"/>
          <w:sz w:val="24"/>
        </w:rPr>
        <w:t>—</w:t>
      </w:r>
      <w:r w:rsidRPr="00EA2F70">
        <w:rPr>
          <w:sz w:val="24"/>
        </w:rPr>
        <w:t xml:space="preserve"> el carácter público de esta figura jurídica </w:t>
      </w:r>
      <w:r w:rsidR="00B013D5">
        <w:rPr>
          <w:sz w:val="24"/>
        </w:rPr>
        <w:t>se evidencia</w:t>
      </w:r>
      <w:r w:rsidR="00B013D5" w:rsidRPr="00EA2F70">
        <w:rPr>
          <w:sz w:val="24"/>
        </w:rPr>
        <w:t xml:space="preserve"> </w:t>
      </w:r>
      <w:r w:rsidRPr="00EA2F70">
        <w:rPr>
          <w:sz w:val="24"/>
        </w:rPr>
        <w:t xml:space="preserve">en la naturaleza pública de las autoridades que sirven al mismo, el uso de recursos públicos y el claro establecimiento de objetivos del mismo para satisfacer un servicio público. </w:t>
      </w:r>
    </w:p>
    <w:p w14:paraId="2A44E12B" w14:textId="3FE3DFEB" w:rsidR="001256F9" w:rsidRPr="00EA2F70" w:rsidRDefault="001256F9" w:rsidP="00400FA5">
      <w:pPr>
        <w:pBdr>
          <w:bottom w:val="single" w:sz="4" w:space="1" w:color="auto"/>
        </w:pBdr>
        <w:jc w:val="both"/>
        <w:rPr>
          <w:sz w:val="24"/>
        </w:rPr>
      </w:pPr>
      <w:r w:rsidRPr="004C2C15">
        <w:rPr>
          <w:b/>
          <w:sz w:val="24"/>
        </w:rPr>
        <w:t>Calificación.</w:t>
      </w:r>
      <w:r>
        <w:rPr>
          <w:sz w:val="24"/>
        </w:rPr>
        <w:t xml:space="preserve"> </w:t>
      </w:r>
      <w:r w:rsidR="00400FA5">
        <w:rPr>
          <w:sz w:val="24"/>
        </w:rPr>
        <w:t>Se establece explícitamente la prohibición de reservar información cuando se dé el c</w:t>
      </w:r>
      <w:r w:rsidR="00A94FD6">
        <w:rPr>
          <w:sz w:val="24"/>
        </w:rPr>
        <w:t>aso señalado por este criterio,</w:t>
      </w:r>
      <w:r w:rsidR="00400FA5">
        <w:rPr>
          <w:sz w:val="24"/>
        </w:rPr>
        <w:t xml:space="preserve"> se establece la obligación de hacer pública dicha información</w:t>
      </w:r>
      <w:r w:rsidR="00A94FD6">
        <w:rPr>
          <w:sz w:val="24"/>
        </w:rPr>
        <w:t xml:space="preserve"> o se establecen como sujetos obligados</w:t>
      </w:r>
      <w:r w:rsidR="00400FA5">
        <w:rPr>
          <w:sz w:val="24"/>
        </w:rPr>
        <w:t xml:space="preserve">. </w:t>
      </w:r>
    </w:p>
    <w:p w14:paraId="2F7EF3DB" w14:textId="5E0BD38E" w:rsidR="001256F9" w:rsidRPr="009264E0" w:rsidRDefault="001256F9" w:rsidP="00FC0ABC">
      <w:pPr>
        <w:pStyle w:val="Ttulo1"/>
      </w:pPr>
      <w:r>
        <w:lastRenderedPageBreak/>
        <w:t xml:space="preserve">Criterio </w:t>
      </w:r>
      <w:r w:rsidR="00A94FD6">
        <w:t>48</w:t>
      </w:r>
      <w:r w:rsidRPr="009264E0">
        <w:t>. Los créditos fiscales respecto de los cuales haya operado una disminución, reducción o condonación no podrán ser motivo de confidencialidad. Es público el nombre, el monto y la razón que justifique el acto</w:t>
      </w:r>
    </w:p>
    <w:p w14:paraId="345DEC1B" w14:textId="1FFD8D64" w:rsidR="001256F9" w:rsidRDefault="001256F9" w:rsidP="001256F9">
      <w:pPr>
        <w:jc w:val="both"/>
        <w:rPr>
          <w:sz w:val="24"/>
        </w:rPr>
      </w:pPr>
      <w:r w:rsidRPr="009264E0">
        <w:rPr>
          <w:b/>
          <w:sz w:val="24"/>
        </w:rPr>
        <w:t>Descripción.</w:t>
      </w:r>
      <w:r>
        <w:rPr>
          <w:sz w:val="24"/>
        </w:rPr>
        <w:t xml:space="preserve"> </w:t>
      </w:r>
      <w:r w:rsidRPr="009264E0">
        <w:rPr>
          <w:sz w:val="24"/>
        </w:rPr>
        <w:t>Al igual que el secreto fiduciario, el secreto fiscal</w:t>
      </w:r>
      <w:r w:rsidRPr="009264E0">
        <w:rPr>
          <w:sz w:val="24"/>
          <w:vertAlign w:val="superscript"/>
        </w:rPr>
        <w:footnoteReference w:id="24"/>
      </w:r>
      <w:r>
        <w:rPr>
          <w:sz w:val="24"/>
        </w:rPr>
        <w:t xml:space="preserve"> </w:t>
      </w:r>
      <w:r w:rsidRPr="009264E0">
        <w:rPr>
          <w:sz w:val="24"/>
        </w:rPr>
        <w:t>es una figura jurídica con la cual se reserva arbitrariamente cualquier tipo de información rela</w:t>
      </w:r>
      <w:r>
        <w:rPr>
          <w:sz w:val="24"/>
        </w:rPr>
        <w:t xml:space="preserve">cionada con trámites fiscales. </w:t>
      </w:r>
      <w:r w:rsidRPr="009264E0">
        <w:rPr>
          <w:sz w:val="24"/>
        </w:rPr>
        <w:t>Bajo el argumento de “absoluta reserva” es imposible que un ciudadano(a) conozca los montos, criterios y nombres de las personas que fueron beneficiadas debida o indeb</w:t>
      </w:r>
      <w:r>
        <w:rPr>
          <w:sz w:val="24"/>
        </w:rPr>
        <w:t xml:space="preserve">idamente </w:t>
      </w:r>
      <w:r w:rsidR="008173B5">
        <w:rPr>
          <w:sz w:val="24"/>
        </w:rPr>
        <w:t xml:space="preserve">con </w:t>
      </w:r>
      <w:r>
        <w:rPr>
          <w:sz w:val="24"/>
        </w:rPr>
        <w:t>créditos fiscales.</w:t>
      </w:r>
      <w:r w:rsidRPr="009264E0">
        <w:rPr>
          <w:sz w:val="24"/>
          <w:vertAlign w:val="superscript"/>
        </w:rPr>
        <w:t xml:space="preserve"> </w:t>
      </w:r>
      <w:r w:rsidRPr="009264E0">
        <w:rPr>
          <w:sz w:val="24"/>
          <w:vertAlign w:val="superscript"/>
        </w:rPr>
        <w:footnoteReference w:id="25"/>
      </w:r>
    </w:p>
    <w:p w14:paraId="12378F98" w14:textId="77777777" w:rsidR="001256F9" w:rsidRDefault="001256F9" w:rsidP="001256F9">
      <w:pPr>
        <w:jc w:val="both"/>
        <w:rPr>
          <w:sz w:val="24"/>
        </w:rPr>
      </w:pPr>
      <w:r w:rsidRPr="009264E0">
        <w:rPr>
          <w:sz w:val="24"/>
        </w:rPr>
        <w:t>La importancia</w:t>
      </w:r>
      <w:r>
        <w:rPr>
          <w:sz w:val="24"/>
        </w:rPr>
        <w:t xml:space="preserve"> </w:t>
      </w:r>
      <w:r w:rsidRPr="009264E0">
        <w:rPr>
          <w:sz w:val="24"/>
        </w:rPr>
        <w:t xml:space="preserve">de conocer dicha información radica en que estos créditos son parte fundamental del erario público que el Estado deja de percibir y con lo cual se sustenta el funcionamiento cotidiano del mismo. Bajo este orden de ideas, las reservas absolutas de información </w:t>
      </w:r>
      <w:r>
        <w:rPr>
          <w:sz w:val="24"/>
        </w:rPr>
        <w:t xml:space="preserve">en el caso de México </w:t>
      </w:r>
      <w:r w:rsidRPr="009264E0">
        <w:rPr>
          <w:sz w:val="24"/>
        </w:rPr>
        <w:t>son inconstitucionales</w:t>
      </w:r>
      <w:r>
        <w:rPr>
          <w:sz w:val="24"/>
        </w:rPr>
        <w:t>.</w:t>
      </w:r>
      <w:r w:rsidRPr="009264E0">
        <w:rPr>
          <w:sz w:val="24"/>
          <w:vertAlign w:val="superscript"/>
        </w:rPr>
        <w:footnoteReference w:id="26"/>
      </w:r>
    </w:p>
    <w:p w14:paraId="788C6E24" w14:textId="7CCB7139" w:rsidR="001256F9" w:rsidRPr="004C2C15" w:rsidRDefault="001256F9" w:rsidP="00361F61">
      <w:pPr>
        <w:pBdr>
          <w:bottom w:val="single" w:sz="4" w:space="1" w:color="auto"/>
        </w:pBdr>
        <w:jc w:val="both"/>
        <w:rPr>
          <w:sz w:val="24"/>
        </w:rPr>
      </w:pPr>
      <w:r w:rsidRPr="004C2C15">
        <w:rPr>
          <w:b/>
          <w:sz w:val="24"/>
        </w:rPr>
        <w:t>Calificación.</w:t>
      </w:r>
      <w:r>
        <w:rPr>
          <w:sz w:val="24"/>
        </w:rPr>
        <w:t xml:space="preserve"> </w:t>
      </w:r>
      <w:r w:rsidR="008173B5">
        <w:rPr>
          <w:sz w:val="24"/>
        </w:rPr>
        <w:t>El m</w:t>
      </w:r>
      <w:r>
        <w:rPr>
          <w:sz w:val="24"/>
        </w:rPr>
        <w:t xml:space="preserve">arco legal señala como información pública </w:t>
      </w:r>
      <w:r>
        <w:rPr>
          <w:iCs/>
          <w:sz w:val="24"/>
          <w:szCs w:val="24"/>
        </w:rPr>
        <w:t xml:space="preserve">los créditos fiscales, además de </w:t>
      </w:r>
      <w:r w:rsidR="008173B5">
        <w:rPr>
          <w:iCs/>
          <w:sz w:val="24"/>
          <w:szCs w:val="24"/>
        </w:rPr>
        <w:t xml:space="preserve">la publicidad irrestricta </w:t>
      </w:r>
      <w:r w:rsidR="008173B5">
        <w:rPr>
          <w:rFonts w:ascii="Cambria" w:hAnsi="Cambria"/>
          <w:sz w:val="24"/>
        </w:rPr>
        <w:t xml:space="preserve">—salvo reserva de Ley— </w:t>
      </w:r>
      <w:r w:rsidR="008173B5">
        <w:rPr>
          <w:iCs/>
          <w:sz w:val="24"/>
          <w:szCs w:val="24"/>
        </w:rPr>
        <w:t xml:space="preserve">de </w:t>
      </w:r>
      <w:r>
        <w:rPr>
          <w:iCs/>
          <w:sz w:val="24"/>
          <w:szCs w:val="24"/>
        </w:rPr>
        <w:t xml:space="preserve">los </w:t>
      </w:r>
      <w:r w:rsidRPr="009264E0">
        <w:rPr>
          <w:iCs/>
          <w:sz w:val="24"/>
          <w:szCs w:val="24"/>
        </w:rPr>
        <w:t>nombre</w:t>
      </w:r>
      <w:r>
        <w:rPr>
          <w:iCs/>
          <w:sz w:val="24"/>
          <w:szCs w:val="24"/>
        </w:rPr>
        <w:t>s</w:t>
      </w:r>
      <w:r w:rsidRPr="009264E0">
        <w:rPr>
          <w:iCs/>
          <w:sz w:val="24"/>
          <w:szCs w:val="24"/>
        </w:rPr>
        <w:t>, monto</w:t>
      </w:r>
      <w:r>
        <w:rPr>
          <w:iCs/>
          <w:sz w:val="24"/>
          <w:szCs w:val="24"/>
        </w:rPr>
        <w:t>s</w:t>
      </w:r>
      <w:r w:rsidRPr="009264E0">
        <w:rPr>
          <w:iCs/>
          <w:sz w:val="24"/>
          <w:szCs w:val="24"/>
        </w:rPr>
        <w:t xml:space="preserve"> y raz</w:t>
      </w:r>
      <w:r w:rsidR="00D12411">
        <w:rPr>
          <w:iCs/>
          <w:sz w:val="24"/>
          <w:szCs w:val="24"/>
        </w:rPr>
        <w:t>ones</w:t>
      </w:r>
      <w:r w:rsidRPr="009264E0">
        <w:rPr>
          <w:iCs/>
          <w:sz w:val="24"/>
          <w:szCs w:val="24"/>
        </w:rPr>
        <w:t xml:space="preserve"> que justifique</w:t>
      </w:r>
      <w:r w:rsidR="00D12411">
        <w:rPr>
          <w:iCs/>
          <w:sz w:val="24"/>
          <w:szCs w:val="24"/>
        </w:rPr>
        <w:t>n tales</w:t>
      </w:r>
      <w:r w:rsidRPr="009264E0">
        <w:rPr>
          <w:iCs/>
          <w:sz w:val="24"/>
          <w:szCs w:val="24"/>
        </w:rPr>
        <w:t xml:space="preserve"> acto</w:t>
      </w:r>
      <w:r w:rsidR="00D12411">
        <w:rPr>
          <w:iCs/>
          <w:sz w:val="24"/>
          <w:szCs w:val="24"/>
        </w:rPr>
        <w:t>s</w:t>
      </w:r>
      <w:r w:rsidRPr="004C2C15">
        <w:rPr>
          <w:sz w:val="24"/>
        </w:rPr>
        <w:t>.</w:t>
      </w:r>
    </w:p>
    <w:p w14:paraId="3E6A568F" w14:textId="3DAAF997" w:rsidR="001256F9" w:rsidRPr="00FC2B8F" w:rsidRDefault="001256F9" w:rsidP="00FC0ABC">
      <w:pPr>
        <w:pStyle w:val="Ttulo1"/>
      </w:pPr>
      <w:r>
        <w:t xml:space="preserve">Criterio </w:t>
      </w:r>
      <w:r w:rsidR="009B20A7">
        <w:t>49</w:t>
      </w:r>
      <w:r w:rsidRPr="00FC2B8F">
        <w:t>. La información entrega</w:t>
      </w:r>
      <w:r w:rsidR="00144D77">
        <w:t>da</w:t>
      </w:r>
      <w:r w:rsidRPr="00FC2B8F">
        <w:t xml:space="preserve"> por particulares a funcionarios o servidores públicos es considerada informa</w:t>
      </w:r>
      <w:r>
        <w:t>ción pública sin excepción</w:t>
      </w:r>
    </w:p>
    <w:p w14:paraId="108792FB" w14:textId="23C3A3D3" w:rsidR="001256F9" w:rsidRPr="00FC2B8F" w:rsidRDefault="001256F9" w:rsidP="001256F9">
      <w:pPr>
        <w:jc w:val="both"/>
        <w:rPr>
          <w:sz w:val="24"/>
        </w:rPr>
      </w:pPr>
      <w:r w:rsidRPr="00FC2B8F">
        <w:rPr>
          <w:b/>
          <w:sz w:val="24"/>
        </w:rPr>
        <w:t xml:space="preserve">Descripción. </w:t>
      </w:r>
      <w:r w:rsidRPr="00FC2B8F">
        <w:rPr>
          <w:sz w:val="24"/>
        </w:rPr>
        <w:t>La información</w:t>
      </w:r>
      <w:r>
        <w:rPr>
          <w:sz w:val="24"/>
        </w:rPr>
        <w:t xml:space="preserve"> que resguarda</w:t>
      </w:r>
      <w:r w:rsidR="00144D77">
        <w:rPr>
          <w:sz w:val="24"/>
        </w:rPr>
        <w:t>n</w:t>
      </w:r>
      <w:r>
        <w:rPr>
          <w:sz w:val="24"/>
        </w:rPr>
        <w:t xml:space="preserve"> los servidores públicos debe considerarse pública, independiente del sujeto que la </w:t>
      </w:r>
      <w:r w:rsidRPr="00FC2B8F">
        <w:rPr>
          <w:sz w:val="24"/>
        </w:rPr>
        <w:t>ge</w:t>
      </w:r>
      <w:r>
        <w:rPr>
          <w:sz w:val="24"/>
        </w:rPr>
        <w:t xml:space="preserve">nera. Lo anterior, como </w:t>
      </w:r>
      <w:r w:rsidR="00144D77">
        <w:rPr>
          <w:sz w:val="24"/>
        </w:rPr>
        <w:t xml:space="preserve">con </w:t>
      </w:r>
      <w:r>
        <w:rPr>
          <w:sz w:val="24"/>
        </w:rPr>
        <w:t>cualquier otra información que re</w:t>
      </w:r>
      <w:r w:rsidR="00144D77">
        <w:rPr>
          <w:sz w:val="24"/>
        </w:rPr>
        <w:t>s</w:t>
      </w:r>
      <w:r>
        <w:rPr>
          <w:sz w:val="24"/>
        </w:rPr>
        <w:t>guarda el ámbito público</w:t>
      </w:r>
      <w:r w:rsidR="00144D77">
        <w:rPr>
          <w:sz w:val="24"/>
        </w:rPr>
        <w:t>,</w:t>
      </w:r>
      <w:r>
        <w:rPr>
          <w:sz w:val="24"/>
        </w:rPr>
        <w:t xml:space="preserve"> debe </w:t>
      </w:r>
      <w:r w:rsidRPr="00FC2B8F">
        <w:rPr>
          <w:sz w:val="24"/>
        </w:rPr>
        <w:t>sustent</w:t>
      </w:r>
      <w:r>
        <w:rPr>
          <w:sz w:val="24"/>
        </w:rPr>
        <w:t>arse</w:t>
      </w:r>
      <w:r w:rsidRPr="00FC2B8F">
        <w:rPr>
          <w:sz w:val="24"/>
        </w:rPr>
        <w:t xml:space="preserve"> en la prueba de </w:t>
      </w:r>
      <w:r w:rsidRPr="00FC2B8F">
        <w:rPr>
          <w:sz w:val="24"/>
        </w:rPr>
        <w:lastRenderedPageBreak/>
        <w:t>daño, por lo cual se requiere una valoración, caso por caso, sobre su confidencialidad</w:t>
      </w:r>
      <w:r w:rsidR="00144D77">
        <w:rPr>
          <w:sz w:val="24"/>
        </w:rPr>
        <w:t>,</w:t>
      </w:r>
      <w:r w:rsidRPr="00FC2B8F">
        <w:rPr>
          <w:sz w:val="24"/>
        </w:rPr>
        <w:t xml:space="preserve"> privilegiando la cr</w:t>
      </w:r>
      <w:r>
        <w:rPr>
          <w:sz w:val="24"/>
        </w:rPr>
        <w:t>eación de versiones públicas.</w:t>
      </w:r>
    </w:p>
    <w:p w14:paraId="7221873B" w14:textId="4A7C725E" w:rsidR="001256F9" w:rsidRDefault="001256F9" w:rsidP="002938FC">
      <w:pPr>
        <w:pBdr>
          <w:bottom w:val="single" w:sz="4" w:space="1" w:color="auto"/>
        </w:pBdr>
        <w:jc w:val="both"/>
        <w:rPr>
          <w:sz w:val="24"/>
        </w:rPr>
      </w:pPr>
      <w:r w:rsidRPr="004C2C15">
        <w:rPr>
          <w:b/>
          <w:sz w:val="24"/>
        </w:rPr>
        <w:t>Calificación.</w:t>
      </w:r>
      <w:r w:rsidRPr="00FC2B8F">
        <w:rPr>
          <w:sz w:val="24"/>
        </w:rPr>
        <w:t xml:space="preserve"> </w:t>
      </w:r>
      <w:r w:rsidR="00144D77">
        <w:rPr>
          <w:sz w:val="24"/>
        </w:rPr>
        <w:t>L</w:t>
      </w:r>
      <w:r w:rsidRPr="00FC2B8F">
        <w:rPr>
          <w:sz w:val="24"/>
        </w:rPr>
        <w:t xml:space="preserve">as leyes de transparencia y acceso a la información establecen que la información entregada </w:t>
      </w:r>
      <w:r>
        <w:rPr>
          <w:sz w:val="24"/>
        </w:rPr>
        <w:t xml:space="preserve">a servidores públicos </w:t>
      </w:r>
      <w:r w:rsidR="00144D77">
        <w:rPr>
          <w:sz w:val="24"/>
        </w:rPr>
        <w:t>por</w:t>
      </w:r>
      <w:r w:rsidRPr="00FC2B8F">
        <w:rPr>
          <w:sz w:val="24"/>
        </w:rPr>
        <w:t xml:space="preserve"> particulares </w:t>
      </w:r>
      <w:r>
        <w:rPr>
          <w:sz w:val="24"/>
        </w:rPr>
        <w:t>se considera pública, sin excepción.</w:t>
      </w:r>
    </w:p>
    <w:p w14:paraId="59535655" w14:textId="58E98358" w:rsidR="002938FC" w:rsidRPr="00FC2B8F" w:rsidRDefault="002938FC" w:rsidP="002938FC">
      <w:pPr>
        <w:pStyle w:val="Ttulo1"/>
      </w:pPr>
      <w:r w:rsidRPr="008B65D5">
        <w:t xml:space="preserve">Criterio </w:t>
      </w:r>
      <w:r w:rsidR="004C7B22" w:rsidRPr="008B65D5">
        <w:t>50</w:t>
      </w:r>
      <w:r w:rsidRPr="008B65D5">
        <w:t xml:space="preserve">. </w:t>
      </w:r>
      <w:r w:rsidR="004C7B22" w:rsidRPr="008B65D5">
        <w:t>la información confidencial puede ser difundida si el interés público de conocerla es mayor que el daño causado por no restringir la información</w:t>
      </w:r>
    </w:p>
    <w:p w14:paraId="373654A2" w14:textId="77777777" w:rsidR="008B65D5" w:rsidRDefault="008B65D5" w:rsidP="008B65D5">
      <w:pPr>
        <w:jc w:val="both"/>
        <w:rPr>
          <w:sz w:val="24"/>
        </w:rPr>
      </w:pPr>
      <w:r w:rsidRPr="00AC79C9">
        <w:rPr>
          <w:b/>
          <w:sz w:val="24"/>
        </w:rPr>
        <w:t>Descripción.</w:t>
      </w:r>
      <w:r w:rsidRPr="00AC79C9">
        <w:rPr>
          <w:sz w:val="24"/>
        </w:rPr>
        <w:t xml:space="preserve"> </w:t>
      </w:r>
      <w:r>
        <w:rPr>
          <w:sz w:val="24"/>
        </w:rPr>
        <w:t xml:space="preserve">El manejo del daño </w:t>
      </w:r>
      <w:r w:rsidRPr="006B6459">
        <w:rPr>
          <w:sz w:val="24"/>
        </w:rPr>
        <w:t>eventual</w:t>
      </w:r>
      <w:r>
        <w:rPr>
          <w:sz w:val="24"/>
        </w:rPr>
        <w:t xml:space="preserve"> a causa de la información confidencial difundida a partir del interés público se encuentra en desarrollo y tiene diversas soluciones en los países que lo contemplan. La legislación mexicana establece </w:t>
      </w:r>
      <w:r w:rsidRPr="00AC79C9">
        <w:rPr>
          <w:sz w:val="24"/>
        </w:rPr>
        <w:t xml:space="preserve">la prueba de daño </w:t>
      </w:r>
      <w:r>
        <w:rPr>
          <w:sz w:val="24"/>
        </w:rPr>
        <w:t xml:space="preserve">como </w:t>
      </w:r>
      <w:r w:rsidRPr="00A32A20">
        <w:rPr>
          <w:sz w:val="24"/>
        </w:rPr>
        <w:t>medio</w:t>
      </w:r>
      <w:r>
        <w:rPr>
          <w:sz w:val="24"/>
        </w:rPr>
        <w:t xml:space="preserve"> para revisar un conflicto de derechos.</w:t>
      </w:r>
      <w:r w:rsidRPr="00AC79C9">
        <w:rPr>
          <w:sz w:val="24"/>
        </w:rPr>
        <w:t xml:space="preserve"> </w:t>
      </w:r>
      <w:r>
        <w:rPr>
          <w:sz w:val="24"/>
        </w:rPr>
        <w:t xml:space="preserve">Este mecanismo debe considerar varios aspectos como </w:t>
      </w:r>
      <w:r w:rsidRPr="00AC79C9">
        <w:rPr>
          <w:sz w:val="24"/>
        </w:rPr>
        <w:t>la existencia de "elementos objetivo</w:t>
      </w:r>
      <w:r>
        <w:rPr>
          <w:sz w:val="24"/>
        </w:rPr>
        <w:t>s</w:t>
      </w:r>
      <w:r w:rsidRPr="00AC79C9">
        <w:rPr>
          <w:sz w:val="24"/>
        </w:rPr>
        <w:t>" que permit</w:t>
      </w:r>
      <w:r>
        <w:rPr>
          <w:sz w:val="24"/>
        </w:rPr>
        <w:t>a</w:t>
      </w:r>
      <w:r w:rsidRPr="00AC79C9">
        <w:rPr>
          <w:sz w:val="24"/>
        </w:rPr>
        <w:t>n determinar el daño</w:t>
      </w:r>
      <w:r>
        <w:rPr>
          <w:sz w:val="24"/>
        </w:rPr>
        <w:t xml:space="preserve"> y que </w:t>
      </w:r>
      <w:r>
        <w:rPr>
          <w:rFonts w:ascii="Cambria" w:hAnsi="Cambria"/>
          <w:sz w:val="24"/>
        </w:rPr>
        <w:t>éste sea</w:t>
      </w:r>
      <w:r w:rsidRPr="00AC79C9">
        <w:rPr>
          <w:sz w:val="24"/>
        </w:rPr>
        <w:t xml:space="preserve"> "presente", "probable" y "específico". La carga de la prueba recae en la autoridad que clasifica.</w:t>
      </w:r>
      <w:r>
        <w:rPr>
          <w:rStyle w:val="Refdenotaalpie"/>
          <w:sz w:val="24"/>
        </w:rPr>
        <w:footnoteReference w:id="27"/>
      </w:r>
    </w:p>
    <w:p w14:paraId="68F3465A" w14:textId="7EECE97A" w:rsidR="002938FC" w:rsidRPr="004C2C15" w:rsidRDefault="008B65D5" w:rsidP="008B65D5">
      <w:pPr>
        <w:pBdr>
          <w:bottom w:val="single" w:sz="4" w:space="1" w:color="auto"/>
        </w:pBdr>
        <w:jc w:val="both"/>
        <w:rPr>
          <w:sz w:val="24"/>
        </w:rPr>
      </w:pPr>
      <w:r w:rsidRPr="004C2C15">
        <w:rPr>
          <w:b/>
          <w:sz w:val="24"/>
        </w:rPr>
        <w:t>Calificación.</w:t>
      </w:r>
      <w:r>
        <w:rPr>
          <w:b/>
          <w:sz w:val="24"/>
        </w:rPr>
        <w:t xml:space="preserve"> </w:t>
      </w:r>
      <w:r w:rsidRPr="00FC0ABC">
        <w:rPr>
          <w:sz w:val="24"/>
        </w:rPr>
        <w:t xml:space="preserve">La </w:t>
      </w:r>
      <w:r w:rsidRPr="002E5C5C">
        <w:rPr>
          <w:sz w:val="24"/>
        </w:rPr>
        <w:t>Ley contempla</w:t>
      </w:r>
      <w:r w:rsidRPr="00590536">
        <w:rPr>
          <w:sz w:val="24"/>
        </w:rPr>
        <w:t xml:space="preserve"> </w:t>
      </w:r>
      <w:r>
        <w:rPr>
          <w:sz w:val="24"/>
        </w:rPr>
        <w:t xml:space="preserve">la </w:t>
      </w:r>
      <w:r w:rsidRPr="00590536">
        <w:rPr>
          <w:sz w:val="24"/>
        </w:rPr>
        <w:t>prueba</w:t>
      </w:r>
      <w:r>
        <w:rPr>
          <w:sz w:val="24"/>
        </w:rPr>
        <w:t xml:space="preserve"> de daño </w:t>
      </w:r>
      <w:r w:rsidRPr="00590536">
        <w:rPr>
          <w:sz w:val="24"/>
        </w:rPr>
        <w:t>como mecanismo para la resolución de conflictos en el proceso de petición de información pública.</w:t>
      </w:r>
    </w:p>
    <w:p w14:paraId="0B4DCC3C" w14:textId="7324DBF2" w:rsidR="001256F9" w:rsidRPr="00735F53" w:rsidRDefault="001256F9" w:rsidP="00D34DDD">
      <w:pPr>
        <w:pStyle w:val="Ttulo1"/>
        <w:numPr>
          <w:ilvl w:val="0"/>
          <w:numId w:val="2"/>
        </w:numPr>
        <w:rPr>
          <w:b w:val="0"/>
        </w:rPr>
      </w:pPr>
      <w:bookmarkStart w:id="8" w:name="_Régimen_de_excepciones"/>
      <w:bookmarkEnd w:id="8"/>
      <w:r w:rsidRPr="00735F53">
        <w:t>Régimen</w:t>
      </w:r>
      <w:r w:rsidR="00917F81">
        <w:t xml:space="preserve"> de</w:t>
      </w:r>
      <w:r w:rsidR="00FC570D">
        <w:t xml:space="preserve"> </w:t>
      </w:r>
      <w:r w:rsidRPr="00735F53">
        <w:t>excepciones para la clasificación de información</w:t>
      </w:r>
    </w:p>
    <w:p w14:paraId="42A0DF8E" w14:textId="2F056700" w:rsidR="001256F9" w:rsidRPr="00735F53" w:rsidRDefault="001256F9" w:rsidP="001256F9">
      <w:pPr>
        <w:jc w:val="both"/>
        <w:rPr>
          <w:sz w:val="24"/>
        </w:rPr>
      </w:pPr>
      <w:r w:rsidRPr="00735F53">
        <w:rPr>
          <w:sz w:val="24"/>
        </w:rPr>
        <w:t>Los países</w:t>
      </w:r>
      <w:r w:rsidR="00E57935" w:rsidRPr="00735F53">
        <w:rPr>
          <w:sz w:val="24"/>
        </w:rPr>
        <w:t xml:space="preserve"> </w:t>
      </w:r>
      <w:r w:rsidRPr="00735F53">
        <w:rPr>
          <w:sz w:val="24"/>
        </w:rPr>
        <w:t>suscriben</w:t>
      </w:r>
      <w:r w:rsidR="00E57935">
        <w:rPr>
          <w:sz w:val="24"/>
        </w:rPr>
        <w:t xml:space="preserve"> </w:t>
      </w:r>
      <w:r w:rsidRPr="00735F53">
        <w:rPr>
          <w:sz w:val="24"/>
        </w:rPr>
        <w:t>principios, instituciones y leyes para fortalecer su sistema democrático</w:t>
      </w:r>
      <w:r w:rsidR="00E57935">
        <w:rPr>
          <w:sz w:val="24"/>
        </w:rPr>
        <w:t>; con ello</w:t>
      </w:r>
      <w:r w:rsidRPr="00735F53">
        <w:rPr>
          <w:sz w:val="24"/>
        </w:rPr>
        <w:t xml:space="preserve"> necesariamente </w:t>
      </w:r>
      <w:r w:rsidR="00E57935" w:rsidRPr="00E57935">
        <w:rPr>
          <w:sz w:val="24"/>
        </w:rPr>
        <w:t>aumentan</w:t>
      </w:r>
      <w:r w:rsidRPr="00735F53">
        <w:rPr>
          <w:sz w:val="24"/>
        </w:rPr>
        <w:t xml:space="preserve"> las vías de participación ciudadana, protege</w:t>
      </w:r>
      <w:r w:rsidR="00E57935">
        <w:rPr>
          <w:sz w:val="24"/>
        </w:rPr>
        <w:t>n</w:t>
      </w:r>
      <w:r w:rsidRPr="00735F53">
        <w:rPr>
          <w:sz w:val="24"/>
        </w:rPr>
        <w:t xml:space="preserve"> y amplía</w:t>
      </w:r>
      <w:r w:rsidR="00E57935">
        <w:rPr>
          <w:sz w:val="24"/>
        </w:rPr>
        <w:t>n el ejercicio de los</w:t>
      </w:r>
      <w:r w:rsidRPr="00735F53">
        <w:rPr>
          <w:sz w:val="24"/>
        </w:rPr>
        <w:t xml:space="preserve"> derechos humanos y abre</w:t>
      </w:r>
      <w:r w:rsidR="00E57935">
        <w:rPr>
          <w:sz w:val="24"/>
        </w:rPr>
        <w:t>n</w:t>
      </w:r>
      <w:r w:rsidRPr="00735F53">
        <w:rPr>
          <w:sz w:val="24"/>
        </w:rPr>
        <w:t xml:space="preserve"> la gestión pública hacia a transparencia y la rendición de cuentas.</w:t>
      </w:r>
    </w:p>
    <w:p w14:paraId="30AD288C" w14:textId="2BCD91B9" w:rsidR="001256F9" w:rsidRPr="00735F53" w:rsidRDefault="001256F9" w:rsidP="001256F9">
      <w:pPr>
        <w:jc w:val="both"/>
        <w:rPr>
          <w:sz w:val="24"/>
        </w:rPr>
      </w:pPr>
      <w:r w:rsidRPr="00735F53">
        <w:rPr>
          <w:sz w:val="24"/>
        </w:rPr>
        <w:t>E</w:t>
      </w:r>
      <w:r w:rsidR="009A6151">
        <w:rPr>
          <w:sz w:val="24"/>
        </w:rPr>
        <w:t>n e</w:t>
      </w:r>
      <w:r w:rsidRPr="00735F53">
        <w:rPr>
          <w:sz w:val="24"/>
        </w:rPr>
        <w:t xml:space="preserve">l </w:t>
      </w:r>
      <w:r w:rsidR="009A6151">
        <w:rPr>
          <w:sz w:val="24"/>
        </w:rPr>
        <w:t>tema</w:t>
      </w:r>
      <w:r w:rsidR="009A6151" w:rsidRPr="00735F53">
        <w:rPr>
          <w:sz w:val="24"/>
        </w:rPr>
        <w:t xml:space="preserve"> </w:t>
      </w:r>
      <w:r w:rsidRPr="00735F53">
        <w:rPr>
          <w:sz w:val="24"/>
        </w:rPr>
        <w:t xml:space="preserve">de transparencia y acceso a la información pública, el sistema </w:t>
      </w:r>
      <w:r w:rsidR="009A6151">
        <w:rPr>
          <w:sz w:val="24"/>
        </w:rPr>
        <w:t>s</w:t>
      </w:r>
      <w:r w:rsidRPr="00735F53">
        <w:rPr>
          <w:sz w:val="24"/>
        </w:rPr>
        <w:t xml:space="preserve">e fortalece en la medida que se eliminan figuras abusivas de excepción en la clasificación de la información. Al mismo tiempo, se cumple con dar legitimidad al sistema, </w:t>
      </w:r>
      <w:r w:rsidR="009A6151">
        <w:rPr>
          <w:sz w:val="24"/>
        </w:rPr>
        <w:t xml:space="preserve">se </w:t>
      </w:r>
      <w:r w:rsidRPr="00735F53">
        <w:rPr>
          <w:sz w:val="24"/>
        </w:rPr>
        <w:t xml:space="preserve">amplía la </w:t>
      </w:r>
      <w:r w:rsidRPr="00735F53">
        <w:rPr>
          <w:sz w:val="24"/>
        </w:rPr>
        <w:lastRenderedPageBreak/>
        <w:t xml:space="preserve">participación ciudadana y se promueven acciones de proactividad </w:t>
      </w:r>
      <w:r w:rsidR="009A6151">
        <w:rPr>
          <w:sz w:val="24"/>
        </w:rPr>
        <w:t>desde</w:t>
      </w:r>
      <w:r w:rsidR="009A6151" w:rsidRPr="00735F53">
        <w:rPr>
          <w:sz w:val="24"/>
        </w:rPr>
        <w:t xml:space="preserve"> </w:t>
      </w:r>
      <w:r w:rsidRPr="00735F53">
        <w:rPr>
          <w:sz w:val="24"/>
        </w:rPr>
        <w:t>gobiernos abiertos.</w:t>
      </w:r>
    </w:p>
    <w:p w14:paraId="7DF95427" w14:textId="16BFABD4" w:rsidR="001256F9" w:rsidRPr="00735F53" w:rsidRDefault="001256F9" w:rsidP="001256F9">
      <w:pPr>
        <w:jc w:val="both"/>
        <w:rPr>
          <w:sz w:val="24"/>
        </w:rPr>
      </w:pPr>
      <w:r w:rsidRPr="00735F53">
        <w:rPr>
          <w:sz w:val="24"/>
        </w:rPr>
        <w:t>E</w:t>
      </w:r>
      <w:r w:rsidR="00335533">
        <w:rPr>
          <w:sz w:val="24"/>
        </w:rPr>
        <w:t>ste</w:t>
      </w:r>
      <w:r w:rsidRPr="00735F53">
        <w:rPr>
          <w:sz w:val="24"/>
        </w:rPr>
        <w:t xml:space="preserve"> indicador revisa la adecuada implementación</w:t>
      </w:r>
      <w:r w:rsidR="00E74A9D">
        <w:rPr>
          <w:sz w:val="24"/>
        </w:rPr>
        <w:t xml:space="preserve"> del</w:t>
      </w:r>
      <w:r w:rsidRPr="00735F53">
        <w:rPr>
          <w:sz w:val="24"/>
        </w:rPr>
        <w:t xml:space="preserve"> régimen de excepción</w:t>
      </w:r>
      <w:r w:rsidR="00E74A9D">
        <w:rPr>
          <w:sz w:val="24"/>
        </w:rPr>
        <w:t xml:space="preserve"> </w:t>
      </w:r>
      <w:r w:rsidR="00623633" w:rsidRPr="00735F53">
        <w:rPr>
          <w:sz w:val="24"/>
        </w:rPr>
        <w:t>y las medidas de prevención</w:t>
      </w:r>
      <w:r w:rsidR="00623633">
        <w:rPr>
          <w:sz w:val="24"/>
        </w:rPr>
        <w:t xml:space="preserve"> </w:t>
      </w:r>
      <w:r w:rsidR="00E74A9D">
        <w:rPr>
          <w:sz w:val="24"/>
        </w:rPr>
        <w:t>a partir de</w:t>
      </w:r>
      <w:r w:rsidRPr="00735F53">
        <w:rPr>
          <w:sz w:val="24"/>
        </w:rPr>
        <w:t xml:space="preserve"> criterios armonizados con los estándares internacionales de transparencia y acceso a la información pública.</w:t>
      </w:r>
    </w:p>
    <w:p w14:paraId="611E5F71" w14:textId="151DC2E6" w:rsidR="001256F9" w:rsidRPr="00735F53" w:rsidRDefault="00232517" w:rsidP="00FC0ABC">
      <w:pPr>
        <w:pStyle w:val="Ttulo1"/>
      </w:pPr>
      <w:r>
        <w:t>Criterio 51</w:t>
      </w:r>
      <w:r w:rsidR="001256F9" w:rsidRPr="00735F53">
        <w:t>. Dañar la estabilidad financiera, económica o monetaria del país</w:t>
      </w:r>
    </w:p>
    <w:p w14:paraId="654054E1" w14:textId="77777777" w:rsidR="001256F9" w:rsidRDefault="001256F9" w:rsidP="001256F9">
      <w:pPr>
        <w:jc w:val="both"/>
        <w:rPr>
          <w:sz w:val="24"/>
        </w:rPr>
      </w:pPr>
      <w:r>
        <w:rPr>
          <w:b/>
          <w:sz w:val="24"/>
        </w:rPr>
        <w:t xml:space="preserve">Descripción. </w:t>
      </w:r>
      <w:r w:rsidRPr="00735F53">
        <w:rPr>
          <w:sz w:val="24"/>
        </w:rPr>
        <w:t>En México, se considera dentro del régimen de excepción la entrega de información pública que cause daños</w:t>
      </w:r>
      <w:r>
        <w:rPr>
          <w:b/>
          <w:sz w:val="24"/>
        </w:rPr>
        <w:t xml:space="preserve"> </w:t>
      </w:r>
      <w:r w:rsidRPr="00735F53">
        <w:rPr>
          <w:sz w:val="24"/>
        </w:rPr>
        <w:t>la estabilidad económica y financiera de un país</w:t>
      </w:r>
      <w:r>
        <w:rPr>
          <w:sz w:val="24"/>
        </w:rPr>
        <w:t>.</w:t>
      </w:r>
      <w:r w:rsidRPr="008108BA">
        <w:rPr>
          <w:sz w:val="24"/>
          <w:vertAlign w:val="superscript"/>
        </w:rPr>
        <w:footnoteReference w:id="28"/>
      </w:r>
    </w:p>
    <w:p w14:paraId="70052BFA" w14:textId="4383461C" w:rsidR="001256F9" w:rsidRDefault="001256F9" w:rsidP="001256F9">
      <w:pPr>
        <w:jc w:val="both"/>
        <w:rPr>
          <w:sz w:val="24"/>
        </w:rPr>
      </w:pPr>
      <w:r>
        <w:rPr>
          <w:sz w:val="24"/>
        </w:rPr>
        <w:t>Sin embargo, su interpretación debe partir de instrumentos jurídicos que permitan demostrar plena</w:t>
      </w:r>
      <w:r w:rsidR="00F10727">
        <w:rPr>
          <w:sz w:val="24"/>
        </w:rPr>
        <w:t>mente</w:t>
      </w:r>
      <w:r>
        <w:rPr>
          <w:sz w:val="24"/>
        </w:rPr>
        <w:t xml:space="preserve"> los efectos dañinos en la difusión de la información pública.</w:t>
      </w:r>
    </w:p>
    <w:p w14:paraId="117519C6" w14:textId="563BE21A" w:rsidR="001256F9" w:rsidRPr="004C2C15" w:rsidRDefault="001256F9" w:rsidP="00232517">
      <w:pPr>
        <w:pBdr>
          <w:bottom w:val="single" w:sz="4" w:space="1" w:color="auto"/>
        </w:pBdr>
        <w:jc w:val="both"/>
        <w:rPr>
          <w:sz w:val="24"/>
        </w:rPr>
      </w:pPr>
      <w:r w:rsidRPr="004C2C15">
        <w:rPr>
          <w:b/>
          <w:sz w:val="24"/>
        </w:rPr>
        <w:t>Calificación.</w:t>
      </w:r>
      <w:r>
        <w:rPr>
          <w:sz w:val="24"/>
        </w:rPr>
        <w:t xml:space="preserve"> </w:t>
      </w:r>
      <w:r w:rsidR="00132095">
        <w:rPr>
          <w:sz w:val="24"/>
        </w:rPr>
        <w:t>La n</w:t>
      </w:r>
      <w:r>
        <w:rPr>
          <w:sz w:val="24"/>
        </w:rPr>
        <w:t xml:space="preserve">ormatividad </w:t>
      </w:r>
      <w:r w:rsidR="00232517">
        <w:rPr>
          <w:sz w:val="24"/>
        </w:rPr>
        <w:t>señala esta causal para la reserva de información.</w:t>
      </w:r>
    </w:p>
    <w:p w14:paraId="546A6F76" w14:textId="4E073AD9" w:rsidR="001256F9" w:rsidRPr="00117B96" w:rsidRDefault="00917F81" w:rsidP="00FC0ABC">
      <w:pPr>
        <w:pStyle w:val="Ttulo1"/>
      </w:pPr>
      <w:r>
        <w:t xml:space="preserve">Criterio </w:t>
      </w:r>
      <w:r w:rsidR="003F49A2">
        <w:t>52</w:t>
      </w:r>
      <w:r w:rsidR="001256F9" w:rsidRPr="00117B96">
        <w:t>. Cuando su divulgación ponga en riesgo la seguridad nacional o la defensa nacional</w:t>
      </w:r>
    </w:p>
    <w:p w14:paraId="1242D3FE" w14:textId="39472301" w:rsidR="001256F9" w:rsidRPr="00117B96" w:rsidRDefault="001256F9" w:rsidP="001256F9">
      <w:pPr>
        <w:jc w:val="both"/>
        <w:rPr>
          <w:sz w:val="24"/>
        </w:rPr>
      </w:pPr>
      <w:r>
        <w:rPr>
          <w:b/>
          <w:sz w:val="24"/>
        </w:rPr>
        <w:t xml:space="preserve">Descripción. </w:t>
      </w:r>
      <w:r>
        <w:rPr>
          <w:sz w:val="24"/>
        </w:rPr>
        <w:t xml:space="preserve">En </w:t>
      </w:r>
      <w:r w:rsidR="009C5906" w:rsidRPr="009C5906">
        <w:rPr>
          <w:sz w:val="24"/>
        </w:rPr>
        <w:t>correspondencia</w:t>
      </w:r>
      <w:r w:rsidR="009C5906">
        <w:rPr>
          <w:sz w:val="24"/>
        </w:rPr>
        <w:t xml:space="preserve"> </w:t>
      </w:r>
      <w:r>
        <w:rPr>
          <w:sz w:val="24"/>
        </w:rPr>
        <w:t>con los P</w:t>
      </w:r>
      <w:r w:rsidRPr="00117B96">
        <w:rPr>
          <w:sz w:val="24"/>
        </w:rPr>
        <w:t>ri</w:t>
      </w:r>
      <w:r>
        <w:rPr>
          <w:sz w:val="24"/>
        </w:rPr>
        <w:t>ncipios de Johannesburgo sobre S</w:t>
      </w:r>
      <w:r w:rsidRPr="00117B96">
        <w:rPr>
          <w:sz w:val="24"/>
        </w:rPr>
        <w:t>egurid</w:t>
      </w:r>
      <w:r>
        <w:rPr>
          <w:sz w:val="24"/>
        </w:rPr>
        <w:t>ad Nacional, la Libertad de Expresión y el Acceso a la I</w:t>
      </w:r>
      <w:r w:rsidRPr="00117B96">
        <w:rPr>
          <w:sz w:val="24"/>
        </w:rPr>
        <w:t>nformación</w:t>
      </w:r>
      <w:r>
        <w:rPr>
          <w:sz w:val="24"/>
        </w:rPr>
        <w:t xml:space="preserve"> se puede definir con arreglo al principio 12</w:t>
      </w:r>
      <w:r w:rsidRPr="00117B96">
        <w:rPr>
          <w:sz w:val="24"/>
        </w:rPr>
        <w:t>: “</w:t>
      </w:r>
      <w:r>
        <w:rPr>
          <w:sz w:val="24"/>
        </w:rPr>
        <w:t>Designación Estrecha de Excepción d</w:t>
      </w:r>
      <w:r w:rsidRPr="00117B96">
        <w:rPr>
          <w:sz w:val="24"/>
        </w:rPr>
        <w:t xml:space="preserve">e Seguridad: El Estado no podrá negar categóricamente el acceso a toda la información relacionada con la seguridad nacional, pero deberá prever en la ley únicamente todas aquellas específicas y </w:t>
      </w:r>
      <w:r w:rsidRPr="00117B96">
        <w:rPr>
          <w:sz w:val="24"/>
        </w:rPr>
        <w:lastRenderedPageBreak/>
        <w:t>estrechas categorías de información que se necesitan retener con el fin de proteger un interés legítimo de seguridad nacional.”</w:t>
      </w:r>
      <w:r w:rsidRPr="00117B96">
        <w:rPr>
          <w:sz w:val="24"/>
          <w:vertAlign w:val="superscript"/>
        </w:rPr>
        <w:footnoteReference w:id="29"/>
      </w:r>
    </w:p>
    <w:p w14:paraId="28CB6DC0" w14:textId="7916BA32" w:rsidR="001256F9" w:rsidRDefault="001256F9" w:rsidP="001256F9">
      <w:pPr>
        <w:jc w:val="both"/>
        <w:rPr>
          <w:sz w:val="24"/>
        </w:rPr>
      </w:pPr>
      <w:r w:rsidRPr="00117B96">
        <w:rPr>
          <w:sz w:val="24"/>
        </w:rPr>
        <w:t xml:space="preserve">De conformidad con lo anterior, las autoridades tienen la obligación de permitir el acceso ciudadano sobre información de seguridad nacional como regla principal. </w:t>
      </w:r>
      <w:r>
        <w:rPr>
          <w:sz w:val="24"/>
        </w:rPr>
        <w:t xml:space="preserve">La </w:t>
      </w:r>
      <w:r w:rsidR="009C5906">
        <w:rPr>
          <w:sz w:val="24"/>
        </w:rPr>
        <w:t xml:space="preserve">práctica de </w:t>
      </w:r>
      <w:r>
        <w:rPr>
          <w:sz w:val="24"/>
        </w:rPr>
        <w:t>r</w:t>
      </w:r>
      <w:r w:rsidRPr="00117B96">
        <w:rPr>
          <w:sz w:val="24"/>
        </w:rPr>
        <w:t>eservar de manera general e indiscriminada la información relacionada con seguridad nacional</w:t>
      </w:r>
      <w:r>
        <w:rPr>
          <w:sz w:val="24"/>
        </w:rPr>
        <w:t xml:space="preserve"> es contraria al estándar internacional que requiere de la </w:t>
      </w:r>
      <w:r w:rsidRPr="00117B96">
        <w:rPr>
          <w:sz w:val="24"/>
        </w:rPr>
        <w:t>ponderación de derechos</w:t>
      </w:r>
      <w:r w:rsidR="009C5906">
        <w:rPr>
          <w:sz w:val="24"/>
        </w:rPr>
        <w:t>.</w:t>
      </w:r>
      <w:r w:rsidRPr="00117B96">
        <w:rPr>
          <w:sz w:val="24"/>
        </w:rPr>
        <w:t xml:space="preserve"> </w:t>
      </w:r>
      <w:r w:rsidR="009C5906" w:rsidRPr="00117B96">
        <w:rPr>
          <w:sz w:val="24"/>
        </w:rPr>
        <w:t>A</w:t>
      </w:r>
      <w:r w:rsidRPr="00117B96">
        <w:rPr>
          <w:sz w:val="24"/>
        </w:rPr>
        <w:t>nte el caso de duda</w:t>
      </w:r>
      <w:r>
        <w:rPr>
          <w:sz w:val="24"/>
        </w:rPr>
        <w:t xml:space="preserve"> razonable sobre la reserva o la negativa de</w:t>
      </w:r>
      <w:r w:rsidRPr="00117B96">
        <w:rPr>
          <w:sz w:val="24"/>
        </w:rPr>
        <w:t xml:space="preserve"> la información</w:t>
      </w:r>
      <w:r>
        <w:rPr>
          <w:sz w:val="24"/>
        </w:rPr>
        <w:t xml:space="preserve"> </w:t>
      </w:r>
      <w:r w:rsidRPr="00117B96">
        <w:rPr>
          <w:sz w:val="24"/>
        </w:rPr>
        <w:t xml:space="preserve">deberá prevalecer </w:t>
      </w:r>
      <w:r>
        <w:rPr>
          <w:sz w:val="24"/>
        </w:rPr>
        <w:t>el principio de máxima</w:t>
      </w:r>
      <w:r w:rsidRPr="00117B96">
        <w:rPr>
          <w:sz w:val="24"/>
        </w:rPr>
        <w:t xml:space="preserve"> publicidad.</w:t>
      </w:r>
      <w:r>
        <w:rPr>
          <w:rStyle w:val="Refdenotaalpie"/>
          <w:sz w:val="24"/>
        </w:rPr>
        <w:footnoteReference w:id="30"/>
      </w:r>
    </w:p>
    <w:p w14:paraId="1F3E1440" w14:textId="1CB8547B" w:rsidR="001256F9" w:rsidRPr="004C2C15" w:rsidRDefault="001256F9" w:rsidP="003F49A2">
      <w:pPr>
        <w:pBdr>
          <w:bottom w:val="single" w:sz="4" w:space="1" w:color="auto"/>
        </w:pBdr>
        <w:jc w:val="both"/>
        <w:rPr>
          <w:sz w:val="24"/>
        </w:rPr>
      </w:pPr>
      <w:r w:rsidRPr="004C2C15">
        <w:rPr>
          <w:b/>
          <w:sz w:val="24"/>
        </w:rPr>
        <w:t>Calificación.</w:t>
      </w:r>
      <w:r>
        <w:rPr>
          <w:sz w:val="24"/>
        </w:rPr>
        <w:t xml:space="preserve"> La Ley establece reglas y ponderaciones que restringen el acceso a la información de seguridad teniendo en cuenta el</w:t>
      </w:r>
      <w:r w:rsidR="00FC570D">
        <w:rPr>
          <w:sz w:val="24"/>
        </w:rPr>
        <w:t xml:space="preserve"> </w:t>
      </w:r>
      <w:r>
        <w:rPr>
          <w:sz w:val="24"/>
        </w:rPr>
        <w:t>principio de máxima publicidad en cada caso.</w:t>
      </w:r>
    </w:p>
    <w:p w14:paraId="2B9BA940" w14:textId="1846D11B" w:rsidR="001256F9" w:rsidRPr="00E77F53" w:rsidRDefault="001256F9" w:rsidP="00FC0ABC">
      <w:pPr>
        <w:pStyle w:val="Ttulo1"/>
      </w:pPr>
      <w:r>
        <w:t xml:space="preserve">Criterio </w:t>
      </w:r>
      <w:r w:rsidR="00D95166">
        <w:t>53</w:t>
      </w:r>
      <w:r w:rsidRPr="00E77F53">
        <w:t>. Cuando su divulgación ponga en riesgo la vida, la seguridad o la salud de cualquier persona o el desarrollo</w:t>
      </w:r>
      <w:r>
        <w:t xml:space="preserve"> de investigaciones reservadas</w:t>
      </w:r>
    </w:p>
    <w:p w14:paraId="0DB8D977" w14:textId="5F560614" w:rsidR="001256F9" w:rsidRDefault="001256F9" w:rsidP="001256F9">
      <w:pPr>
        <w:jc w:val="both"/>
        <w:rPr>
          <w:sz w:val="24"/>
        </w:rPr>
      </w:pPr>
      <w:r w:rsidRPr="005042CC">
        <w:rPr>
          <w:b/>
          <w:sz w:val="24"/>
        </w:rPr>
        <w:t>Descripción.</w:t>
      </w:r>
      <w:r>
        <w:rPr>
          <w:sz w:val="24"/>
        </w:rPr>
        <w:t xml:space="preserve"> </w:t>
      </w:r>
      <w:r w:rsidR="00606CBF">
        <w:rPr>
          <w:sz w:val="24"/>
        </w:rPr>
        <w:t>Constituye</w:t>
      </w:r>
      <w:r w:rsidR="00951DC0">
        <w:rPr>
          <w:sz w:val="24"/>
        </w:rPr>
        <w:t xml:space="preserve"> </w:t>
      </w:r>
      <w:r>
        <w:rPr>
          <w:sz w:val="24"/>
        </w:rPr>
        <w:t>excepci</w:t>
      </w:r>
      <w:r w:rsidR="00606CBF">
        <w:rPr>
          <w:sz w:val="24"/>
        </w:rPr>
        <w:t>ón</w:t>
      </w:r>
      <w:r>
        <w:rPr>
          <w:sz w:val="24"/>
        </w:rPr>
        <w:t xml:space="preserve"> legítima en el</w:t>
      </w:r>
      <w:r w:rsidRPr="005042CC">
        <w:rPr>
          <w:sz w:val="24"/>
        </w:rPr>
        <w:t xml:space="preserve"> derecho de acceso a la información cualquier documentación que ponga en riesgo </w:t>
      </w:r>
      <w:r w:rsidR="00A665C3">
        <w:rPr>
          <w:sz w:val="24"/>
        </w:rPr>
        <w:t xml:space="preserve">el derecho a </w:t>
      </w:r>
      <w:r w:rsidRPr="005042CC">
        <w:rPr>
          <w:sz w:val="24"/>
        </w:rPr>
        <w:t xml:space="preserve">la vida, la seguridad </w:t>
      </w:r>
      <w:r>
        <w:rPr>
          <w:sz w:val="24"/>
        </w:rPr>
        <w:t>o la salud de cualquier persona</w:t>
      </w:r>
      <w:r w:rsidRPr="005042CC">
        <w:rPr>
          <w:sz w:val="24"/>
        </w:rPr>
        <w:t xml:space="preserve">, </w:t>
      </w:r>
      <w:r w:rsidR="00606CBF">
        <w:rPr>
          <w:sz w:val="24"/>
        </w:rPr>
        <w:t xml:space="preserve">ya </w:t>
      </w:r>
      <w:r>
        <w:rPr>
          <w:sz w:val="24"/>
        </w:rPr>
        <w:t>que su violación constituiría un hecho irreparable</w:t>
      </w:r>
      <w:r w:rsidRPr="005042CC">
        <w:rPr>
          <w:sz w:val="24"/>
        </w:rPr>
        <w:t>.</w:t>
      </w:r>
    </w:p>
    <w:p w14:paraId="464FFEFA" w14:textId="77777777" w:rsidR="00D95166" w:rsidRPr="004C2C15" w:rsidRDefault="00D95166" w:rsidP="00D95166">
      <w:pPr>
        <w:pBdr>
          <w:bottom w:val="single" w:sz="4" w:space="1" w:color="auto"/>
        </w:pBdr>
        <w:jc w:val="both"/>
        <w:rPr>
          <w:sz w:val="24"/>
        </w:rPr>
      </w:pPr>
      <w:r w:rsidRPr="004C2C15">
        <w:rPr>
          <w:b/>
          <w:sz w:val="24"/>
        </w:rPr>
        <w:t>Calificación.</w:t>
      </w:r>
      <w:r>
        <w:rPr>
          <w:sz w:val="24"/>
        </w:rPr>
        <w:t xml:space="preserve"> La normatividad señala esta causal para la reserva de información.</w:t>
      </w:r>
    </w:p>
    <w:p w14:paraId="228D3D04" w14:textId="314EFEF4" w:rsidR="001256F9" w:rsidRPr="005042CC" w:rsidRDefault="004B2C67" w:rsidP="00FC0ABC">
      <w:pPr>
        <w:pStyle w:val="Ttulo1"/>
      </w:pPr>
      <w:r>
        <w:t>Criterio 54</w:t>
      </w:r>
      <w:r w:rsidR="001256F9" w:rsidRPr="005042CC">
        <w:t>. Cuando su divulgación impida las actividades de verificación sobre el cumplimiento de las leyes, prevención o persecución de los delitos, la impartición de justicia y la rec</w:t>
      </w:r>
      <w:r w:rsidR="001256F9">
        <w:t>audación de las contribuciones</w:t>
      </w:r>
    </w:p>
    <w:p w14:paraId="1F6A7B2D" w14:textId="19ED420B" w:rsidR="001256F9" w:rsidRPr="005042CC" w:rsidRDefault="001256F9" w:rsidP="001256F9">
      <w:pPr>
        <w:jc w:val="both"/>
        <w:rPr>
          <w:sz w:val="24"/>
        </w:rPr>
      </w:pPr>
      <w:r w:rsidRPr="005042CC">
        <w:rPr>
          <w:b/>
          <w:sz w:val="24"/>
        </w:rPr>
        <w:t>Descripción.</w:t>
      </w:r>
      <w:r>
        <w:rPr>
          <w:sz w:val="24"/>
        </w:rPr>
        <w:t xml:space="preserve"> Otr</w:t>
      </w:r>
      <w:r w:rsidR="00141662">
        <w:rPr>
          <w:sz w:val="24"/>
        </w:rPr>
        <w:t>o aspecto d</w:t>
      </w:r>
      <w:r>
        <w:rPr>
          <w:sz w:val="24"/>
        </w:rPr>
        <w:t>el régimen de excepción</w:t>
      </w:r>
      <w:r w:rsidR="00141662">
        <w:rPr>
          <w:sz w:val="24"/>
        </w:rPr>
        <w:t>,</w:t>
      </w:r>
      <w:r>
        <w:rPr>
          <w:sz w:val="24"/>
        </w:rPr>
        <w:t xml:space="preserve"> </w:t>
      </w:r>
      <w:r w:rsidR="00141662">
        <w:rPr>
          <w:sz w:val="24"/>
        </w:rPr>
        <w:t>estratégico</w:t>
      </w:r>
      <w:r w:rsidR="00141662" w:rsidRPr="005042CC">
        <w:rPr>
          <w:sz w:val="24"/>
        </w:rPr>
        <w:t xml:space="preserve"> para el funcionamiento de cualquier Estado</w:t>
      </w:r>
      <w:r w:rsidR="00141662">
        <w:rPr>
          <w:sz w:val="24"/>
        </w:rPr>
        <w:t xml:space="preserve">, </w:t>
      </w:r>
      <w:r>
        <w:rPr>
          <w:sz w:val="24"/>
        </w:rPr>
        <w:t>se relaci</w:t>
      </w:r>
      <w:r w:rsidR="00141662">
        <w:rPr>
          <w:sz w:val="24"/>
        </w:rPr>
        <w:t>ona</w:t>
      </w:r>
      <w:r>
        <w:rPr>
          <w:sz w:val="24"/>
        </w:rPr>
        <w:t xml:space="preserve"> a con el ámbito de procuración y administración de justicia que</w:t>
      </w:r>
      <w:r w:rsidR="00141662">
        <w:rPr>
          <w:sz w:val="24"/>
        </w:rPr>
        <w:t>,</w:t>
      </w:r>
      <w:r>
        <w:rPr>
          <w:sz w:val="24"/>
        </w:rPr>
        <w:t xml:space="preserve"> en ciertas </w:t>
      </w:r>
      <w:r w:rsidR="00141662">
        <w:rPr>
          <w:sz w:val="24"/>
        </w:rPr>
        <w:t>e</w:t>
      </w:r>
      <w:r>
        <w:rPr>
          <w:sz w:val="24"/>
        </w:rPr>
        <w:t>tapas del proceso</w:t>
      </w:r>
      <w:r w:rsidR="00141662">
        <w:rPr>
          <w:sz w:val="24"/>
        </w:rPr>
        <w:t>,</w:t>
      </w:r>
      <w:r>
        <w:rPr>
          <w:sz w:val="24"/>
        </w:rPr>
        <w:t xml:space="preserve"> requiere de </w:t>
      </w:r>
      <w:r w:rsidRPr="005042CC">
        <w:rPr>
          <w:sz w:val="24"/>
        </w:rPr>
        <w:t>secrecía para lograr un mejor desempeño.</w:t>
      </w:r>
    </w:p>
    <w:p w14:paraId="7A443282" w14:textId="698BA19C" w:rsidR="0039762A" w:rsidRDefault="001256F9" w:rsidP="001256F9">
      <w:pPr>
        <w:jc w:val="both"/>
        <w:rPr>
          <w:sz w:val="24"/>
        </w:rPr>
      </w:pPr>
      <w:r>
        <w:rPr>
          <w:sz w:val="24"/>
        </w:rPr>
        <w:lastRenderedPageBreak/>
        <w:t>Se suma</w:t>
      </w:r>
      <w:r w:rsidR="0039762A">
        <w:rPr>
          <w:sz w:val="24"/>
        </w:rPr>
        <w:t>n</w:t>
      </w:r>
      <w:r>
        <w:rPr>
          <w:sz w:val="24"/>
        </w:rPr>
        <w:t xml:space="preserve"> a</w:t>
      </w:r>
      <w:r w:rsidRPr="005042CC">
        <w:rPr>
          <w:sz w:val="24"/>
        </w:rPr>
        <w:t xml:space="preserve"> </w:t>
      </w:r>
      <w:r w:rsidR="0039762A">
        <w:rPr>
          <w:sz w:val="24"/>
        </w:rPr>
        <w:t>est</w:t>
      </w:r>
      <w:r w:rsidRPr="005042CC">
        <w:rPr>
          <w:sz w:val="24"/>
        </w:rPr>
        <w:t>a</w:t>
      </w:r>
      <w:r>
        <w:rPr>
          <w:sz w:val="24"/>
        </w:rPr>
        <w:t xml:space="preserve"> excepción la</w:t>
      </w:r>
      <w:r w:rsidR="0039762A">
        <w:rPr>
          <w:sz w:val="24"/>
        </w:rPr>
        <w:t>s</w:t>
      </w:r>
      <w:r w:rsidRPr="005042CC">
        <w:rPr>
          <w:sz w:val="24"/>
        </w:rPr>
        <w:t xml:space="preserve"> </w:t>
      </w:r>
      <w:r w:rsidR="0039762A">
        <w:rPr>
          <w:sz w:val="24"/>
        </w:rPr>
        <w:t xml:space="preserve">relacionadas con la </w:t>
      </w:r>
      <w:r w:rsidRPr="005042CC">
        <w:rPr>
          <w:sz w:val="24"/>
        </w:rPr>
        <w:t xml:space="preserve">recaudación de contribuciones y el secreto fiscal. En el </w:t>
      </w:r>
      <w:r w:rsidR="0039762A">
        <w:rPr>
          <w:sz w:val="24"/>
        </w:rPr>
        <w:t>primer</w:t>
      </w:r>
      <w:r w:rsidR="0039762A" w:rsidRPr="005042CC">
        <w:rPr>
          <w:sz w:val="24"/>
        </w:rPr>
        <w:t xml:space="preserve"> </w:t>
      </w:r>
      <w:r w:rsidRPr="005042CC">
        <w:rPr>
          <w:sz w:val="24"/>
        </w:rPr>
        <w:t>caso, la información se reservará</w:t>
      </w:r>
      <w:r w:rsidR="00FC570D">
        <w:rPr>
          <w:sz w:val="24"/>
        </w:rPr>
        <w:t xml:space="preserve"> </w:t>
      </w:r>
      <w:r w:rsidRPr="005042CC">
        <w:rPr>
          <w:sz w:val="24"/>
        </w:rPr>
        <w:t>cuando la difusión de la misma obstruya “actividades de captación, comprobación y fiscalización de ingresos tributarios realizados por las autoridades facultadas para ello, o de cualquier otra forma pueda afectar la</w:t>
      </w:r>
      <w:r>
        <w:rPr>
          <w:sz w:val="24"/>
        </w:rPr>
        <w:t xml:space="preserve"> recaudación de dichos ingresos</w:t>
      </w:r>
      <w:r w:rsidRPr="005042CC">
        <w:rPr>
          <w:sz w:val="24"/>
        </w:rPr>
        <w:t>”</w:t>
      </w:r>
      <w:r w:rsidR="0039762A">
        <w:rPr>
          <w:sz w:val="24"/>
        </w:rPr>
        <w:t>.</w:t>
      </w:r>
      <w:r w:rsidRPr="005042CC">
        <w:rPr>
          <w:sz w:val="24"/>
          <w:vertAlign w:val="superscript"/>
        </w:rPr>
        <w:footnoteReference w:id="31"/>
      </w:r>
    </w:p>
    <w:p w14:paraId="7871897C" w14:textId="051C1897" w:rsidR="0039762A" w:rsidRPr="004C2C15" w:rsidRDefault="0039762A" w:rsidP="004C6DA2">
      <w:pPr>
        <w:pBdr>
          <w:bottom w:val="single" w:sz="4" w:space="1" w:color="auto"/>
        </w:pBdr>
        <w:jc w:val="both"/>
        <w:rPr>
          <w:sz w:val="24"/>
        </w:rPr>
      </w:pPr>
      <w:r w:rsidRPr="004C6DA2">
        <w:rPr>
          <w:b/>
          <w:sz w:val="24"/>
        </w:rPr>
        <w:t>Calificación.</w:t>
      </w:r>
      <w:r w:rsidRPr="004C6DA2">
        <w:rPr>
          <w:sz w:val="24"/>
        </w:rPr>
        <w:t xml:space="preserve"> El marco jurídico señala el procedimiento para determinar los casos de excepción derivados del cumplimiento de las leyes, prevención o persecución de los delitos, la impartición de justicia y la recaudación de las contribuciones</w:t>
      </w:r>
      <w:r w:rsidR="00503C75" w:rsidRPr="004C6DA2">
        <w:rPr>
          <w:sz w:val="24"/>
        </w:rPr>
        <w:t xml:space="preserve"> teniendo en cuenta el principio de máxima publicidad en cada caso</w:t>
      </w:r>
      <w:r w:rsidRPr="004C6DA2">
        <w:rPr>
          <w:sz w:val="24"/>
        </w:rPr>
        <w:t>.</w:t>
      </w:r>
    </w:p>
    <w:p w14:paraId="634ECF16" w14:textId="191B1284" w:rsidR="001256F9" w:rsidRPr="005042CC" w:rsidRDefault="001256F9" w:rsidP="00FC0ABC">
      <w:pPr>
        <w:pStyle w:val="Ttulo1"/>
      </w:pPr>
      <w:r>
        <w:t xml:space="preserve">Criterio </w:t>
      </w:r>
      <w:r w:rsidR="00E82BBE">
        <w:t>55</w:t>
      </w:r>
      <w:r w:rsidRPr="005042CC">
        <w:t xml:space="preserve">. La vida </w:t>
      </w:r>
      <w:r>
        <w:t>privada y los datos personales</w:t>
      </w:r>
    </w:p>
    <w:p w14:paraId="616B6771" w14:textId="6A57EBE1" w:rsidR="001256F9" w:rsidRPr="00BA374F" w:rsidRDefault="001256F9" w:rsidP="001256F9">
      <w:pPr>
        <w:jc w:val="both"/>
        <w:rPr>
          <w:sz w:val="24"/>
        </w:rPr>
      </w:pPr>
      <w:r>
        <w:rPr>
          <w:b/>
          <w:sz w:val="24"/>
        </w:rPr>
        <w:t xml:space="preserve">Descripción. </w:t>
      </w:r>
      <w:r w:rsidR="006D518C">
        <w:rPr>
          <w:sz w:val="24"/>
        </w:rPr>
        <w:t>El concepto de</w:t>
      </w:r>
      <w:r w:rsidRPr="00BA374F">
        <w:rPr>
          <w:sz w:val="24"/>
        </w:rPr>
        <w:t xml:space="preserve"> datos personales </w:t>
      </w:r>
      <w:r w:rsidR="00E82BBE">
        <w:rPr>
          <w:sz w:val="24"/>
        </w:rPr>
        <w:t>alude a</w:t>
      </w:r>
      <w:r w:rsidRPr="00BA374F">
        <w:rPr>
          <w:sz w:val="24"/>
        </w:rPr>
        <w:t xml:space="preserve"> cualquier información que haga identificable a una persona física. El ámbito de </w:t>
      </w:r>
      <w:r w:rsidR="006D518C">
        <w:rPr>
          <w:sz w:val="24"/>
        </w:rPr>
        <w:t>su manejo,</w:t>
      </w:r>
      <w:r w:rsidRPr="00BA374F">
        <w:rPr>
          <w:sz w:val="24"/>
        </w:rPr>
        <w:t xml:space="preserve"> tratamiento </w:t>
      </w:r>
      <w:r w:rsidR="006D518C">
        <w:rPr>
          <w:sz w:val="24"/>
        </w:rPr>
        <w:t xml:space="preserve">y </w:t>
      </w:r>
      <w:r w:rsidRPr="00BA374F">
        <w:rPr>
          <w:sz w:val="24"/>
        </w:rPr>
        <w:t xml:space="preserve">protección constituye un </w:t>
      </w:r>
      <w:r w:rsidR="006D518C">
        <w:rPr>
          <w:sz w:val="24"/>
        </w:rPr>
        <w:t>asunto</w:t>
      </w:r>
      <w:r w:rsidR="006D518C" w:rsidRPr="00BA374F">
        <w:rPr>
          <w:sz w:val="24"/>
        </w:rPr>
        <w:t xml:space="preserve"> </w:t>
      </w:r>
      <w:r w:rsidRPr="00BA374F">
        <w:rPr>
          <w:sz w:val="24"/>
        </w:rPr>
        <w:t>de privacidad</w:t>
      </w:r>
      <w:r>
        <w:rPr>
          <w:sz w:val="24"/>
        </w:rPr>
        <w:t xml:space="preserve"> reconocido por diversos instrumentos internacionales y acuerdos regionales</w:t>
      </w:r>
      <w:r w:rsidRPr="00BA374F">
        <w:rPr>
          <w:sz w:val="24"/>
        </w:rPr>
        <w:t xml:space="preserve">. En este sentido, en la CPEUM </w:t>
      </w:r>
      <w:r>
        <w:rPr>
          <w:sz w:val="24"/>
        </w:rPr>
        <w:t xml:space="preserve">se armonizan esos mandatos y </w:t>
      </w:r>
      <w:r w:rsidR="006D518C">
        <w:rPr>
          <w:sz w:val="24"/>
        </w:rPr>
        <w:t xml:space="preserve">se </w:t>
      </w:r>
      <w:r w:rsidRPr="00BA374F">
        <w:rPr>
          <w:sz w:val="24"/>
        </w:rPr>
        <w:t>regula la protección de los datos personales a través de las figuras conocidas como los derechos ARCO (derecho constitucional al acceso, rectificación, cancelación y oposición) de los datos personale</w:t>
      </w:r>
      <w:r>
        <w:rPr>
          <w:sz w:val="24"/>
        </w:rPr>
        <w:t xml:space="preserve">s. </w:t>
      </w:r>
    </w:p>
    <w:p w14:paraId="706C3BD4" w14:textId="4954736E" w:rsidR="001256F9" w:rsidRPr="004C2C15" w:rsidRDefault="001256F9" w:rsidP="00185A47">
      <w:pPr>
        <w:pBdr>
          <w:bottom w:val="single" w:sz="4" w:space="1" w:color="auto"/>
        </w:pBdr>
        <w:jc w:val="both"/>
        <w:rPr>
          <w:sz w:val="24"/>
        </w:rPr>
      </w:pPr>
      <w:r w:rsidRPr="004C2C15">
        <w:rPr>
          <w:b/>
          <w:sz w:val="24"/>
        </w:rPr>
        <w:t>Calificación.</w:t>
      </w:r>
      <w:r>
        <w:rPr>
          <w:sz w:val="24"/>
        </w:rPr>
        <w:t xml:space="preserve"> </w:t>
      </w:r>
      <w:r w:rsidR="006D518C">
        <w:rPr>
          <w:sz w:val="24"/>
        </w:rPr>
        <w:t>El m</w:t>
      </w:r>
      <w:r>
        <w:rPr>
          <w:sz w:val="24"/>
        </w:rPr>
        <w:t xml:space="preserve">arco jurídico señala </w:t>
      </w:r>
      <w:r w:rsidR="002E4EE2">
        <w:rPr>
          <w:sz w:val="24"/>
        </w:rPr>
        <w:t xml:space="preserve">la </w:t>
      </w:r>
      <w:r>
        <w:rPr>
          <w:sz w:val="24"/>
        </w:rPr>
        <w:t>protección explícita de datos personales.</w:t>
      </w:r>
    </w:p>
    <w:p w14:paraId="034035CC" w14:textId="2312554A" w:rsidR="001256F9" w:rsidRPr="00BA374F" w:rsidRDefault="001256F9" w:rsidP="00FC0ABC">
      <w:pPr>
        <w:pStyle w:val="Ttulo1"/>
      </w:pPr>
      <w:r>
        <w:t xml:space="preserve">Criterio </w:t>
      </w:r>
      <w:r w:rsidR="00904E47">
        <w:t>56</w:t>
      </w:r>
      <w:r w:rsidRPr="00BA374F">
        <w:t xml:space="preserve">. La información protegida por la legislación (derechos de </w:t>
      </w:r>
      <w:r>
        <w:t>autor o propiedad intelectual)</w:t>
      </w:r>
    </w:p>
    <w:p w14:paraId="515C774D" w14:textId="74106A61" w:rsidR="001256F9" w:rsidRDefault="001256F9" w:rsidP="001256F9">
      <w:pPr>
        <w:jc w:val="both"/>
        <w:rPr>
          <w:sz w:val="24"/>
        </w:rPr>
      </w:pPr>
      <w:r>
        <w:rPr>
          <w:b/>
          <w:sz w:val="24"/>
        </w:rPr>
        <w:t xml:space="preserve">Descripción. </w:t>
      </w:r>
      <w:r w:rsidRPr="00BA374F">
        <w:rPr>
          <w:sz w:val="24"/>
        </w:rPr>
        <w:t>Los derechos de autor y/o propiedad intelectual constituye</w:t>
      </w:r>
      <w:r w:rsidR="00BC4401">
        <w:rPr>
          <w:sz w:val="24"/>
        </w:rPr>
        <w:t>n</w:t>
      </w:r>
      <w:r w:rsidRPr="00BA374F">
        <w:rPr>
          <w:sz w:val="24"/>
        </w:rPr>
        <w:t xml:space="preserve"> un bien intangible de carácter privado para </w:t>
      </w:r>
      <w:r>
        <w:rPr>
          <w:sz w:val="24"/>
        </w:rPr>
        <w:t>las personas</w:t>
      </w:r>
      <w:r w:rsidR="00FC570D">
        <w:rPr>
          <w:sz w:val="24"/>
        </w:rPr>
        <w:t xml:space="preserve"> </w:t>
      </w:r>
      <w:r>
        <w:rPr>
          <w:sz w:val="24"/>
        </w:rPr>
        <w:t>dueñ</w:t>
      </w:r>
      <w:r w:rsidRPr="00BA374F">
        <w:rPr>
          <w:sz w:val="24"/>
        </w:rPr>
        <w:t>as del mismo y</w:t>
      </w:r>
      <w:r w:rsidR="00BC4401">
        <w:rPr>
          <w:sz w:val="24"/>
        </w:rPr>
        <w:t>,</w:t>
      </w:r>
      <w:r w:rsidRPr="00BA374F">
        <w:rPr>
          <w:sz w:val="24"/>
        </w:rPr>
        <w:t xml:space="preserve"> por ende</w:t>
      </w:r>
      <w:r w:rsidR="00BC4401">
        <w:rPr>
          <w:sz w:val="24"/>
        </w:rPr>
        <w:t>,</w:t>
      </w:r>
      <w:r w:rsidRPr="00BA374F">
        <w:rPr>
          <w:sz w:val="24"/>
        </w:rPr>
        <w:t xml:space="preserve"> el acceso a esta información debe ser previamente autorizad</w:t>
      </w:r>
      <w:r w:rsidR="00BC4401">
        <w:rPr>
          <w:sz w:val="24"/>
        </w:rPr>
        <w:t>o</w:t>
      </w:r>
      <w:r w:rsidRPr="00BA374F">
        <w:rPr>
          <w:sz w:val="24"/>
        </w:rPr>
        <w:t xml:space="preserve"> por </w:t>
      </w:r>
      <w:r>
        <w:rPr>
          <w:sz w:val="24"/>
        </w:rPr>
        <w:t>el sujeto poseedor</w:t>
      </w:r>
      <w:r w:rsidRPr="00BA374F">
        <w:rPr>
          <w:sz w:val="24"/>
        </w:rPr>
        <w:t xml:space="preserve"> del derecho.</w:t>
      </w:r>
      <w:r w:rsidR="00FC570D">
        <w:rPr>
          <w:sz w:val="24"/>
        </w:rPr>
        <w:t xml:space="preserve"> </w:t>
      </w:r>
      <w:r w:rsidRPr="00BA374F">
        <w:rPr>
          <w:sz w:val="24"/>
        </w:rPr>
        <w:t>Lo anterior constituye un espacio de respeto a la intimidad y vida privada de las personas.</w:t>
      </w:r>
    </w:p>
    <w:p w14:paraId="6359948C" w14:textId="34CE000D" w:rsidR="001256F9" w:rsidRPr="00F3701B" w:rsidRDefault="001256F9" w:rsidP="00904E47">
      <w:pPr>
        <w:pBdr>
          <w:bottom w:val="single" w:sz="4" w:space="1" w:color="auto"/>
        </w:pBdr>
        <w:jc w:val="both"/>
        <w:rPr>
          <w:sz w:val="24"/>
        </w:rPr>
      </w:pPr>
      <w:r w:rsidRPr="004C2C15">
        <w:rPr>
          <w:b/>
          <w:sz w:val="24"/>
        </w:rPr>
        <w:lastRenderedPageBreak/>
        <w:t>Calificación.</w:t>
      </w:r>
      <w:r>
        <w:rPr>
          <w:b/>
          <w:sz w:val="24"/>
        </w:rPr>
        <w:t xml:space="preserve"> </w:t>
      </w:r>
      <w:r w:rsidR="00BC4401">
        <w:rPr>
          <w:sz w:val="24"/>
        </w:rPr>
        <w:t>Existe p</w:t>
      </w:r>
      <w:r w:rsidRPr="00F3701B">
        <w:rPr>
          <w:sz w:val="24"/>
        </w:rPr>
        <w:t>rotección explícita de los derechos de autor y propiedad intelectual como parte de los mecanismos de cumplimiento del re</w:t>
      </w:r>
      <w:r>
        <w:rPr>
          <w:sz w:val="24"/>
        </w:rPr>
        <w:t>speto a la intimidad y vida priv</w:t>
      </w:r>
      <w:r w:rsidRPr="00F3701B">
        <w:rPr>
          <w:sz w:val="24"/>
        </w:rPr>
        <w:t>ada.</w:t>
      </w:r>
    </w:p>
    <w:p w14:paraId="1DE8771C" w14:textId="54C4B7E8" w:rsidR="001256F9" w:rsidRPr="0087775E" w:rsidRDefault="001256F9" w:rsidP="00D34DDD">
      <w:pPr>
        <w:pStyle w:val="Ttulo1"/>
        <w:numPr>
          <w:ilvl w:val="0"/>
          <w:numId w:val="2"/>
        </w:numPr>
        <w:rPr>
          <w:b w:val="0"/>
        </w:rPr>
      </w:pPr>
      <w:bookmarkStart w:id="9" w:name="_Sanciones_establecidas"/>
      <w:bookmarkEnd w:id="9"/>
      <w:r w:rsidRPr="0087775E">
        <w:t>Sanciones establecidas</w:t>
      </w:r>
    </w:p>
    <w:p w14:paraId="7A2E2B95" w14:textId="03347FDF" w:rsidR="001256F9" w:rsidRPr="009F2F18" w:rsidRDefault="001256F9" w:rsidP="001256F9">
      <w:pPr>
        <w:jc w:val="both"/>
        <w:rPr>
          <w:sz w:val="24"/>
        </w:rPr>
      </w:pPr>
      <w:r w:rsidRPr="009F2F18">
        <w:rPr>
          <w:sz w:val="24"/>
        </w:rPr>
        <w:t>La</w:t>
      </w:r>
      <w:r w:rsidR="00A67D09">
        <w:rPr>
          <w:sz w:val="24"/>
        </w:rPr>
        <w:t>s</w:t>
      </w:r>
      <w:r w:rsidRPr="009F2F18">
        <w:rPr>
          <w:sz w:val="24"/>
        </w:rPr>
        <w:t xml:space="preserve"> leyes de transparencia incorporan tres funci</w:t>
      </w:r>
      <w:r w:rsidR="00242983">
        <w:rPr>
          <w:sz w:val="24"/>
        </w:rPr>
        <w:t>o</w:t>
      </w:r>
      <w:r w:rsidRPr="009F2F18">
        <w:rPr>
          <w:sz w:val="24"/>
        </w:rPr>
        <w:t>n</w:t>
      </w:r>
      <w:r w:rsidR="00242983">
        <w:rPr>
          <w:sz w:val="24"/>
        </w:rPr>
        <w:t>es:</w:t>
      </w:r>
      <w:r w:rsidRPr="009F2F18">
        <w:rPr>
          <w:sz w:val="24"/>
        </w:rPr>
        <w:t xml:space="preserve"> la participativa, la promocional y </w:t>
      </w:r>
      <w:r w:rsidR="00242983">
        <w:rPr>
          <w:sz w:val="24"/>
        </w:rPr>
        <w:t xml:space="preserve">la </w:t>
      </w:r>
      <w:r w:rsidRPr="009F2F18">
        <w:rPr>
          <w:sz w:val="24"/>
        </w:rPr>
        <w:t>garantizadora o protectora.</w:t>
      </w:r>
      <w:r w:rsidRPr="009F2F18">
        <w:rPr>
          <w:sz w:val="24"/>
          <w:vertAlign w:val="superscript"/>
        </w:rPr>
        <w:footnoteReference w:id="32"/>
      </w:r>
      <w:r w:rsidRPr="009F2F18">
        <w:rPr>
          <w:sz w:val="24"/>
        </w:rPr>
        <w:t xml:space="preserve"> Esta última tiene la finalidad de garantizar el cumplimiento al ordenamiento normativo que tutela un derecho fundamental, por lo que hace necesario</w:t>
      </w:r>
      <w:r w:rsidR="00FC570D">
        <w:rPr>
          <w:sz w:val="24"/>
        </w:rPr>
        <w:t xml:space="preserve"> </w:t>
      </w:r>
      <w:r w:rsidRPr="009F2F18">
        <w:rPr>
          <w:sz w:val="24"/>
        </w:rPr>
        <w:t>incorporar un sistema de sanciones que refuerce el cumplimiento de los principios que garantizan el ejercicio de este derecho.</w:t>
      </w:r>
    </w:p>
    <w:p w14:paraId="584AFF18" w14:textId="0F2402FF" w:rsidR="001256F9" w:rsidRPr="009F2F18" w:rsidRDefault="001256F9" w:rsidP="001256F9">
      <w:pPr>
        <w:jc w:val="both"/>
        <w:rPr>
          <w:sz w:val="24"/>
        </w:rPr>
      </w:pPr>
      <w:r w:rsidRPr="009F2F18">
        <w:rPr>
          <w:sz w:val="24"/>
        </w:rPr>
        <w:t>Por lo anterior, este indicador mide el grado en que las legislaciones en materia de transparencia y acceso a la información regulan las sanciones atendiendo a las distintas infracciones de la ley, precisamente para garantizar que la certeza en los procedimientos de acceso y entrega de la información incluya</w:t>
      </w:r>
      <w:r w:rsidR="00242983">
        <w:rPr>
          <w:sz w:val="24"/>
        </w:rPr>
        <w:t>n</w:t>
      </w:r>
      <w:r w:rsidRPr="009F2F18">
        <w:rPr>
          <w:sz w:val="24"/>
        </w:rPr>
        <w:t xml:space="preserve"> responsables claros y sanciones proporcionales </w:t>
      </w:r>
      <w:r w:rsidR="00242983">
        <w:rPr>
          <w:sz w:val="24"/>
        </w:rPr>
        <w:t xml:space="preserve">a </w:t>
      </w:r>
      <w:r w:rsidRPr="009F2F18">
        <w:rPr>
          <w:sz w:val="24"/>
        </w:rPr>
        <w:t>la negación, obstaculización u ocultamiento de información que pueda realizarse por servidores públicos.</w:t>
      </w:r>
    </w:p>
    <w:p w14:paraId="5029213F" w14:textId="5CA33487" w:rsidR="001256F9" w:rsidRPr="009F2F18" w:rsidRDefault="001256F9" w:rsidP="00FC0ABC">
      <w:pPr>
        <w:pStyle w:val="Ttulo1"/>
      </w:pPr>
      <w:r>
        <w:t xml:space="preserve">Criterio </w:t>
      </w:r>
      <w:r w:rsidR="008C00DB">
        <w:t>57</w:t>
      </w:r>
      <w:r w:rsidRPr="009F2F18">
        <w:t>. Establece los actos que constituyen infracciones a la ley</w:t>
      </w:r>
    </w:p>
    <w:p w14:paraId="54ED4C72" w14:textId="1D3A3A4D" w:rsidR="001256F9" w:rsidRPr="009F2F18" w:rsidRDefault="001256F9" w:rsidP="001256F9">
      <w:pPr>
        <w:jc w:val="both"/>
        <w:rPr>
          <w:sz w:val="24"/>
        </w:rPr>
      </w:pPr>
      <w:r>
        <w:rPr>
          <w:b/>
          <w:sz w:val="24"/>
        </w:rPr>
        <w:t xml:space="preserve">Descripción. </w:t>
      </w:r>
      <w:r w:rsidR="00D722DE">
        <w:rPr>
          <w:sz w:val="24"/>
        </w:rPr>
        <w:t>D</w:t>
      </w:r>
      <w:r w:rsidRPr="009F2F18">
        <w:rPr>
          <w:sz w:val="24"/>
        </w:rPr>
        <w:t xml:space="preserve">otar de certeza jurídica </w:t>
      </w:r>
      <w:r>
        <w:rPr>
          <w:sz w:val="24"/>
        </w:rPr>
        <w:t xml:space="preserve">en </w:t>
      </w:r>
      <w:r w:rsidRPr="009F2F18">
        <w:rPr>
          <w:sz w:val="24"/>
        </w:rPr>
        <w:t>el ejercicio de un derecho</w:t>
      </w:r>
      <w:r w:rsidR="00D722DE">
        <w:rPr>
          <w:sz w:val="24"/>
        </w:rPr>
        <w:t xml:space="preserve"> </w:t>
      </w:r>
      <w:r w:rsidRPr="009F2F18">
        <w:rPr>
          <w:sz w:val="24"/>
        </w:rPr>
        <w:t xml:space="preserve">requiere establecer </w:t>
      </w:r>
      <w:r w:rsidR="00D722DE">
        <w:rPr>
          <w:sz w:val="24"/>
        </w:rPr>
        <w:t>qué</w:t>
      </w:r>
      <w:r w:rsidR="00D722DE" w:rsidRPr="009F2F18">
        <w:rPr>
          <w:sz w:val="24"/>
        </w:rPr>
        <w:t xml:space="preserve"> </w:t>
      </w:r>
      <w:r w:rsidRPr="009F2F18">
        <w:rPr>
          <w:sz w:val="24"/>
        </w:rPr>
        <w:t xml:space="preserve">actos </w:t>
      </w:r>
      <w:r w:rsidR="00D722DE" w:rsidRPr="009F2F18">
        <w:rPr>
          <w:sz w:val="24"/>
        </w:rPr>
        <w:t>de las autoridades</w:t>
      </w:r>
      <w:r w:rsidR="00D722DE" w:rsidRPr="009F2F18" w:rsidDel="00D722DE">
        <w:rPr>
          <w:sz w:val="24"/>
        </w:rPr>
        <w:t xml:space="preserve"> </w:t>
      </w:r>
      <w:r w:rsidRPr="009F2F18">
        <w:rPr>
          <w:sz w:val="24"/>
        </w:rPr>
        <w:t>constituyen violaciones a la ley</w:t>
      </w:r>
      <w:r w:rsidR="00D722DE">
        <w:rPr>
          <w:sz w:val="24"/>
        </w:rPr>
        <w:t>; esto</w:t>
      </w:r>
      <w:r w:rsidRPr="009F2F18">
        <w:rPr>
          <w:sz w:val="24"/>
        </w:rPr>
        <w:t xml:space="preserve"> permite evitar la discrecionalidad en el actuar de las autoridades</w:t>
      </w:r>
      <w:r>
        <w:rPr>
          <w:sz w:val="24"/>
        </w:rPr>
        <w:t xml:space="preserve">, prevaleciendo </w:t>
      </w:r>
      <w:r w:rsidRPr="009F2F18">
        <w:rPr>
          <w:sz w:val="24"/>
        </w:rPr>
        <w:t>el principio de máxima publicidad.</w:t>
      </w:r>
    </w:p>
    <w:p w14:paraId="2E9A9419" w14:textId="41058603" w:rsidR="001256F9" w:rsidRPr="00F3701B" w:rsidRDefault="001256F9" w:rsidP="008C00DB">
      <w:pPr>
        <w:pBdr>
          <w:bottom w:val="single" w:sz="4" w:space="1" w:color="auto"/>
        </w:pBdr>
        <w:jc w:val="both"/>
        <w:rPr>
          <w:sz w:val="24"/>
        </w:rPr>
      </w:pPr>
      <w:r w:rsidRPr="004C2C15">
        <w:rPr>
          <w:b/>
          <w:sz w:val="24"/>
        </w:rPr>
        <w:t>Calificación.</w:t>
      </w:r>
      <w:r>
        <w:rPr>
          <w:b/>
          <w:sz w:val="24"/>
        </w:rPr>
        <w:t xml:space="preserve"> </w:t>
      </w:r>
      <w:r w:rsidRPr="00590536">
        <w:rPr>
          <w:sz w:val="24"/>
        </w:rPr>
        <w:t>L</w:t>
      </w:r>
      <w:r w:rsidR="00D722DE">
        <w:rPr>
          <w:sz w:val="24"/>
        </w:rPr>
        <w:t>a L</w:t>
      </w:r>
      <w:r w:rsidRPr="00590536">
        <w:rPr>
          <w:sz w:val="24"/>
        </w:rPr>
        <w:t xml:space="preserve">ey </w:t>
      </w:r>
      <w:r w:rsidR="00D722DE">
        <w:rPr>
          <w:sz w:val="24"/>
        </w:rPr>
        <w:t>explicita una</w:t>
      </w:r>
      <w:r>
        <w:rPr>
          <w:sz w:val="24"/>
        </w:rPr>
        <w:t xml:space="preserve"> lista de actos violatorios</w:t>
      </w:r>
      <w:r w:rsidR="00D722DE">
        <w:rPr>
          <w:sz w:val="24"/>
        </w:rPr>
        <w:t xml:space="preserve"> y establece </w:t>
      </w:r>
      <w:r>
        <w:rPr>
          <w:sz w:val="24"/>
        </w:rPr>
        <w:t>sanciones proporcionales a la</w:t>
      </w:r>
      <w:r w:rsidR="00236B94">
        <w:rPr>
          <w:sz w:val="24"/>
        </w:rPr>
        <w:t>s</w:t>
      </w:r>
      <w:r>
        <w:rPr>
          <w:sz w:val="24"/>
        </w:rPr>
        <w:t xml:space="preserve"> </w:t>
      </w:r>
      <w:r w:rsidR="00D722DE">
        <w:rPr>
          <w:sz w:val="24"/>
        </w:rPr>
        <w:t>falta</w:t>
      </w:r>
      <w:r w:rsidR="00236B94">
        <w:rPr>
          <w:sz w:val="24"/>
        </w:rPr>
        <w:t>s</w:t>
      </w:r>
      <w:r w:rsidR="00D722DE">
        <w:rPr>
          <w:sz w:val="24"/>
        </w:rPr>
        <w:t xml:space="preserve">, además de la </w:t>
      </w:r>
      <w:r>
        <w:rPr>
          <w:sz w:val="24"/>
        </w:rPr>
        <w:t>reparación del daño.</w:t>
      </w:r>
    </w:p>
    <w:p w14:paraId="7B303F05" w14:textId="4110691F" w:rsidR="001256F9" w:rsidRPr="00D85474" w:rsidRDefault="001256F9" w:rsidP="00FC0ABC">
      <w:pPr>
        <w:pStyle w:val="Ttulo1"/>
      </w:pPr>
      <w:r>
        <w:t xml:space="preserve">Criterio </w:t>
      </w:r>
      <w:r w:rsidR="00804FC8">
        <w:t>58</w:t>
      </w:r>
      <w:r w:rsidRPr="00D85474">
        <w:t>. Prevé la aplicación de sanciones</w:t>
      </w:r>
    </w:p>
    <w:p w14:paraId="04EEAF03" w14:textId="31E82EEE" w:rsidR="001256F9" w:rsidRPr="00D85474" w:rsidRDefault="001256F9" w:rsidP="001256F9">
      <w:pPr>
        <w:jc w:val="both"/>
        <w:rPr>
          <w:sz w:val="24"/>
        </w:rPr>
      </w:pPr>
      <w:r>
        <w:rPr>
          <w:b/>
          <w:sz w:val="24"/>
        </w:rPr>
        <w:lastRenderedPageBreak/>
        <w:t xml:space="preserve">Descripción. </w:t>
      </w:r>
      <w:r w:rsidRPr="00D85474">
        <w:rPr>
          <w:sz w:val="24"/>
        </w:rPr>
        <w:t xml:space="preserve">La aplicación de sanciones implica que </w:t>
      </w:r>
      <w:r w:rsidR="002B065D">
        <w:rPr>
          <w:sz w:val="24"/>
        </w:rPr>
        <w:t>las</w:t>
      </w:r>
      <w:r w:rsidR="002B065D" w:rsidRPr="00D85474">
        <w:rPr>
          <w:sz w:val="24"/>
        </w:rPr>
        <w:t xml:space="preserve"> </w:t>
      </w:r>
      <w:r w:rsidRPr="00D85474">
        <w:rPr>
          <w:sz w:val="24"/>
        </w:rPr>
        <w:t xml:space="preserve">infracciones </w:t>
      </w:r>
      <w:r w:rsidR="002B065D">
        <w:rPr>
          <w:sz w:val="24"/>
        </w:rPr>
        <w:t>a</w:t>
      </w:r>
      <w:r w:rsidRPr="00D85474">
        <w:rPr>
          <w:sz w:val="24"/>
        </w:rPr>
        <w:t xml:space="preserve"> las leyes de transparencia sean castigadas de conformidad con la ley. En este criterio se </w:t>
      </w:r>
      <w:r w:rsidR="002B065D">
        <w:rPr>
          <w:sz w:val="24"/>
        </w:rPr>
        <w:t>revisa</w:t>
      </w:r>
      <w:r w:rsidR="002B065D" w:rsidRPr="00D85474">
        <w:rPr>
          <w:sz w:val="24"/>
        </w:rPr>
        <w:t xml:space="preserve"> </w:t>
      </w:r>
      <w:r w:rsidRPr="00D85474">
        <w:rPr>
          <w:sz w:val="24"/>
        </w:rPr>
        <w:t>la</w:t>
      </w:r>
      <w:r w:rsidR="002B065D">
        <w:rPr>
          <w:sz w:val="24"/>
        </w:rPr>
        <w:t xml:space="preserve"> existencia de una</w:t>
      </w:r>
      <w:r w:rsidRPr="00D85474">
        <w:rPr>
          <w:sz w:val="24"/>
        </w:rPr>
        <w:t xml:space="preserve"> posibilidad </w:t>
      </w:r>
      <w:r w:rsidR="002B065D">
        <w:rPr>
          <w:sz w:val="24"/>
        </w:rPr>
        <w:t xml:space="preserve">efectiva </w:t>
      </w:r>
      <w:r w:rsidRPr="00D85474">
        <w:rPr>
          <w:sz w:val="24"/>
        </w:rPr>
        <w:t>de sancionar</w:t>
      </w:r>
      <w:r w:rsidR="002B065D">
        <w:rPr>
          <w:sz w:val="24"/>
        </w:rPr>
        <w:t>.</w:t>
      </w:r>
    </w:p>
    <w:p w14:paraId="53BCB3DF" w14:textId="17CC8498" w:rsidR="001256F9" w:rsidRPr="00F3701B" w:rsidRDefault="001256F9" w:rsidP="00CF7E22">
      <w:pPr>
        <w:pBdr>
          <w:bottom w:val="single" w:sz="4" w:space="1" w:color="auto"/>
        </w:pBdr>
        <w:jc w:val="both"/>
        <w:rPr>
          <w:sz w:val="24"/>
        </w:rPr>
      </w:pPr>
      <w:r w:rsidRPr="004C2C15">
        <w:rPr>
          <w:b/>
          <w:sz w:val="24"/>
        </w:rPr>
        <w:t>Calificación.</w:t>
      </w:r>
      <w:r>
        <w:rPr>
          <w:b/>
          <w:sz w:val="24"/>
        </w:rPr>
        <w:t xml:space="preserve"> </w:t>
      </w:r>
      <w:r w:rsidR="002B065D" w:rsidRPr="00590536">
        <w:rPr>
          <w:sz w:val="24"/>
        </w:rPr>
        <w:t>L</w:t>
      </w:r>
      <w:r w:rsidR="002B065D">
        <w:rPr>
          <w:sz w:val="24"/>
        </w:rPr>
        <w:t>a L</w:t>
      </w:r>
      <w:r w:rsidR="002B065D" w:rsidRPr="00590536">
        <w:rPr>
          <w:sz w:val="24"/>
        </w:rPr>
        <w:t xml:space="preserve">ey </w:t>
      </w:r>
      <w:r w:rsidR="002B065D">
        <w:rPr>
          <w:sz w:val="24"/>
        </w:rPr>
        <w:t>explicita una lista de actos violatorios y establece sanciones proporcionales a las faltas, además de la reparación del daño.</w:t>
      </w:r>
    </w:p>
    <w:p w14:paraId="094D4B2E" w14:textId="08DC96B2" w:rsidR="001256F9" w:rsidRPr="00D85474" w:rsidRDefault="001256F9" w:rsidP="00FC0ABC">
      <w:pPr>
        <w:pStyle w:val="Ttulo1"/>
      </w:pPr>
      <w:r>
        <w:t xml:space="preserve">Criterio </w:t>
      </w:r>
      <w:r w:rsidR="00284812">
        <w:t>59</w:t>
      </w:r>
      <w:r w:rsidRPr="00D85474">
        <w:t>. Contempla un procedimiento efectivo, ágil y exp</w:t>
      </w:r>
      <w:r>
        <w:t>edito para la resolución</w:t>
      </w:r>
      <w:r w:rsidR="002B065D">
        <w:t xml:space="preserve"> de</w:t>
      </w:r>
      <w:r>
        <w:t xml:space="preserve"> casos</w:t>
      </w:r>
    </w:p>
    <w:p w14:paraId="7549DD07" w14:textId="7ED65021" w:rsidR="001256F9" w:rsidRPr="00801F24" w:rsidRDefault="001256F9" w:rsidP="001256F9">
      <w:pPr>
        <w:jc w:val="both"/>
        <w:rPr>
          <w:sz w:val="24"/>
        </w:rPr>
      </w:pPr>
      <w:r>
        <w:rPr>
          <w:b/>
          <w:sz w:val="24"/>
        </w:rPr>
        <w:t xml:space="preserve">Descripción. </w:t>
      </w:r>
      <w:r w:rsidRPr="00801F24">
        <w:rPr>
          <w:sz w:val="24"/>
        </w:rPr>
        <w:t>Una de las puertas de entrada a la información pública es el procedimiento de solicitud de información. En ese sentido se esperaría que fuera efectivo, es decir, que resuelva sustantivamente la solicitud del peticionario</w:t>
      </w:r>
      <w:r>
        <w:rPr>
          <w:sz w:val="24"/>
        </w:rPr>
        <w:t xml:space="preserve">, incluso cuando se </w:t>
      </w:r>
      <w:r w:rsidR="002B065D">
        <w:rPr>
          <w:sz w:val="24"/>
        </w:rPr>
        <w:t>determina una negación d</w:t>
      </w:r>
      <w:r>
        <w:rPr>
          <w:sz w:val="24"/>
        </w:rPr>
        <w:t xml:space="preserve">el acceso </w:t>
      </w:r>
      <w:r w:rsidR="002B065D">
        <w:rPr>
          <w:sz w:val="24"/>
        </w:rPr>
        <w:t>debidamente</w:t>
      </w:r>
      <w:r>
        <w:rPr>
          <w:sz w:val="24"/>
        </w:rPr>
        <w:t xml:space="preserve"> fundamentad</w:t>
      </w:r>
      <w:r w:rsidR="002B065D">
        <w:rPr>
          <w:sz w:val="24"/>
        </w:rPr>
        <w:t>a</w:t>
      </w:r>
      <w:r>
        <w:rPr>
          <w:sz w:val="24"/>
        </w:rPr>
        <w:t xml:space="preserve"> y motivad</w:t>
      </w:r>
      <w:r w:rsidR="002B065D">
        <w:rPr>
          <w:sz w:val="24"/>
        </w:rPr>
        <w:t>a</w:t>
      </w:r>
      <w:r>
        <w:rPr>
          <w:sz w:val="24"/>
        </w:rPr>
        <w:t xml:space="preserve"> por la autoridad</w:t>
      </w:r>
      <w:r w:rsidRPr="00801F24">
        <w:rPr>
          <w:sz w:val="24"/>
        </w:rPr>
        <w:t>.</w:t>
      </w:r>
      <w:r>
        <w:rPr>
          <w:rStyle w:val="Refdenotaalpie"/>
          <w:sz w:val="24"/>
        </w:rPr>
        <w:footnoteReference w:id="33"/>
      </w:r>
    </w:p>
    <w:p w14:paraId="2DB15406" w14:textId="1242F8C4" w:rsidR="001256F9" w:rsidRPr="005B1AB6" w:rsidRDefault="001256F9" w:rsidP="001256F9">
      <w:pPr>
        <w:jc w:val="both"/>
        <w:rPr>
          <w:sz w:val="24"/>
        </w:rPr>
      </w:pPr>
      <w:r w:rsidRPr="005B1AB6">
        <w:rPr>
          <w:sz w:val="24"/>
        </w:rPr>
        <w:t xml:space="preserve">Respecto de </w:t>
      </w:r>
      <w:r w:rsidR="002B065D">
        <w:rPr>
          <w:sz w:val="24"/>
        </w:rPr>
        <w:t xml:space="preserve">la </w:t>
      </w:r>
      <w:r w:rsidRPr="005B1AB6">
        <w:rPr>
          <w:sz w:val="24"/>
        </w:rPr>
        <w:t xml:space="preserve">agilidad, los tiempos para el proceso de respuesta </w:t>
      </w:r>
      <w:r w:rsidR="002B065D">
        <w:rPr>
          <w:sz w:val="24"/>
        </w:rPr>
        <w:t>deben</w:t>
      </w:r>
      <w:r w:rsidR="002B065D" w:rsidRPr="005B1AB6">
        <w:rPr>
          <w:sz w:val="24"/>
        </w:rPr>
        <w:t xml:space="preserve"> </w:t>
      </w:r>
      <w:r w:rsidRPr="005B1AB6">
        <w:rPr>
          <w:sz w:val="24"/>
        </w:rPr>
        <w:t>apega</w:t>
      </w:r>
      <w:r w:rsidR="002B065D">
        <w:rPr>
          <w:sz w:val="24"/>
        </w:rPr>
        <w:t xml:space="preserve">rse </w:t>
      </w:r>
      <w:r w:rsidRPr="005B1AB6">
        <w:rPr>
          <w:sz w:val="24"/>
        </w:rPr>
        <w:t>a las buenas prácticas y experiencias probadas con el fin de responder oportunamente la</w:t>
      </w:r>
      <w:r w:rsidR="002B065D">
        <w:rPr>
          <w:sz w:val="24"/>
        </w:rPr>
        <w:t>s</w:t>
      </w:r>
      <w:r w:rsidRPr="005B1AB6">
        <w:rPr>
          <w:sz w:val="24"/>
        </w:rPr>
        <w:t xml:space="preserve"> solicitudes de información</w:t>
      </w:r>
      <w:r w:rsidR="002B065D">
        <w:rPr>
          <w:sz w:val="24"/>
        </w:rPr>
        <w:t>;</w:t>
      </w:r>
      <w:r w:rsidRPr="005B1AB6">
        <w:rPr>
          <w:sz w:val="24"/>
        </w:rPr>
        <w:t xml:space="preserve"> </w:t>
      </w:r>
      <w:r w:rsidR="002B065D">
        <w:rPr>
          <w:sz w:val="24"/>
        </w:rPr>
        <w:t>por tanto</w:t>
      </w:r>
      <w:r w:rsidRPr="005B1AB6">
        <w:rPr>
          <w:sz w:val="24"/>
        </w:rPr>
        <w:t>, se requiere que el procedimiento solicite requisitos indispensables para mantener la comu</w:t>
      </w:r>
      <w:r>
        <w:rPr>
          <w:sz w:val="24"/>
        </w:rPr>
        <w:t>nicació</w:t>
      </w:r>
      <w:r w:rsidRPr="005B1AB6">
        <w:rPr>
          <w:sz w:val="24"/>
        </w:rPr>
        <w:t>n con el peticionario de información</w:t>
      </w:r>
      <w:r>
        <w:rPr>
          <w:sz w:val="24"/>
        </w:rPr>
        <w:t>.</w:t>
      </w:r>
    </w:p>
    <w:p w14:paraId="06F13509" w14:textId="2335912F" w:rsidR="001256F9" w:rsidRPr="005B1AB6" w:rsidRDefault="001256F9" w:rsidP="009B7314">
      <w:pPr>
        <w:pBdr>
          <w:bottom w:val="single" w:sz="4" w:space="1" w:color="auto"/>
        </w:pBdr>
        <w:jc w:val="both"/>
        <w:rPr>
          <w:sz w:val="24"/>
        </w:rPr>
      </w:pPr>
      <w:r w:rsidRPr="009B7314">
        <w:rPr>
          <w:b/>
          <w:sz w:val="24"/>
        </w:rPr>
        <w:t xml:space="preserve">Calificación. </w:t>
      </w:r>
      <w:r w:rsidRPr="009B7314">
        <w:rPr>
          <w:sz w:val="24"/>
        </w:rPr>
        <w:t>L</w:t>
      </w:r>
      <w:r w:rsidR="00E72A3F" w:rsidRPr="009B7314">
        <w:rPr>
          <w:sz w:val="24"/>
        </w:rPr>
        <w:t>a L</w:t>
      </w:r>
      <w:r w:rsidRPr="009B7314">
        <w:rPr>
          <w:sz w:val="24"/>
        </w:rPr>
        <w:t>ey contempla plazos</w:t>
      </w:r>
      <w:r w:rsidR="00E72A3F" w:rsidRPr="009B7314">
        <w:rPr>
          <w:sz w:val="24"/>
        </w:rPr>
        <w:t xml:space="preserve"> y</w:t>
      </w:r>
      <w:r w:rsidRPr="009B7314">
        <w:rPr>
          <w:sz w:val="24"/>
        </w:rPr>
        <w:t xml:space="preserve"> requisitos mínimos para mantener la comunicación con el peticionario</w:t>
      </w:r>
      <w:r w:rsidR="00E72A3F" w:rsidRPr="009B7314">
        <w:rPr>
          <w:sz w:val="24"/>
        </w:rPr>
        <w:t xml:space="preserve"> durante el procedimiento de solicitud de información pública</w:t>
      </w:r>
      <w:r w:rsidRPr="009B7314">
        <w:rPr>
          <w:sz w:val="24"/>
        </w:rPr>
        <w:t xml:space="preserve"> y</w:t>
      </w:r>
      <w:r w:rsidR="00E72A3F" w:rsidRPr="009B7314">
        <w:rPr>
          <w:sz w:val="24"/>
        </w:rPr>
        <w:t xml:space="preserve"> para</w:t>
      </w:r>
      <w:r w:rsidRPr="009B7314">
        <w:rPr>
          <w:sz w:val="24"/>
        </w:rPr>
        <w:t xml:space="preserve"> entrega</w:t>
      </w:r>
      <w:r w:rsidR="00E72A3F" w:rsidRPr="009B7314">
        <w:rPr>
          <w:sz w:val="24"/>
        </w:rPr>
        <w:t>r</w:t>
      </w:r>
      <w:r w:rsidRPr="009B7314">
        <w:rPr>
          <w:sz w:val="24"/>
        </w:rPr>
        <w:t xml:space="preserve"> la información o repuesta fundada y motivada.</w:t>
      </w:r>
    </w:p>
    <w:p w14:paraId="6E8C5F5A" w14:textId="654CDEFB" w:rsidR="001256F9" w:rsidRPr="005C4865" w:rsidRDefault="001256F9" w:rsidP="00FC0ABC">
      <w:pPr>
        <w:pStyle w:val="Ttulo1"/>
      </w:pPr>
      <w:r>
        <w:t xml:space="preserve">Criterio </w:t>
      </w:r>
      <w:r w:rsidR="006121B4">
        <w:t>60</w:t>
      </w:r>
      <w:r w:rsidRPr="005C4865">
        <w:t>.</w:t>
      </w:r>
      <w:r w:rsidR="00FC570D">
        <w:t xml:space="preserve"> </w:t>
      </w:r>
      <w:r w:rsidRPr="005C4865">
        <w:t>Sanciones por incumplir con las obligaciones de transparencia</w:t>
      </w:r>
    </w:p>
    <w:p w14:paraId="1A32EBAB" w14:textId="08360732" w:rsidR="001256F9" w:rsidRPr="005C4865" w:rsidRDefault="001256F9" w:rsidP="001256F9">
      <w:pPr>
        <w:jc w:val="both"/>
        <w:rPr>
          <w:sz w:val="24"/>
        </w:rPr>
      </w:pPr>
      <w:r w:rsidRPr="00256130">
        <w:rPr>
          <w:b/>
          <w:sz w:val="24"/>
        </w:rPr>
        <w:t>Descripción.</w:t>
      </w:r>
      <w:r w:rsidRPr="00256130">
        <w:rPr>
          <w:sz w:val="24"/>
        </w:rPr>
        <w:t xml:space="preserve"> Es importante comprender de la manera más amplia el régimen de sanciones para que efectivamente abone a la protección de los peticionarios y al cumplimiento de las atribuciones de los sujetos obligados.</w:t>
      </w:r>
      <w:r w:rsidRPr="005C4865">
        <w:rPr>
          <w:sz w:val="24"/>
        </w:rPr>
        <w:t xml:space="preserve"> </w:t>
      </w:r>
    </w:p>
    <w:p w14:paraId="2E87CF39" w14:textId="1BBEAFAE" w:rsidR="001256F9" w:rsidRPr="00F3701B" w:rsidRDefault="001256F9" w:rsidP="00745598">
      <w:pPr>
        <w:pBdr>
          <w:bottom w:val="single" w:sz="4" w:space="1" w:color="auto"/>
        </w:pBdr>
        <w:jc w:val="both"/>
        <w:rPr>
          <w:sz w:val="24"/>
        </w:rPr>
      </w:pPr>
      <w:r w:rsidRPr="004C2C15">
        <w:rPr>
          <w:b/>
          <w:sz w:val="24"/>
        </w:rPr>
        <w:lastRenderedPageBreak/>
        <w:t>Calificación.</w:t>
      </w:r>
      <w:r>
        <w:rPr>
          <w:b/>
          <w:sz w:val="24"/>
        </w:rPr>
        <w:t xml:space="preserve"> </w:t>
      </w:r>
      <w:r w:rsidRPr="00590536">
        <w:rPr>
          <w:sz w:val="24"/>
        </w:rPr>
        <w:t>L</w:t>
      </w:r>
      <w:r w:rsidR="00063A28">
        <w:rPr>
          <w:sz w:val="24"/>
        </w:rPr>
        <w:t>a L</w:t>
      </w:r>
      <w:r w:rsidRPr="00590536">
        <w:rPr>
          <w:sz w:val="24"/>
        </w:rPr>
        <w:t xml:space="preserve">ey contempla </w:t>
      </w:r>
      <w:r>
        <w:rPr>
          <w:sz w:val="24"/>
        </w:rPr>
        <w:t>sanciones claras y proporcionales</w:t>
      </w:r>
      <w:r w:rsidR="00063A28">
        <w:rPr>
          <w:sz w:val="24"/>
        </w:rPr>
        <w:t xml:space="preserve"> a</w:t>
      </w:r>
      <w:r>
        <w:rPr>
          <w:sz w:val="24"/>
        </w:rPr>
        <w:t xml:space="preserve"> las obligaciones de transparencia</w:t>
      </w:r>
      <w:r w:rsidRPr="00590536">
        <w:rPr>
          <w:sz w:val="24"/>
        </w:rPr>
        <w:t>.</w:t>
      </w:r>
    </w:p>
    <w:p w14:paraId="2B2577DA" w14:textId="3F2242B0" w:rsidR="001256F9" w:rsidRPr="00917F81" w:rsidRDefault="005065E6" w:rsidP="00FC0ABC">
      <w:pPr>
        <w:pStyle w:val="Ttulo1"/>
      </w:pPr>
      <w:r>
        <w:t xml:space="preserve">Criterio </w:t>
      </w:r>
      <w:r w:rsidR="00865A80" w:rsidRPr="007257D9">
        <w:t>61</w:t>
      </w:r>
      <w:r w:rsidR="001256F9" w:rsidRPr="007257D9">
        <w:t xml:space="preserve">. </w:t>
      </w:r>
      <w:r w:rsidR="001256F9" w:rsidRPr="007257D9">
        <w:rPr>
          <w:rStyle w:val="nfasisintenso"/>
          <w:b/>
          <w:bCs w:val="0"/>
          <w:smallCaps/>
          <w:color w:val="0F243E" w:themeColor="text2" w:themeShade="7F"/>
          <w:spacing w:val="20"/>
        </w:rPr>
        <w:t>Procedimiento de queja por incumplimiento a la publicación de obligaciones de transparencia ante el órgano garante</w:t>
      </w:r>
      <w:r w:rsidR="001256F9" w:rsidRPr="007257D9">
        <w:t>.</w:t>
      </w:r>
    </w:p>
    <w:p w14:paraId="280D36F5" w14:textId="377A991D" w:rsidR="007D21ED" w:rsidRDefault="00E2349D" w:rsidP="007257D9">
      <w:pPr>
        <w:jc w:val="both"/>
        <w:rPr>
          <w:sz w:val="24"/>
        </w:rPr>
      </w:pPr>
      <w:r w:rsidRPr="00C534FD">
        <w:rPr>
          <w:b/>
          <w:sz w:val="24"/>
        </w:rPr>
        <w:t>Descripción</w:t>
      </w:r>
      <w:r>
        <w:rPr>
          <w:b/>
          <w:sz w:val="24"/>
        </w:rPr>
        <w:t xml:space="preserve">. </w:t>
      </w:r>
      <w:r w:rsidR="00DD3CDD">
        <w:rPr>
          <w:sz w:val="24"/>
        </w:rPr>
        <w:t>Es necesario incorporar un procedimiento de queja que la ciudadanía pueda activar cuando detecte incumplimiento a las obligaciones de transparencia de un determinado sujeto obligado. Ello no sólo mejora la eficiencia en el sistema de sanciones al ampliar la vigilancia sobre las obligaciones de transparencia, sino que además permite ir construyendo un papel más relevante de la ciudadanía en la vigilancia del régimen de transparencia.</w:t>
      </w:r>
    </w:p>
    <w:p w14:paraId="1A5A7878" w14:textId="09AC0E10" w:rsidR="00DD3CDD" w:rsidRPr="00DD3CDD" w:rsidRDefault="00DD3CDD" w:rsidP="007257D9">
      <w:pPr>
        <w:pBdr>
          <w:bottom w:val="single" w:sz="4" w:space="1" w:color="auto"/>
        </w:pBdr>
        <w:jc w:val="both"/>
      </w:pPr>
      <w:r w:rsidRPr="004C2C15">
        <w:rPr>
          <w:b/>
          <w:sz w:val="24"/>
        </w:rPr>
        <w:t>Calificación.</w:t>
      </w:r>
      <w:r>
        <w:rPr>
          <w:b/>
          <w:sz w:val="24"/>
        </w:rPr>
        <w:t xml:space="preserve"> </w:t>
      </w:r>
      <w:r>
        <w:rPr>
          <w:sz w:val="24"/>
        </w:rPr>
        <w:t>Establece algún tipo de mecanismo para activar una queja por la ciudadanía ante incumplimiento a las obligaciones de transparencia por parte de cualquier sujeto obligado.</w:t>
      </w:r>
    </w:p>
    <w:p w14:paraId="5773BE3C" w14:textId="76132F6C" w:rsidR="001256F9" w:rsidRPr="005C4865" w:rsidRDefault="001256F9" w:rsidP="00FC0ABC">
      <w:pPr>
        <w:pStyle w:val="Ttulo1"/>
      </w:pPr>
      <w:r>
        <w:t xml:space="preserve">Criterio </w:t>
      </w:r>
      <w:r w:rsidR="00205903">
        <w:t>62</w:t>
      </w:r>
      <w:r w:rsidRPr="005C4865">
        <w:t>. Sanciones espec</w:t>
      </w:r>
      <w:r>
        <w:t>íficas a las y los servidores públicos</w:t>
      </w:r>
      <w:r w:rsidRPr="005C4865">
        <w:t xml:space="preserve"> que intimiden a los y l</w:t>
      </w:r>
      <w:r>
        <w:t>as solicitantes de información</w:t>
      </w:r>
    </w:p>
    <w:p w14:paraId="0E55EE0C" w14:textId="50C0C1C0" w:rsidR="001256F9" w:rsidRPr="005C4865" w:rsidRDefault="001256F9" w:rsidP="001256F9">
      <w:pPr>
        <w:jc w:val="both"/>
        <w:rPr>
          <w:sz w:val="24"/>
        </w:rPr>
      </w:pPr>
      <w:r w:rsidRPr="00C534FD">
        <w:rPr>
          <w:b/>
          <w:sz w:val="24"/>
        </w:rPr>
        <w:t>Descripción</w:t>
      </w:r>
      <w:r>
        <w:rPr>
          <w:sz w:val="24"/>
        </w:rPr>
        <w:t xml:space="preserve">. </w:t>
      </w:r>
      <w:r w:rsidRPr="005C4865">
        <w:rPr>
          <w:sz w:val="24"/>
        </w:rPr>
        <w:t>Las personas deben gozar de la mayor cantidad de elementos que le</w:t>
      </w:r>
      <w:r w:rsidR="00A91840">
        <w:rPr>
          <w:sz w:val="24"/>
        </w:rPr>
        <w:t>s</w:t>
      </w:r>
      <w:r w:rsidRPr="005C4865">
        <w:rPr>
          <w:sz w:val="24"/>
        </w:rPr>
        <w:t xml:space="preserve"> permitan satisfacer al máximo su derecho a la información; en este sentido, el Estado adquiere obligaciones positivas de implementar una política pública de transparencia. </w:t>
      </w:r>
      <w:r>
        <w:rPr>
          <w:sz w:val="24"/>
        </w:rPr>
        <w:t xml:space="preserve">De ahí que </w:t>
      </w:r>
      <w:r w:rsidR="00A91840">
        <w:rPr>
          <w:sz w:val="24"/>
        </w:rPr>
        <w:t xml:space="preserve">sean necesarias </w:t>
      </w:r>
      <w:r w:rsidRPr="005C4865">
        <w:rPr>
          <w:sz w:val="24"/>
        </w:rPr>
        <w:t>sanci</w:t>
      </w:r>
      <w:r w:rsidR="00A91840">
        <w:rPr>
          <w:sz w:val="24"/>
        </w:rPr>
        <w:t>ones</w:t>
      </w:r>
      <w:r w:rsidRPr="005C4865">
        <w:rPr>
          <w:sz w:val="24"/>
        </w:rPr>
        <w:t xml:space="preserve"> específica</w:t>
      </w:r>
      <w:r w:rsidR="00A91840">
        <w:rPr>
          <w:sz w:val="24"/>
        </w:rPr>
        <w:t>s</w:t>
      </w:r>
      <w:r w:rsidRPr="005C4865">
        <w:rPr>
          <w:sz w:val="24"/>
        </w:rPr>
        <w:t xml:space="preserve"> </w:t>
      </w:r>
      <w:r>
        <w:rPr>
          <w:sz w:val="24"/>
        </w:rPr>
        <w:t xml:space="preserve">para los </w:t>
      </w:r>
      <w:r w:rsidRPr="005C4865">
        <w:rPr>
          <w:sz w:val="24"/>
        </w:rPr>
        <w:t>servidor</w:t>
      </w:r>
      <w:r>
        <w:rPr>
          <w:sz w:val="24"/>
        </w:rPr>
        <w:t>es públicos</w:t>
      </w:r>
      <w:r w:rsidRPr="005C4865">
        <w:rPr>
          <w:sz w:val="24"/>
        </w:rPr>
        <w:t xml:space="preserve"> que, en el ejercicio de sus funciones, intimide</w:t>
      </w:r>
      <w:r w:rsidR="00A91840">
        <w:rPr>
          <w:sz w:val="24"/>
        </w:rPr>
        <w:t>n</w:t>
      </w:r>
      <w:r w:rsidRPr="005C4865">
        <w:rPr>
          <w:sz w:val="24"/>
        </w:rPr>
        <w:t xml:space="preserve"> a los </w:t>
      </w:r>
      <w:r>
        <w:rPr>
          <w:sz w:val="24"/>
        </w:rPr>
        <w:t>peticionarios.</w:t>
      </w:r>
    </w:p>
    <w:p w14:paraId="119A0B91" w14:textId="5EE6D98A" w:rsidR="001256F9" w:rsidRPr="00F3701B" w:rsidRDefault="001256F9" w:rsidP="00205903">
      <w:pPr>
        <w:pBdr>
          <w:bottom w:val="single" w:sz="4" w:space="1" w:color="auto"/>
        </w:pBdr>
        <w:jc w:val="both"/>
        <w:rPr>
          <w:sz w:val="24"/>
        </w:rPr>
      </w:pPr>
      <w:r w:rsidRPr="004C2C15">
        <w:rPr>
          <w:b/>
          <w:sz w:val="24"/>
        </w:rPr>
        <w:t>Calificación.</w:t>
      </w:r>
      <w:r>
        <w:rPr>
          <w:b/>
          <w:sz w:val="24"/>
        </w:rPr>
        <w:t xml:space="preserve"> </w:t>
      </w:r>
      <w:r>
        <w:rPr>
          <w:sz w:val="24"/>
        </w:rPr>
        <w:t>L</w:t>
      </w:r>
      <w:r w:rsidR="00A91840">
        <w:rPr>
          <w:sz w:val="24"/>
        </w:rPr>
        <w:t>a L</w:t>
      </w:r>
      <w:r>
        <w:rPr>
          <w:sz w:val="24"/>
        </w:rPr>
        <w:t xml:space="preserve">ey </w:t>
      </w:r>
      <w:r w:rsidR="00A91840">
        <w:rPr>
          <w:sz w:val="24"/>
        </w:rPr>
        <w:t>define</w:t>
      </w:r>
      <w:r>
        <w:rPr>
          <w:sz w:val="24"/>
        </w:rPr>
        <w:t xml:space="preserve"> la intimidación de las personas solicitantes de información como un delito y </w:t>
      </w:r>
      <w:r w:rsidR="00A91840">
        <w:rPr>
          <w:sz w:val="24"/>
        </w:rPr>
        <w:t xml:space="preserve">estipula </w:t>
      </w:r>
      <w:r>
        <w:rPr>
          <w:sz w:val="24"/>
        </w:rPr>
        <w:t>las sanciones correspondientes</w:t>
      </w:r>
      <w:r w:rsidRPr="00590536">
        <w:rPr>
          <w:sz w:val="24"/>
        </w:rPr>
        <w:t>.</w:t>
      </w:r>
    </w:p>
    <w:p w14:paraId="5DBA7EE8" w14:textId="3014B8A3" w:rsidR="001256F9" w:rsidRPr="00310FDF" w:rsidRDefault="00A251C0" w:rsidP="00FC0ABC">
      <w:pPr>
        <w:pStyle w:val="Ttulo1"/>
      </w:pPr>
      <w:r>
        <w:t>Criterio 63</w:t>
      </w:r>
      <w:r w:rsidR="001256F9" w:rsidRPr="00310FDF">
        <w:t>. Protección a las y los servidores públicos/as de toda sanción por divulgar información restringida en los términos de la Ley de Acceso a la Información cuando actúen de buena fe</w:t>
      </w:r>
    </w:p>
    <w:p w14:paraId="56A38430" w14:textId="11B3D353" w:rsidR="001256F9" w:rsidRDefault="001256F9" w:rsidP="001256F9">
      <w:pPr>
        <w:jc w:val="both"/>
        <w:rPr>
          <w:sz w:val="24"/>
        </w:rPr>
      </w:pPr>
      <w:r w:rsidRPr="00EA189A">
        <w:rPr>
          <w:b/>
          <w:sz w:val="24"/>
        </w:rPr>
        <w:t>Descripción.</w:t>
      </w:r>
      <w:r>
        <w:rPr>
          <w:sz w:val="24"/>
        </w:rPr>
        <w:t xml:space="preserve"> </w:t>
      </w:r>
      <w:r w:rsidR="002219E2">
        <w:rPr>
          <w:sz w:val="24"/>
        </w:rPr>
        <w:t>Según l</w:t>
      </w:r>
      <w:r w:rsidR="002219E2" w:rsidRPr="00EA189A">
        <w:rPr>
          <w:sz w:val="24"/>
        </w:rPr>
        <w:t>os Principios de Johannesburgo</w:t>
      </w:r>
      <w:r w:rsidR="002219E2">
        <w:rPr>
          <w:sz w:val="24"/>
        </w:rPr>
        <w:t>, la r</w:t>
      </w:r>
      <w:r w:rsidRPr="00EA189A">
        <w:rPr>
          <w:sz w:val="24"/>
        </w:rPr>
        <w:t xml:space="preserve">egla general sobre la </w:t>
      </w:r>
      <w:r>
        <w:rPr>
          <w:sz w:val="24"/>
        </w:rPr>
        <w:t xml:space="preserve">negativa de </w:t>
      </w:r>
      <w:r w:rsidRPr="00EA189A">
        <w:rPr>
          <w:sz w:val="24"/>
        </w:rPr>
        <w:t>divulga</w:t>
      </w:r>
      <w:r>
        <w:rPr>
          <w:sz w:val="24"/>
        </w:rPr>
        <w:t>r</w:t>
      </w:r>
      <w:r w:rsidRPr="00EA189A">
        <w:rPr>
          <w:sz w:val="24"/>
        </w:rPr>
        <w:t xml:space="preserve"> información</w:t>
      </w:r>
      <w:r>
        <w:rPr>
          <w:sz w:val="24"/>
        </w:rPr>
        <w:t xml:space="preserve"> </w:t>
      </w:r>
      <w:r w:rsidRPr="00EA189A">
        <w:rPr>
          <w:sz w:val="24"/>
        </w:rPr>
        <w:t>secreta</w:t>
      </w:r>
      <w:r>
        <w:rPr>
          <w:sz w:val="24"/>
        </w:rPr>
        <w:t xml:space="preserve"> puede </w:t>
      </w:r>
      <w:r>
        <w:rPr>
          <w:sz w:val="24"/>
        </w:rPr>
        <w:lastRenderedPageBreak/>
        <w:t>contener dos criterios de excepción</w:t>
      </w:r>
      <w:r w:rsidR="002219E2">
        <w:rPr>
          <w:sz w:val="24"/>
        </w:rPr>
        <w:t>; a saber:</w:t>
      </w:r>
      <w:r>
        <w:rPr>
          <w:sz w:val="24"/>
        </w:rPr>
        <w:t xml:space="preserve"> que su </w:t>
      </w:r>
      <w:r w:rsidRPr="00EA189A">
        <w:rPr>
          <w:sz w:val="24"/>
        </w:rPr>
        <w:t>divu</w:t>
      </w:r>
      <w:r>
        <w:rPr>
          <w:sz w:val="24"/>
        </w:rPr>
        <w:t>lgación no perjudica</w:t>
      </w:r>
      <w:r w:rsidRPr="00EA189A">
        <w:rPr>
          <w:sz w:val="24"/>
        </w:rPr>
        <w:t xml:space="preserve"> y</w:t>
      </w:r>
      <w:r>
        <w:rPr>
          <w:sz w:val="24"/>
        </w:rPr>
        <w:t xml:space="preserve"> </w:t>
      </w:r>
      <w:r w:rsidRPr="00EA189A">
        <w:rPr>
          <w:sz w:val="24"/>
        </w:rPr>
        <w:t xml:space="preserve">no es probable que perjudique </w:t>
      </w:r>
      <w:r>
        <w:rPr>
          <w:sz w:val="24"/>
        </w:rPr>
        <w:t>la</w:t>
      </w:r>
      <w:r w:rsidRPr="00EA189A">
        <w:rPr>
          <w:sz w:val="24"/>
        </w:rPr>
        <w:t xml:space="preserve"> seguridad nacional,</w:t>
      </w:r>
      <w:r>
        <w:rPr>
          <w:sz w:val="24"/>
        </w:rPr>
        <w:t xml:space="preserve"> </w:t>
      </w:r>
      <w:r w:rsidR="002219E2">
        <w:rPr>
          <w:sz w:val="24"/>
        </w:rPr>
        <w:t xml:space="preserve">o que </w:t>
      </w:r>
      <w:r w:rsidRPr="00EA189A">
        <w:rPr>
          <w:sz w:val="24"/>
        </w:rPr>
        <w:t xml:space="preserve">el interés público </w:t>
      </w:r>
      <w:r w:rsidR="002219E2">
        <w:rPr>
          <w:sz w:val="24"/>
        </w:rPr>
        <w:t>de</w:t>
      </w:r>
      <w:r w:rsidR="002219E2" w:rsidRPr="00EA189A">
        <w:rPr>
          <w:sz w:val="24"/>
        </w:rPr>
        <w:t xml:space="preserve"> </w:t>
      </w:r>
      <w:r w:rsidRPr="00EA189A">
        <w:rPr>
          <w:sz w:val="24"/>
        </w:rPr>
        <w:t>saber la información es mayor que el daño</w:t>
      </w:r>
      <w:r>
        <w:rPr>
          <w:sz w:val="24"/>
        </w:rPr>
        <w:t xml:space="preserve"> </w:t>
      </w:r>
      <w:r w:rsidRPr="00EA189A">
        <w:rPr>
          <w:sz w:val="24"/>
        </w:rPr>
        <w:t xml:space="preserve">causado por </w:t>
      </w:r>
      <w:r w:rsidR="004215E1">
        <w:rPr>
          <w:sz w:val="24"/>
        </w:rPr>
        <w:t>su</w:t>
      </w:r>
      <w:r w:rsidR="004215E1" w:rsidRPr="00EA189A">
        <w:rPr>
          <w:sz w:val="24"/>
        </w:rPr>
        <w:t xml:space="preserve"> </w:t>
      </w:r>
      <w:r w:rsidRPr="00EA189A">
        <w:rPr>
          <w:sz w:val="24"/>
        </w:rPr>
        <w:t>divulgación.</w:t>
      </w:r>
    </w:p>
    <w:p w14:paraId="5A131395" w14:textId="41420087" w:rsidR="001256F9" w:rsidRDefault="001256F9" w:rsidP="001256F9">
      <w:pPr>
        <w:jc w:val="both"/>
        <w:rPr>
          <w:sz w:val="24"/>
        </w:rPr>
      </w:pPr>
      <w:r>
        <w:rPr>
          <w:sz w:val="24"/>
        </w:rPr>
        <w:t>Por lo anterior, se establece que n</w:t>
      </w:r>
      <w:r w:rsidRPr="00EA189A">
        <w:rPr>
          <w:sz w:val="24"/>
        </w:rPr>
        <w:t>adie podrá ser castigado por motivos de seguridad nacional</w:t>
      </w:r>
      <w:r>
        <w:rPr>
          <w:sz w:val="24"/>
        </w:rPr>
        <w:t xml:space="preserve"> </w:t>
      </w:r>
      <w:r w:rsidRPr="00EA189A">
        <w:rPr>
          <w:sz w:val="24"/>
        </w:rPr>
        <w:t>si el interés público en</w:t>
      </w:r>
      <w:r>
        <w:rPr>
          <w:sz w:val="24"/>
        </w:rPr>
        <w:t xml:space="preserve"> </w:t>
      </w:r>
      <w:r w:rsidRPr="00EA189A">
        <w:rPr>
          <w:sz w:val="24"/>
        </w:rPr>
        <w:t xml:space="preserve">saber la información es mayor que el daño causado por </w:t>
      </w:r>
      <w:r w:rsidR="004215E1">
        <w:rPr>
          <w:sz w:val="24"/>
        </w:rPr>
        <w:t>su</w:t>
      </w:r>
      <w:r w:rsidRPr="00EA189A">
        <w:rPr>
          <w:sz w:val="24"/>
        </w:rPr>
        <w:t xml:space="preserve"> divulgación.</w:t>
      </w:r>
      <w:r>
        <w:rPr>
          <w:rStyle w:val="Refdenotaalpie"/>
          <w:sz w:val="24"/>
        </w:rPr>
        <w:footnoteReference w:id="34"/>
      </w:r>
    </w:p>
    <w:p w14:paraId="6127B2CE" w14:textId="0BFA5D60" w:rsidR="004215E1" w:rsidRPr="00EA189A" w:rsidRDefault="002514E1" w:rsidP="001256F9">
      <w:pPr>
        <w:jc w:val="both"/>
        <w:rPr>
          <w:sz w:val="24"/>
        </w:rPr>
      </w:pPr>
      <w:r>
        <w:rPr>
          <w:sz w:val="24"/>
        </w:rPr>
        <w:t>Por tanto</w:t>
      </w:r>
      <w:r w:rsidR="004215E1">
        <w:rPr>
          <w:sz w:val="24"/>
        </w:rPr>
        <w:t>, si la publicación parte de la buena fe comprobada del funcionario, tal divulgación no puede ser objeto de sanción, dada la ausencia de dolo.</w:t>
      </w:r>
    </w:p>
    <w:p w14:paraId="28E3156B" w14:textId="1C1B19E8" w:rsidR="001256F9" w:rsidRPr="00310FDF" w:rsidRDefault="001256F9" w:rsidP="00A251C0">
      <w:pPr>
        <w:pBdr>
          <w:bottom w:val="single" w:sz="4" w:space="1" w:color="auto"/>
        </w:pBdr>
        <w:jc w:val="both"/>
        <w:rPr>
          <w:sz w:val="24"/>
        </w:rPr>
      </w:pPr>
      <w:r w:rsidRPr="00310FDF">
        <w:rPr>
          <w:b/>
          <w:sz w:val="24"/>
        </w:rPr>
        <w:t>Calificación</w:t>
      </w:r>
      <w:r w:rsidRPr="00310FDF">
        <w:rPr>
          <w:sz w:val="24"/>
        </w:rPr>
        <w:t xml:space="preserve">. </w:t>
      </w:r>
      <w:r w:rsidRPr="00590536">
        <w:rPr>
          <w:sz w:val="24"/>
        </w:rPr>
        <w:t>L</w:t>
      </w:r>
      <w:r w:rsidR="004215E1">
        <w:rPr>
          <w:sz w:val="24"/>
        </w:rPr>
        <w:t>a L</w:t>
      </w:r>
      <w:r w:rsidRPr="00590536">
        <w:rPr>
          <w:sz w:val="24"/>
        </w:rPr>
        <w:t xml:space="preserve">ey </w:t>
      </w:r>
      <w:r w:rsidRPr="00310FDF">
        <w:rPr>
          <w:sz w:val="24"/>
        </w:rPr>
        <w:t xml:space="preserve">contempla </w:t>
      </w:r>
      <w:r>
        <w:rPr>
          <w:sz w:val="24"/>
        </w:rPr>
        <w:t>excepciones en los supuestos de divulgación de información restringida, particularmente cuando se relaciona con información sobre seguridad nacional</w:t>
      </w:r>
      <w:r w:rsidR="003F1B9E">
        <w:rPr>
          <w:sz w:val="24"/>
        </w:rPr>
        <w:t>, así como protección específica para los funcionarios</w:t>
      </w:r>
      <w:r>
        <w:rPr>
          <w:sz w:val="24"/>
        </w:rPr>
        <w:t>.</w:t>
      </w:r>
    </w:p>
    <w:p w14:paraId="2AB97EFE" w14:textId="1EE627A4" w:rsidR="001256F9" w:rsidRPr="0087775E" w:rsidRDefault="001256F9" w:rsidP="00D34DDD">
      <w:pPr>
        <w:pStyle w:val="Ttulo1"/>
        <w:numPr>
          <w:ilvl w:val="0"/>
          <w:numId w:val="2"/>
        </w:numPr>
        <w:rPr>
          <w:b w:val="0"/>
        </w:rPr>
      </w:pPr>
      <w:bookmarkStart w:id="10" w:name="_Integración_y_atribuciones"/>
      <w:bookmarkEnd w:id="10"/>
      <w:r w:rsidRPr="0087775E">
        <w:t>Integración y atribuciones de las Oficinas de Información Pública</w:t>
      </w:r>
      <w:r>
        <w:t xml:space="preserve"> (OI)</w:t>
      </w:r>
      <w:r w:rsidRPr="0087775E">
        <w:t xml:space="preserve"> o Unidad</w:t>
      </w:r>
      <w:r w:rsidR="00774830">
        <w:t>es</w:t>
      </w:r>
      <w:r w:rsidRPr="0087775E">
        <w:t xml:space="preserve"> Administrativa</w:t>
      </w:r>
      <w:r w:rsidR="00774830">
        <w:t>s</w:t>
      </w:r>
      <w:r w:rsidRPr="0087775E">
        <w:t xml:space="preserve"> equivalente</w:t>
      </w:r>
      <w:r w:rsidR="00774830">
        <w:t>s</w:t>
      </w:r>
    </w:p>
    <w:p w14:paraId="294996F0" w14:textId="77777777" w:rsidR="001256F9" w:rsidRPr="0087775E" w:rsidRDefault="001256F9" w:rsidP="001256F9">
      <w:pPr>
        <w:jc w:val="both"/>
        <w:rPr>
          <w:sz w:val="24"/>
        </w:rPr>
      </w:pPr>
      <w:r w:rsidRPr="0087775E">
        <w:rPr>
          <w:sz w:val="24"/>
        </w:rPr>
        <w:t xml:space="preserve">Las oficinas de información o unidades de enlace son las encargadas de recibir y tramitar las solicitudes de acceso a la información. </w:t>
      </w:r>
      <w:r>
        <w:rPr>
          <w:sz w:val="24"/>
        </w:rPr>
        <w:t>R</w:t>
      </w:r>
      <w:r w:rsidRPr="0087775E">
        <w:rPr>
          <w:sz w:val="24"/>
        </w:rPr>
        <w:t xml:space="preserve">esultan especialmente importantes pues funcionan como un vínculo directo entre la sociedad y los órganos del Estado. </w:t>
      </w:r>
      <w:r>
        <w:rPr>
          <w:sz w:val="24"/>
        </w:rPr>
        <w:t>Los</w:t>
      </w:r>
      <w:r w:rsidRPr="0087775E">
        <w:rPr>
          <w:sz w:val="24"/>
        </w:rPr>
        <w:t xml:space="preserve"> servidores públicos asignados a estas oficinas tienen el mandato legal de facilitar a </w:t>
      </w:r>
      <w:r>
        <w:rPr>
          <w:sz w:val="24"/>
        </w:rPr>
        <w:t>las personas</w:t>
      </w:r>
      <w:r w:rsidRPr="0087775E">
        <w:rPr>
          <w:sz w:val="24"/>
        </w:rPr>
        <w:t xml:space="preserve"> solicitantes el acceso a la información requerida</w:t>
      </w:r>
      <w:r>
        <w:rPr>
          <w:sz w:val="24"/>
        </w:rPr>
        <w:t>, además de orientar internamente los tiempos y modos de entrega de la información pública.</w:t>
      </w:r>
    </w:p>
    <w:p w14:paraId="073045AA" w14:textId="0E36B1EC" w:rsidR="001256F9" w:rsidRPr="00310FDF" w:rsidRDefault="001256F9" w:rsidP="00FC0ABC">
      <w:pPr>
        <w:pStyle w:val="Ttulo1"/>
      </w:pPr>
      <w:r>
        <w:t xml:space="preserve">Criterio </w:t>
      </w:r>
      <w:r w:rsidR="00011BB5">
        <w:t>64</w:t>
      </w:r>
      <w:r w:rsidRPr="00310FDF">
        <w:t>. Cada uno de los sujetos obligados cuenta con una ofici</w:t>
      </w:r>
      <w:r>
        <w:t>na de información pública</w:t>
      </w:r>
    </w:p>
    <w:p w14:paraId="61ED4161" w14:textId="4C23C4F6" w:rsidR="001256F9" w:rsidRDefault="001256F9" w:rsidP="001256F9">
      <w:pPr>
        <w:jc w:val="both"/>
        <w:rPr>
          <w:sz w:val="24"/>
        </w:rPr>
      </w:pPr>
      <w:r w:rsidRPr="00310FDF">
        <w:rPr>
          <w:sz w:val="24"/>
        </w:rPr>
        <w:t>Es indispensable designar una oficina que d</w:t>
      </w:r>
      <w:r w:rsidR="001D4630">
        <w:rPr>
          <w:sz w:val="24"/>
        </w:rPr>
        <w:t>é</w:t>
      </w:r>
      <w:r w:rsidRPr="00310FDF">
        <w:rPr>
          <w:sz w:val="24"/>
        </w:rPr>
        <w:t xml:space="preserve"> trámite y seguimiento a las solicitudes de acceso a la información al interior de los entes públicos. Dado que la función de estas oficinas requiere trabajo especializado, sus actividades no pueden ser </w:t>
      </w:r>
      <w:r w:rsidRPr="00310FDF">
        <w:rPr>
          <w:sz w:val="24"/>
        </w:rPr>
        <w:lastRenderedPageBreak/>
        <w:t>realizadas por otra oficina ajena a los procedimientos de acceso a</w:t>
      </w:r>
      <w:r w:rsidR="00FC570D">
        <w:rPr>
          <w:sz w:val="24"/>
        </w:rPr>
        <w:t xml:space="preserve"> </w:t>
      </w:r>
      <w:r w:rsidRPr="00310FDF">
        <w:rPr>
          <w:sz w:val="24"/>
        </w:rPr>
        <w:t xml:space="preserve">la información. </w:t>
      </w:r>
    </w:p>
    <w:p w14:paraId="65F21009" w14:textId="0957618F" w:rsidR="001256F9" w:rsidRPr="00310FDF" w:rsidRDefault="001256F9" w:rsidP="00011BB5">
      <w:pPr>
        <w:pBdr>
          <w:bottom w:val="single" w:sz="4" w:space="1" w:color="auto"/>
        </w:pBdr>
        <w:jc w:val="both"/>
        <w:rPr>
          <w:sz w:val="24"/>
        </w:rPr>
      </w:pPr>
      <w:r w:rsidRPr="00310FDF">
        <w:rPr>
          <w:b/>
          <w:sz w:val="24"/>
        </w:rPr>
        <w:t>Calificación</w:t>
      </w:r>
      <w:r w:rsidRPr="00310FDF">
        <w:rPr>
          <w:sz w:val="24"/>
        </w:rPr>
        <w:t xml:space="preserve">. </w:t>
      </w:r>
      <w:r w:rsidRPr="00590536">
        <w:rPr>
          <w:sz w:val="24"/>
        </w:rPr>
        <w:t>L</w:t>
      </w:r>
      <w:r w:rsidR="001D4630">
        <w:rPr>
          <w:sz w:val="24"/>
        </w:rPr>
        <w:t>a L</w:t>
      </w:r>
      <w:r w:rsidRPr="00590536">
        <w:rPr>
          <w:sz w:val="24"/>
        </w:rPr>
        <w:t xml:space="preserve">ey </w:t>
      </w:r>
      <w:r w:rsidRPr="00310FDF">
        <w:rPr>
          <w:sz w:val="24"/>
        </w:rPr>
        <w:t xml:space="preserve">contempla </w:t>
      </w:r>
      <w:r>
        <w:rPr>
          <w:sz w:val="24"/>
        </w:rPr>
        <w:t>la instalación de una oficina y personal destinado a atender las solicitudes y servir de enlace entre el peticionario y el responsable de la información pública.</w:t>
      </w:r>
    </w:p>
    <w:p w14:paraId="125E1565" w14:textId="2DD4EDC9" w:rsidR="001256F9" w:rsidRPr="00310FDF" w:rsidRDefault="008B37BC" w:rsidP="00FC0ABC">
      <w:pPr>
        <w:pStyle w:val="Ttulo1"/>
      </w:pPr>
      <w:r>
        <w:t>Criterio 65</w:t>
      </w:r>
      <w:r w:rsidR="001256F9">
        <w:t xml:space="preserve">. </w:t>
      </w:r>
      <w:r w:rsidR="00AF75CB">
        <w:t>El t</w:t>
      </w:r>
      <w:r w:rsidR="001256F9" w:rsidRPr="00310FDF">
        <w:t>itular de la oficina de información es designado p</w:t>
      </w:r>
      <w:r w:rsidR="001256F9">
        <w:t>or el Titular del ente público</w:t>
      </w:r>
    </w:p>
    <w:p w14:paraId="3E677B4A" w14:textId="0FEA282B" w:rsidR="001256F9" w:rsidRDefault="001256F9" w:rsidP="001256F9">
      <w:pPr>
        <w:jc w:val="both"/>
        <w:rPr>
          <w:sz w:val="24"/>
        </w:rPr>
      </w:pPr>
      <w:r w:rsidRPr="00310FDF">
        <w:rPr>
          <w:b/>
          <w:sz w:val="24"/>
        </w:rPr>
        <w:t>Descripción.</w:t>
      </w:r>
      <w:r>
        <w:rPr>
          <w:sz w:val="24"/>
        </w:rPr>
        <w:t xml:space="preserve"> </w:t>
      </w:r>
      <w:r w:rsidR="006E4161">
        <w:rPr>
          <w:sz w:val="24"/>
        </w:rPr>
        <w:t>Existe obligación de designar una persona</w:t>
      </w:r>
      <w:r w:rsidR="00AF75CB">
        <w:rPr>
          <w:sz w:val="24"/>
        </w:rPr>
        <w:t xml:space="preserve"> como</w:t>
      </w:r>
      <w:r w:rsidRPr="00310FDF">
        <w:rPr>
          <w:sz w:val="24"/>
        </w:rPr>
        <w:t xml:space="preserve"> titular de la Unidad de Enlace para exigir y promover el cumplimiento de las leyes de acceso a la información</w:t>
      </w:r>
      <w:r w:rsidR="00AF75CB">
        <w:rPr>
          <w:sz w:val="24"/>
        </w:rPr>
        <w:t xml:space="preserve"> sin menoscabo de </w:t>
      </w:r>
      <w:r w:rsidRPr="00310FDF">
        <w:rPr>
          <w:sz w:val="24"/>
        </w:rPr>
        <w:t>la responsabilidad del titular del sujeto obligado de garantizar la trasparencia y el acceso a la información en su posesión.</w:t>
      </w:r>
    </w:p>
    <w:p w14:paraId="22F1972F" w14:textId="244860E0" w:rsidR="001256F9" w:rsidRPr="00310FDF" w:rsidRDefault="001256F9" w:rsidP="00712C3E">
      <w:pPr>
        <w:pBdr>
          <w:bottom w:val="single" w:sz="4" w:space="1" w:color="auto"/>
        </w:pBdr>
        <w:jc w:val="both"/>
        <w:rPr>
          <w:sz w:val="24"/>
        </w:rPr>
      </w:pPr>
      <w:r w:rsidRPr="00310FDF">
        <w:rPr>
          <w:b/>
          <w:sz w:val="24"/>
        </w:rPr>
        <w:t>Calificación</w:t>
      </w:r>
      <w:r w:rsidRPr="00310FDF">
        <w:rPr>
          <w:sz w:val="24"/>
        </w:rPr>
        <w:t xml:space="preserve">. </w:t>
      </w:r>
      <w:r w:rsidRPr="00590536">
        <w:rPr>
          <w:sz w:val="24"/>
        </w:rPr>
        <w:t>L</w:t>
      </w:r>
      <w:r w:rsidR="00AF75CB">
        <w:rPr>
          <w:sz w:val="24"/>
        </w:rPr>
        <w:t>a L</w:t>
      </w:r>
      <w:r w:rsidRPr="00590536">
        <w:rPr>
          <w:sz w:val="24"/>
        </w:rPr>
        <w:t xml:space="preserve">ey </w:t>
      </w:r>
      <w:r w:rsidRPr="00310FDF">
        <w:rPr>
          <w:sz w:val="24"/>
        </w:rPr>
        <w:t xml:space="preserve">contempla </w:t>
      </w:r>
      <w:r>
        <w:rPr>
          <w:sz w:val="24"/>
        </w:rPr>
        <w:t>la designación del responsable de la oficina de información como parte de las atribuciones</w:t>
      </w:r>
      <w:r w:rsidR="006E4161">
        <w:rPr>
          <w:sz w:val="24"/>
        </w:rPr>
        <w:t xml:space="preserve"> y deberes</w:t>
      </w:r>
      <w:r w:rsidR="00712C3E">
        <w:rPr>
          <w:sz w:val="24"/>
        </w:rPr>
        <w:t xml:space="preserve"> del titular del sujeto obligado</w:t>
      </w:r>
      <w:r>
        <w:rPr>
          <w:sz w:val="24"/>
        </w:rPr>
        <w:t>.</w:t>
      </w:r>
    </w:p>
    <w:p w14:paraId="29419CA0" w14:textId="2B8603B8" w:rsidR="001256F9" w:rsidRPr="00BD669D" w:rsidRDefault="001256F9" w:rsidP="00FC0ABC">
      <w:pPr>
        <w:pStyle w:val="Ttulo1"/>
      </w:pPr>
      <w:r>
        <w:t xml:space="preserve">Criterio </w:t>
      </w:r>
      <w:r w:rsidR="00A31B43">
        <w:t>66</w:t>
      </w:r>
      <w:r w:rsidRPr="00BD669D">
        <w:t>. Recibir y tramitar las solicitudes de información presentadas ante el sujeto obligado</w:t>
      </w:r>
    </w:p>
    <w:p w14:paraId="232D2B1A" w14:textId="0891186A" w:rsidR="001256F9" w:rsidRDefault="001256F9" w:rsidP="001256F9">
      <w:pPr>
        <w:jc w:val="both"/>
        <w:rPr>
          <w:sz w:val="24"/>
        </w:rPr>
      </w:pPr>
      <w:r>
        <w:rPr>
          <w:b/>
          <w:sz w:val="24"/>
        </w:rPr>
        <w:t xml:space="preserve">Descripción. </w:t>
      </w:r>
      <w:r w:rsidRPr="00BD669D">
        <w:rPr>
          <w:sz w:val="24"/>
        </w:rPr>
        <w:t>Las acciones para dar cumplimiento a las obligaciones de transparencia, tanto en la atención a solicitudes de acceso a la información como e</w:t>
      </w:r>
      <w:r w:rsidR="00FA1090">
        <w:rPr>
          <w:sz w:val="24"/>
        </w:rPr>
        <w:t>n</w:t>
      </w:r>
      <w:r w:rsidRPr="00BD669D">
        <w:rPr>
          <w:sz w:val="24"/>
        </w:rPr>
        <w:t xml:space="preserve"> la difusión de información pública de oficio, requieren del conocimiento de las leyes de transparencia, así como de los procedimientos a</w:t>
      </w:r>
      <w:r>
        <w:rPr>
          <w:sz w:val="24"/>
        </w:rPr>
        <w:t xml:space="preserve">decuados para </w:t>
      </w:r>
      <w:r w:rsidR="00FA1090">
        <w:rPr>
          <w:sz w:val="24"/>
        </w:rPr>
        <w:t>su</w:t>
      </w:r>
      <w:r>
        <w:rPr>
          <w:sz w:val="24"/>
        </w:rPr>
        <w:t xml:space="preserve"> cumplimiento.</w:t>
      </w:r>
      <w:r w:rsidR="00FA1090">
        <w:rPr>
          <w:sz w:val="24"/>
        </w:rPr>
        <w:t xml:space="preserve"> </w:t>
      </w:r>
      <w:r w:rsidRPr="00BD669D">
        <w:rPr>
          <w:sz w:val="24"/>
        </w:rPr>
        <w:t xml:space="preserve">Por ello se recomienda </w:t>
      </w:r>
      <w:r>
        <w:rPr>
          <w:sz w:val="24"/>
        </w:rPr>
        <w:t xml:space="preserve">que </w:t>
      </w:r>
      <w:r w:rsidRPr="00BD669D">
        <w:rPr>
          <w:sz w:val="24"/>
        </w:rPr>
        <w:t xml:space="preserve">sea una sola oficina la </w:t>
      </w:r>
      <w:r w:rsidR="00FA1090">
        <w:rPr>
          <w:sz w:val="24"/>
        </w:rPr>
        <w:t>responsable</w:t>
      </w:r>
      <w:r w:rsidR="00FA1090" w:rsidRPr="00BD669D">
        <w:rPr>
          <w:sz w:val="24"/>
        </w:rPr>
        <w:t xml:space="preserve"> </w:t>
      </w:r>
      <w:r w:rsidRPr="00BD669D">
        <w:rPr>
          <w:sz w:val="24"/>
        </w:rPr>
        <w:t>de</w:t>
      </w:r>
      <w:r w:rsidR="00FA1090">
        <w:rPr>
          <w:sz w:val="24"/>
        </w:rPr>
        <w:t xml:space="preserve"> dar</w:t>
      </w:r>
      <w:r w:rsidRPr="00BD669D">
        <w:rPr>
          <w:sz w:val="24"/>
        </w:rPr>
        <w:t xml:space="preserve"> trámite a las solicitudes de acceso a la información al in</w:t>
      </w:r>
      <w:r>
        <w:rPr>
          <w:sz w:val="24"/>
        </w:rPr>
        <w:t>terior de cada sujeto obligado.</w:t>
      </w:r>
    </w:p>
    <w:p w14:paraId="16DB3BAC" w14:textId="7211BCD4" w:rsidR="001256F9" w:rsidRPr="00310FDF" w:rsidRDefault="001256F9" w:rsidP="00D070A2">
      <w:pPr>
        <w:pBdr>
          <w:bottom w:val="single" w:sz="4" w:space="1" w:color="auto"/>
        </w:pBdr>
        <w:jc w:val="both"/>
        <w:rPr>
          <w:sz w:val="24"/>
        </w:rPr>
      </w:pPr>
      <w:r w:rsidRPr="00310FDF">
        <w:rPr>
          <w:b/>
          <w:sz w:val="24"/>
        </w:rPr>
        <w:t>Calificación</w:t>
      </w:r>
      <w:r w:rsidRPr="00310FDF">
        <w:rPr>
          <w:sz w:val="24"/>
        </w:rPr>
        <w:t xml:space="preserve">. </w:t>
      </w:r>
      <w:r w:rsidRPr="00590536">
        <w:rPr>
          <w:sz w:val="24"/>
        </w:rPr>
        <w:t>L</w:t>
      </w:r>
      <w:r w:rsidR="00FA1090">
        <w:rPr>
          <w:sz w:val="24"/>
        </w:rPr>
        <w:t>a L</w:t>
      </w:r>
      <w:r w:rsidRPr="00590536">
        <w:rPr>
          <w:sz w:val="24"/>
        </w:rPr>
        <w:t xml:space="preserve">ey </w:t>
      </w:r>
      <w:r w:rsidRPr="00310FDF">
        <w:rPr>
          <w:sz w:val="24"/>
        </w:rPr>
        <w:t xml:space="preserve">contempla </w:t>
      </w:r>
      <w:r>
        <w:rPr>
          <w:sz w:val="24"/>
        </w:rPr>
        <w:t xml:space="preserve">instalación de una oficina de atención </w:t>
      </w:r>
      <w:r w:rsidR="00FA1090">
        <w:rPr>
          <w:sz w:val="24"/>
        </w:rPr>
        <w:t xml:space="preserve">con las características adecuadas </w:t>
      </w:r>
      <w:r>
        <w:rPr>
          <w:sz w:val="24"/>
        </w:rPr>
        <w:t>para recibir y tramitar solicitudes de información.</w:t>
      </w:r>
    </w:p>
    <w:p w14:paraId="738CE3F0" w14:textId="0438838A" w:rsidR="001256F9" w:rsidRPr="00BD669D" w:rsidRDefault="001256F9" w:rsidP="00FC0ABC">
      <w:pPr>
        <w:pStyle w:val="Ttulo1"/>
      </w:pPr>
      <w:r>
        <w:t xml:space="preserve">Criterio </w:t>
      </w:r>
      <w:r w:rsidR="00D070A2">
        <w:t>67</w:t>
      </w:r>
      <w:r w:rsidRPr="00BD669D">
        <w:t>. Recabar, publicar y actualizar la</w:t>
      </w:r>
      <w:r>
        <w:t xml:space="preserve"> información pública de oficio</w:t>
      </w:r>
    </w:p>
    <w:p w14:paraId="7F115FB3" w14:textId="7F774CBB" w:rsidR="001256F9" w:rsidRDefault="001256F9" w:rsidP="001256F9">
      <w:pPr>
        <w:jc w:val="both"/>
        <w:rPr>
          <w:sz w:val="24"/>
        </w:rPr>
      </w:pPr>
      <w:r>
        <w:rPr>
          <w:b/>
          <w:sz w:val="24"/>
        </w:rPr>
        <w:t xml:space="preserve">Descripción. </w:t>
      </w:r>
      <w:r>
        <w:rPr>
          <w:sz w:val="24"/>
        </w:rPr>
        <w:t>Las oficinas de información pública deben promover la actualización</w:t>
      </w:r>
      <w:r w:rsidR="001752EA">
        <w:rPr>
          <w:sz w:val="24"/>
        </w:rPr>
        <w:t xml:space="preserve"> frecuente</w:t>
      </w:r>
      <w:r w:rsidRPr="00BD669D">
        <w:rPr>
          <w:sz w:val="24"/>
        </w:rPr>
        <w:t xml:space="preserve"> </w:t>
      </w:r>
      <w:r w:rsidR="001752EA">
        <w:rPr>
          <w:sz w:val="24"/>
        </w:rPr>
        <w:t>de</w:t>
      </w:r>
      <w:r w:rsidR="001752EA" w:rsidRPr="00BD669D">
        <w:rPr>
          <w:sz w:val="24"/>
        </w:rPr>
        <w:t xml:space="preserve"> </w:t>
      </w:r>
      <w:r w:rsidRPr="00BD669D">
        <w:rPr>
          <w:sz w:val="24"/>
        </w:rPr>
        <w:t>los sitios</w:t>
      </w:r>
      <w:r>
        <w:rPr>
          <w:sz w:val="24"/>
        </w:rPr>
        <w:t xml:space="preserve"> oficiales</w:t>
      </w:r>
      <w:r w:rsidR="001752EA">
        <w:rPr>
          <w:sz w:val="24"/>
        </w:rPr>
        <w:t xml:space="preserve"> en </w:t>
      </w:r>
      <w:r w:rsidR="001752EA">
        <w:rPr>
          <w:sz w:val="24"/>
        </w:rPr>
        <w:lastRenderedPageBreak/>
        <w:t>internet</w:t>
      </w:r>
      <w:r w:rsidRPr="00BD669D">
        <w:rPr>
          <w:sz w:val="24"/>
        </w:rPr>
        <w:t>,</w:t>
      </w:r>
      <w:r>
        <w:rPr>
          <w:sz w:val="24"/>
        </w:rPr>
        <w:t xml:space="preserve"> además</w:t>
      </w:r>
      <w:r w:rsidR="001752EA">
        <w:rPr>
          <w:sz w:val="24"/>
        </w:rPr>
        <w:t xml:space="preserve"> de</w:t>
      </w:r>
      <w:r>
        <w:rPr>
          <w:sz w:val="24"/>
        </w:rPr>
        <w:t xml:space="preserve"> revisar</w:t>
      </w:r>
      <w:r w:rsidRPr="00BD669D">
        <w:rPr>
          <w:sz w:val="24"/>
        </w:rPr>
        <w:t xml:space="preserve"> la información </w:t>
      </w:r>
      <w:r>
        <w:rPr>
          <w:sz w:val="24"/>
        </w:rPr>
        <w:t>y publicar</w:t>
      </w:r>
      <w:r w:rsidR="001752EA">
        <w:rPr>
          <w:sz w:val="24"/>
        </w:rPr>
        <w:t xml:space="preserve"> periódicamente</w:t>
      </w:r>
      <w:r>
        <w:rPr>
          <w:sz w:val="24"/>
        </w:rPr>
        <w:t xml:space="preserve"> aqu</w:t>
      </w:r>
      <w:r w:rsidR="001752EA">
        <w:rPr>
          <w:sz w:val="24"/>
        </w:rPr>
        <w:t>é</w:t>
      </w:r>
      <w:r>
        <w:rPr>
          <w:sz w:val="24"/>
        </w:rPr>
        <w:t>lla que se considera</w:t>
      </w:r>
      <w:r w:rsidRPr="00BD669D">
        <w:rPr>
          <w:sz w:val="24"/>
        </w:rPr>
        <w:t xml:space="preserve"> de oficio.</w:t>
      </w:r>
    </w:p>
    <w:p w14:paraId="58915D6C" w14:textId="31699B90" w:rsidR="001256F9" w:rsidRPr="00310FDF" w:rsidRDefault="001256F9" w:rsidP="00137866">
      <w:pPr>
        <w:pBdr>
          <w:bottom w:val="single" w:sz="4" w:space="1" w:color="auto"/>
        </w:pBdr>
        <w:jc w:val="both"/>
        <w:rPr>
          <w:sz w:val="24"/>
        </w:rPr>
      </w:pPr>
      <w:r w:rsidRPr="00310FDF">
        <w:rPr>
          <w:b/>
          <w:sz w:val="24"/>
        </w:rPr>
        <w:t>Calificación</w:t>
      </w:r>
      <w:r w:rsidRPr="00310FDF">
        <w:rPr>
          <w:sz w:val="24"/>
        </w:rPr>
        <w:t xml:space="preserve">. </w:t>
      </w:r>
      <w:r w:rsidRPr="00590536">
        <w:rPr>
          <w:sz w:val="24"/>
        </w:rPr>
        <w:t>L</w:t>
      </w:r>
      <w:r w:rsidR="00962E8C">
        <w:rPr>
          <w:sz w:val="24"/>
        </w:rPr>
        <w:t>a L</w:t>
      </w:r>
      <w:r w:rsidRPr="00590536">
        <w:rPr>
          <w:sz w:val="24"/>
        </w:rPr>
        <w:t xml:space="preserve">ey </w:t>
      </w:r>
      <w:r w:rsidRPr="00310FDF">
        <w:rPr>
          <w:sz w:val="24"/>
        </w:rPr>
        <w:t xml:space="preserve">contempla </w:t>
      </w:r>
      <w:r>
        <w:rPr>
          <w:sz w:val="24"/>
        </w:rPr>
        <w:t xml:space="preserve">como responsabilidad de la oficina de información la tarea de recabar, publicar y actualizar </w:t>
      </w:r>
      <w:r w:rsidR="00962E8C">
        <w:rPr>
          <w:sz w:val="24"/>
        </w:rPr>
        <w:t xml:space="preserve">con periodicidad y frecuencia </w:t>
      </w:r>
      <w:r>
        <w:rPr>
          <w:sz w:val="24"/>
        </w:rPr>
        <w:t>la información pública</w:t>
      </w:r>
      <w:r w:rsidR="00962E8C">
        <w:rPr>
          <w:sz w:val="24"/>
        </w:rPr>
        <w:t>, especialmente la de oficio</w:t>
      </w:r>
      <w:r>
        <w:rPr>
          <w:sz w:val="24"/>
        </w:rPr>
        <w:t xml:space="preserve">. </w:t>
      </w:r>
    </w:p>
    <w:p w14:paraId="5BB9DAC4" w14:textId="10D82AC7" w:rsidR="001256F9" w:rsidRPr="009B2178" w:rsidRDefault="001256F9" w:rsidP="00FC0ABC">
      <w:pPr>
        <w:pStyle w:val="Ttulo1"/>
      </w:pPr>
      <w:r>
        <w:t xml:space="preserve">Criterio </w:t>
      </w:r>
      <w:r w:rsidR="00137866">
        <w:t>68</w:t>
      </w:r>
      <w:r w:rsidRPr="009B2178">
        <w:t>. Llevar el registro de las solicitudes de acceso a</w:t>
      </w:r>
      <w:r>
        <w:t xml:space="preserve"> la información y actualizarlo</w:t>
      </w:r>
    </w:p>
    <w:p w14:paraId="1DE7801C" w14:textId="3371C8D8" w:rsidR="001256F9" w:rsidRDefault="001256F9" w:rsidP="001256F9">
      <w:pPr>
        <w:jc w:val="both"/>
        <w:rPr>
          <w:sz w:val="24"/>
        </w:rPr>
      </w:pPr>
      <w:r>
        <w:rPr>
          <w:b/>
          <w:sz w:val="24"/>
        </w:rPr>
        <w:t xml:space="preserve">Descripción. </w:t>
      </w:r>
      <w:r>
        <w:rPr>
          <w:sz w:val="24"/>
        </w:rPr>
        <w:t>Las oficinas de información pública deben</w:t>
      </w:r>
      <w:r w:rsidRPr="009B2178">
        <w:rPr>
          <w:sz w:val="24"/>
        </w:rPr>
        <w:t xml:space="preserve"> optimizar el procedimiento de acceso a la información como insumo para las decisiones de los órganos garante</w:t>
      </w:r>
      <w:r w:rsidR="003960C6">
        <w:rPr>
          <w:sz w:val="24"/>
        </w:rPr>
        <w:t>s</w:t>
      </w:r>
      <w:r w:rsidRPr="009B2178">
        <w:rPr>
          <w:sz w:val="24"/>
        </w:rPr>
        <w:t xml:space="preserve"> y para dar cuenta de sus actividades y</w:t>
      </w:r>
      <w:r>
        <w:rPr>
          <w:sz w:val="24"/>
        </w:rPr>
        <w:t xml:space="preserve"> </w:t>
      </w:r>
      <w:r w:rsidR="003960C6">
        <w:rPr>
          <w:sz w:val="24"/>
        </w:rPr>
        <w:t xml:space="preserve">del </w:t>
      </w:r>
      <w:r>
        <w:rPr>
          <w:sz w:val="24"/>
        </w:rPr>
        <w:t>estado del DAI; por ello,</w:t>
      </w:r>
      <w:r w:rsidR="00FC570D">
        <w:rPr>
          <w:sz w:val="24"/>
        </w:rPr>
        <w:t xml:space="preserve"> </w:t>
      </w:r>
      <w:r w:rsidRPr="009B2178">
        <w:rPr>
          <w:sz w:val="24"/>
        </w:rPr>
        <w:t>resulta fundamental llevar un registro</w:t>
      </w:r>
      <w:r w:rsidR="003960C6">
        <w:rPr>
          <w:sz w:val="24"/>
        </w:rPr>
        <w:t>,</w:t>
      </w:r>
      <w:r w:rsidRPr="009B2178">
        <w:rPr>
          <w:sz w:val="24"/>
        </w:rPr>
        <w:t xml:space="preserve"> </w:t>
      </w:r>
      <w:r w:rsidR="003960C6">
        <w:rPr>
          <w:sz w:val="24"/>
        </w:rPr>
        <w:t xml:space="preserve">actualizado regularmente, </w:t>
      </w:r>
      <w:r w:rsidRPr="009B2178">
        <w:rPr>
          <w:sz w:val="24"/>
        </w:rPr>
        <w:t>de las solicitudes</w:t>
      </w:r>
      <w:r w:rsidR="003960C6">
        <w:rPr>
          <w:sz w:val="24"/>
        </w:rPr>
        <w:t>,</w:t>
      </w:r>
      <w:r w:rsidRPr="009B2178">
        <w:rPr>
          <w:sz w:val="24"/>
        </w:rPr>
        <w:t xml:space="preserve"> el</w:t>
      </w:r>
      <w:r>
        <w:rPr>
          <w:sz w:val="24"/>
        </w:rPr>
        <w:t xml:space="preserve"> cual gener</w:t>
      </w:r>
      <w:r w:rsidR="003960C6">
        <w:rPr>
          <w:sz w:val="24"/>
        </w:rPr>
        <w:t>e, entre otros datos,</w:t>
      </w:r>
      <w:r w:rsidR="003960C6" w:rsidRPr="009B2178">
        <w:rPr>
          <w:sz w:val="24"/>
        </w:rPr>
        <w:t xml:space="preserve"> </w:t>
      </w:r>
      <w:r w:rsidRPr="009B2178">
        <w:rPr>
          <w:sz w:val="24"/>
        </w:rPr>
        <w:t>evidencia sobre el tipo de información que la población está requiriendo, el tipo de respuestas</w:t>
      </w:r>
      <w:r w:rsidR="003960C6">
        <w:rPr>
          <w:sz w:val="24"/>
        </w:rPr>
        <w:t xml:space="preserve"> dadas y los</w:t>
      </w:r>
      <w:r w:rsidRPr="009B2178">
        <w:rPr>
          <w:sz w:val="24"/>
        </w:rPr>
        <w:t xml:space="preserve"> tiem</w:t>
      </w:r>
      <w:r>
        <w:rPr>
          <w:sz w:val="24"/>
        </w:rPr>
        <w:t>pos en la atención a las mismas</w:t>
      </w:r>
      <w:r w:rsidR="003960C6">
        <w:rPr>
          <w:sz w:val="24"/>
        </w:rPr>
        <w:t xml:space="preserve">, de forma que ello </w:t>
      </w:r>
      <w:r>
        <w:rPr>
          <w:sz w:val="24"/>
        </w:rPr>
        <w:t>permit</w:t>
      </w:r>
      <w:r w:rsidR="003960C6">
        <w:rPr>
          <w:sz w:val="24"/>
        </w:rPr>
        <w:t>a</w:t>
      </w:r>
      <w:r>
        <w:rPr>
          <w:sz w:val="24"/>
        </w:rPr>
        <w:t xml:space="preserve"> agilizar las respuestas</w:t>
      </w:r>
      <w:r w:rsidRPr="009B2178">
        <w:rPr>
          <w:sz w:val="24"/>
        </w:rPr>
        <w:t xml:space="preserve"> a otras solicitudes de información </w:t>
      </w:r>
      <w:r>
        <w:rPr>
          <w:sz w:val="24"/>
        </w:rPr>
        <w:t>aprovechando la información disponible</w:t>
      </w:r>
      <w:r w:rsidRPr="009B2178">
        <w:rPr>
          <w:sz w:val="24"/>
        </w:rPr>
        <w:t>.</w:t>
      </w:r>
    </w:p>
    <w:p w14:paraId="552A857E" w14:textId="6B8214DC" w:rsidR="001256F9" w:rsidRPr="00310FDF" w:rsidRDefault="001256F9" w:rsidP="00137866">
      <w:pPr>
        <w:pBdr>
          <w:bottom w:val="single" w:sz="4" w:space="1" w:color="auto"/>
        </w:pBdr>
        <w:jc w:val="both"/>
        <w:rPr>
          <w:sz w:val="24"/>
        </w:rPr>
      </w:pPr>
      <w:r w:rsidRPr="00310FDF">
        <w:rPr>
          <w:b/>
          <w:sz w:val="24"/>
        </w:rPr>
        <w:t>Calificación</w:t>
      </w:r>
      <w:r w:rsidRPr="00310FDF">
        <w:rPr>
          <w:sz w:val="24"/>
        </w:rPr>
        <w:t xml:space="preserve">. </w:t>
      </w:r>
      <w:r w:rsidRPr="00590536">
        <w:rPr>
          <w:sz w:val="24"/>
        </w:rPr>
        <w:t>L</w:t>
      </w:r>
      <w:r w:rsidR="003960C6">
        <w:rPr>
          <w:sz w:val="24"/>
        </w:rPr>
        <w:t>a L</w:t>
      </w:r>
      <w:r w:rsidRPr="00590536">
        <w:rPr>
          <w:sz w:val="24"/>
        </w:rPr>
        <w:t xml:space="preserve">ey </w:t>
      </w:r>
      <w:r w:rsidRPr="00310FDF">
        <w:rPr>
          <w:sz w:val="24"/>
        </w:rPr>
        <w:t xml:space="preserve">contempla </w:t>
      </w:r>
      <w:r>
        <w:rPr>
          <w:sz w:val="24"/>
        </w:rPr>
        <w:t>como responsabilidad de la oficina de información</w:t>
      </w:r>
      <w:r w:rsidR="003960C6">
        <w:rPr>
          <w:sz w:val="24"/>
        </w:rPr>
        <w:t xml:space="preserve"> llevar un</w:t>
      </w:r>
      <w:r>
        <w:rPr>
          <w:sz w:val="24"/>
        </w:rPr>
        <w:t xml:space="preserve"> registro</w:t>
      </w:r>
      <w:r w:rsidR="003960C6">
        <w:rPr>
          <w:sz w:val="24"/>
        </w:rPr>
        <w:t xml:space="preserve"> completo</w:t>
      </w:r>
      <w:r>
        <w:rPr>
          <w:sz w:val="24"/>
        </w:rPr>
        <w:t xml:space="preserve"> de </w:t>
      </w:r>
      <w:r w:rsidR="003960C6">
        <w:rPr>
          <w:sz w:val="24"/>
        </w:rPr>
        <w:t xml:space="preserve">las </w:t>
      </w:r>
      <w:r>
        <w:rPr>
          <w:sz w:val="24"/>
        </w:rPr>
        <w:t>solicitudes y respuesta</w:t>
      </w:r>
      <w:r w:rsidR="003960C6">
        <w:rPr>
          <w:sz w:val="24"/>
        </w:rPr>
        <w:t>s</w:t>
      </w:r>
      <w:r>
        <w:rPr>
          <w:sz w:val="24"/>
        </w:rPr>
        <w:t xml:space="preserve"> entregadas a los solicitantes. </w:t>
      </w:r>
    </w:p>
    <w:p w14:paraId="5B500C03" w14:textId="72D022CF" w:rsidR="001256F9" w:rsidRPr="00834114" w:rsidRDefault="001256F9" w:rsidP="00FC0ABC">
      <w:pPr>
        <w:pStyle w:val="Ttulo1"/>
      </w:pPr>
      <w:r>
        <w:t xml:space="preserve">Criterio </w:t>
      </w:r>
      <w:r w:rsidR="00137866">
        <w:t>69</w:t>
      </w:r>
      <w:r w:rsidRPr="00834114">
        <w:t>. Asesorar y orientar</w:t>
      </w:r>
      <w:r w:rsidR="001422DC">
        <w:t>,</w:t>
      </w:r>
      <w:r w:rsidRPr="00834114">
        <w:t xml:space="preserve"> a quienes lo requieran, en el ejercicio del derecho de a</w:t>
      </w:r>
      <w:r>
        <w:t>cceso a la información pública</w:t>
      </w:r>
    </w:p>
    <w:p w14:paraId="28E9B5BE" w14:textId="0F9DDD57" w:rsidR="001256F9" w:rsidRDefault="001256F9" w:rsidP="001256F9">
      <w:pPr>
        <w:jc w:val="both"/>
        <w:rPr>
          <w:sz w:val="24"/>
        </w:rPr>
      </w:pPr>
      <w:r>
        <w:rPr>
          <w:b/>
          <w:sz w:val="24"/>
        </w:rPr>
        <w:t xml:space="preserve">Descripción. </w:t>
      </w:r>
      <w:r w:rsidRPr="00834114">
        <w:rPr>
          <w:sz w:val="24"/>
        </w:rPr>
        <w:t xml:space="preserve">El proceso de acceso a la información pública puede presentar obstáculos para personas con escasos conocimientos </w:t>
      </w:r>
      <w:r w:rsidR="001422DC">
        <w:rPr>
          <w:sz w:val="24"/>
        </w:rPr>
        <w:t>de</w:t>
      </w:r>
      <w:r w:rsidRPr="00834114">
        <w:rPr>
          <w:sz w:val="24"/>
        </w:rPr>
        <w:t xml:space="preserve"> la administración pública, uso de tecnologías o leyes de transparencia. Al ser las OI el primer contacto con la ciudadanía en materia de transparencia, se requiere que éstas orienten y asesoren a las personas para que puedan hacer efectivo su derecho de acceso a la información.</w:t>
      </w:r>
    </w:p>
    <w:p w14:paraId="28EE0E05" w14:textId="3A853252" w:rsidR="001256F9" w:rsidRPr="00310FDF" w:rsidRDefault="001256F9" w:rsidP="00137866">
      <w:pPr>
        <w:pBdr>
          <w:bottom w:val="single" w:sz="4" w:space="1" w:color="auto"/>
        </w:pBdr>
        <w:jc w:val="both"/>
        <w:rPr>
          <w:sz w:val="24"/>
        </w:rPr>
      </w:pPr>
      <w:r w:rsidRPr="00310FDF">
        <w:rPr>
          <w:b/>
          <w:sz w:val="24"/>
        </w:rPr>
        <w:t>Calificación</w:t>
      </w:r>
      <w:r w:rsidRPr="00310FDF">
        <w:rPr>
          <w:sz w:val="24"/>
        </w:rPr>
        <w:t xml:space="preserve">. </w:t>
      </w:r>
      <w:r w:rsidRPr="00590536">
        <w:rPr>
          <w:sz w:val="24"/>
        </w:rPr>
        <w:t>L</w:t>
      </w:r>
      <w:r w:rsidR="001422DC">
        <w:rPr>
          <w:sz w:val="24"/>
        </w:rPr>
        <w:t>a L</w:t>
      </w:r>
      <w:r w:rsidRPr="00590536">
        <w:rPr>
          <w:sz w:val="24"/>
        </w:rPr>
        <w:t xml:space="preserve">ey </w:t>
      </w:r>
      <w:r w:rsidRPr="00310FDF">
        <w:rPr>
          <w:sz w:val="24"/>
        </w:rPr>
        <w:t xml:space="preserve">contempla </w:t>
      </w:r>
      <w:r>
        <w:rPr>
          <w:sz w:val="24"/>
        </w:rPr>
        <w:t xml:space="preserve">como responsabilidad de la oficina de información ofrecer asistencia técnica y orientación </w:t>
      </w:r>
      <w:r w:rsidR="001422DC">
        <w:rPr>
          <w:sz w:val="24"/>
        </w:rPr>
        <w:t xml:space="preserve">adecuada y oportuna </w:t>
      </w:r>
      <w:r>
        <w:rPr>
          <w:sz w:val="24"/>
        </w:rPr>
        <w:t xml:space="preserve">a los usuarios. </w:t>
      </w:r>
    </w:p>
    <w:p w14:paraId="4F9CA10B" w14:textId="48D79ED9" w:rsidR="001256F9" w:rsidRPr="00834114" w:rsidRDefault="00917F81" w:rsidP="00FC0ABC">
      <w:pPr>
        <w:pStyle w:val="Ttulo1"/>
      </w:pPr>
      <w:r>
        <w:lastRenderedPageBreak/>
        <w:t xml:space="preserve">Criterio </w:t>
      </w:r>
      <w:r w:rsidR="00BA7024">
        <w:t>70</w:t>
      </w:r>
      <w:r w:rsidR="001256F9" w:rsidRPr="00834114">
        <w:t xml:space="preserve">. Fomentar </w:t>
      </w:r>
      <w:r w:rsidR="001256F9">
        <w:t>la cultura de la transparencia</w:t>
      </w:r>
    </w:p>
    <w:p w14:paraId="46DB0AEC" w14:textId="082A962E" w:rsidR="001256F9" w:rsidRDefault="001256F9" w:rsidP="001256F9">
      <w:pPr>
        <w:jc w:val="both"/>
        <w:rPr>
          <w:sz w:val="24"/>
        </w:rPr>
      </w:pPr>
      <w:r w:rsidRPr="00834114">
        <w:rPr>
          <w:b/>
          <w:sz w:val="24"/>
        </w:rPr>
        <w:t>Descripción.</w:t>
      </w:r>
      <w:r>
        <w:rPr>
          <w:sz w:val="24"/>
        </w:rPr>
        <w:t xml:space="preserve"> El</w:t>
      </w:r>
      <w:r w:rsidRPr="00834114">
        <w:rPr>
          <w:sz w:val="24"/>
        </w:rPr>
        <w:t xml:space="preserve"> fomento </w:t>
      </w:r>
      <w:r>
        <w:rPr>
          <w:sz w:val="24"/>
        </w:rPr>
        <w:t>de</w:t>
      </w:r>
      <w:r w:rsidR="00C325F2">
        <w:rPr>
          <w:sz w:val="24"/>
        </w:rPr>
        <w:t xml:space="preserve"> la</w:t>
      </w:r>
      <w:r w:rsidRPr="00834114">
        <w:rPr>
          <w:sz w:val="24"/>
        </w:rPr>
        <w:t xml:space="preserve"> cultura</w:t>
      </w:r>
      <w:r>
        <w:rPr>
          <w:sz w:val="24"/>
        </w:rPr>
        <w:t xml:space="preserve"> de la transparencia</w:t>
      </w:r>
      <w:r w:rsidRPr="00834114">
        <w:rPr>
          <w:sz w:val="24"/>
        </w:rPr>
        <w:t xml:space="preserve"> debe corresponder</w:t>
      </w:r>
      <w:r w:rsidR="00C325F2">
        <w:rPr>
          <w:sz w:val="24"/>
        </w:rPr>
        <w:t xml:space="preserve"> también a la</w:t>
      </w:r>
      <w:r w:rsidRPr="00834114">
        <w:rPr>
          <w:sz w:val="24"/>
        </w:rPr>
        <w:t xml:space="preserve"> función pública</w:t>
      </w:r>
      <w:r w:rsidR="00C325F2">
        <w:rPr>
          <w:sz w:val="24"/>
        </w:rPr>
        <w:t xml:space="preserve"> y </w:t>
      </w:r>
      <w:r>
        <w:rPr>
          <w:sz w:val="24"/>
        </w:rPr>
        <w:t xml:space="preserve">requiere </w:t>
      </w:r>
      <w:r w:rsidR="006E6155">
        <w:rPr>
          <w:sz w:val="24"/>
        </w:rPr>
        <w:t>que</w:t>
      </w:r>
      <w:r w:rsidR="00C325F2">
        <w:rPr>
          <w:sz w:val="24"/>
        </w:rPr>
        <w:t xml:space="preserve"> </w:t>
      </w:r>
      <w:r>
        <w:rPr>
          <w:sz w:val="24"/>
        </w:rPr>
        <w:t xml:space="preserve">la OI </w:t>
      </w:r>
      <w:r w:rsidR="00C325F2">
        <w:rPr>
          <w:sz w:val="24"/>
        </w:rPr>
        <w:t xml:space="preserve">pueda </w:t>
      </w:r>
      <w:r>
        <w:rPr>
          <w:sz w:val="24"/>
        </w:rPr>
        <w:t xml:space="preserve">coordinar, orientar y alinear los esfuerzos </w:t>
      </w:r>
      <w:r w:rsidRPr="00834114">
        <w:rPr>
          <w:sz w:val="24"/>
        </w:rPr>
        <w:t>al interior de los sujetos obligados</w:t>
      </w:r>
      <w:r>
        <w:rPr>
          <w:sz w:val="24"/>
        </w:rPr>
        <w:t>.</w:t>
      </w:r>
    </w:p>
    <w:p w14:paraId="5C3ED719" w14:textId="675D60F3" w:rsidR="001256F9" w:rsidRPr="00310FDF" w:rsidRDefault="001256F9" w:rsidP="006E6155">
      <w:pPr>
        <w:pBdr>
          <w:bottom w:val="single" w:sz="4" w:space="1" w:color="auto"/>
        </w:pBdr>
        <w:jc w:val="both"/>
        <w:rPr>
          <w:sz w:val="24"/>
        </w:rPr>
      </w:pPr>
      <w:r w:rsidRPr="00310FDF">
        <w:rPr>
          <w:b/>
          <w:sz w:val="24"/>
        </w:rPr>
        <w:t>Calificación</w:t>
      </w:r>
      <w:r w:rsidRPr="00310FDF">
        <w:rPr>
          <w:sz w:val="24"/>
        </w:rPr>
        <w:t xml:space="preserve">. </w:t>
      </w:r>
      <w:r w:rsidRPr="00590536">
        <w:rPr>
          <w:sz w:val="24"/>
        </w:rPr>
        <w:t>L</w:t>
      </w:r>
      <w:r w:rsidR="00C325F2">
        <w:rPr>
          <w:sz w:val="24"/>
        </w:rPr>
        <w:t>a L</w:t>
      </w:r>
      <w:r w:rsidRPr="00590536">
        <w:rPr>
          <w:sz w:val="24"/>
        </w:rPr>
        <w:t xml:space="preserve">ey </w:t>
      </w:r>
      <w:r w:rsidRPr="00310FDF">
        <w:rPr>
          <w:sz w:val="24"/>
        </w:rPr>
        <w:t xml:space="preserve">contempla </w:t>
      </w:r>
      <w:r>
        <w:rPr>
          <w:sz w:val="24"/>
        </w:rPr>
        <w:t>como responsabilidad de la oficina de información coordinar las actividades de fomento de la cultura de la transparencia</w:t>
      </w:r>
      <w:r w:rsidR="00C325F2">
        <w:rPr>
          <w:sz w:val="24"/>
        </w:rPr>
        <w:t xml:space="preserve"> </w:t>
      </w:r>
      <w:r w:rsidR="00C325F2" w:rsidRPr="00834114">
        <w:rPr>
          <w:sz w:val="24"/>
        </w:rPr>
        <w:t>al interior de los sujetos obligados</w:t>
      </w:r>
      <w:r>
        <w:rPr>
          <w:sz w:val="24"/>
        </w:rPr>
        <w:t xml:space="preserve">. </w:t>
      </w:r>
    </w:p>
    <w:p w14:paraId="71CED257" w14:textId="77777777" w:rsidR="001256F9" w:rsidRPr="00A81E58" w:rsidRDefault="001256F9" w:rsidP="00D34DDD">
      <w:pPr>
        <w:pStyle w:val="Ttulo1"/>
        <w:numPr>
          <w:ilvl w:val="0"/>
          <w:numId w:val="2"/>
        </w:numPr>
        <w:rPr>
          <w:b w:val="0"/>
        </w:rPr>
      </w:pPr>
      <w:bookmarkStart w:id="11" w:name="_Integración_y_facultades"/>
      <w:bookmarkEnd w:id="11"/>
      <w:r w:rsidRPr="00A81E58">
        <w:t>Integración y facultades del Órgano Interno de Revisión (Comités de información)</w:t>
      </w:r>
    </w:p>
    <w:p w14:paraId="266841E7" w14:textId="4AB0C5DB" w:rsidR="001256F9" w:rsidRPr="00A81E58" w:rsidRDefault="001256F9" w:rsidP="001256F9">
      <w:pPr>
        <w:jc w:val="both"/>
        <w:rPr>
          <w:sz w:val="24"/>
        </w:rPr>
      </w:pPr>
      <w:r w:rsidRPr="00A81E58">
        <w:rPr>
          <w:sz w:val="24"/>
        </w:rPr>
        <w:t>Los órganos de revisión de la información o comités de información</w:t>
      </w:r>
      <w:r w:rsidR="00A35837">
        <w:rPr>
          <w:sz w:val="24"/>
        </w:rPr>
        <w:t>,</w:t>
      </w:r>
      <w:r w:rsidRPr="00A81E58">
        <w:rPr>
          <w:sz w:val="24"/>
        </w:rPr>
        <w:t xml:space="preserve"> son el cuerpo colegiado al interior del sujeto obligado encargado de dictaminar sobre la reserva y clasificación de la información que las unidades administrativas realizan. </w:t>
      </w:r>
      <w:r>
        <w:rPr>
          <w:sz w:val="24"/>
        </w:rPr>
        <w:t xml:space="preserve">Las </w:t>
      </w:r>
      <w:r w:rsidR="00A35837">
        <w:rPr>
          <w:sz w:val="24"/>
        </w:rPr>
        <w:t xml:space="preserve">adecuadas </w:t>
      </w:r>
      <w:r w:rsidRPr="00A81E58">
        <w:rPr>
          <w:sz w:val="24"/>
        </w:rPr>
        <w:t xml:space="preserve">características </w:t>
      </w:r>
      <w:r w:rsidR="00A35837">
        <w:rPr>
          <w:sz w:val="24"/>
        </w:rPr>
        <w:t>de</w:t>
      </w:r>
      <w:r w:rsidRPr="00A81E58">
        <w:rPr>
          <w:sz w:val="24"/>
        </w:rPr>
        <w:t xml:space="preserve"> su conformación y el establecimiento de sus atribuciones específicas son fundamentales para asegurar que la reserva o clasificación de la información no sea en detrimento del ejercicio del DAI ni de un bien público mayor.</w:t>
      </w:r>
    </w:p>
    <w:p w14:paraId="08B4FCC9" w14:textId="77C94033" w:rsidR="001256F9" w:rsidRPr="00A81E58" w:rsidRDefault="00917F81" w:rsidP="00FC0ABC">
      <w:pPr>
        <w:pStyle w:val="Ttulo1"/>
      </w:pPr>
      <w:r>
        <w:t xml:space="preserve">Criterio </w:t>
      </w:r>
      <w:r w:rsidR="00BA7024">
        <w:t>71</w:t>
      </w:r>
      <w:r w:rsidR="001256F9" w:rsidRPr="00A81E58">
        <w:t>. Los sujetos obligados cuentan con</w:t>
      </w:r>
      <w:r w:rsidR="001256F9">
        <w:t xml:space="preserve"> un órgano interno de revisión (OIR)</w:t>
      </w:r>
    </w:p>
    <w:p w14:paraId="22525189" w14:textId="77777777" w:rsidR="001256F9" w:rsidRDefault="001256F9" w:rsidP="001256F9">
      <w:pPr>
        <w:jc w:val="both"/>
        <w:rPr>
          <w:sz w:val="24"/>
        </w:rPr>
      </w:pPr>
      <w:r w:rsidRPr="00A81E58">
        <w:rPr>
          <w:b/>
          <w:sz w:val="24"/>
        </w:rPr>
        <w:t>Descripción.</w:t>
      </w:r>
      <w:r>
        <w:rPr>
          <w:sz w:val="24"/>
        </w:rPr>
        <w:t xml:space="preserve"> </w:t>
      </w:r>
      <w:r w:rsidRPr="00A81E58">
        <w:rPr>
          <w:sz w:val="24"/>
        </w:rPr>
        <w:t>Es fundamental</w:t>
      </w:r>
      <w:r>
        <w:rPr>
          <w:sz w:val="24"/>
        </w:rPr>
        <w:t xml:space="preserve"> que cada sujeto obligado cuente</w:t>
      </w:r>
      <w:r w:rsidRPr="00A81E58">
        <w:rPr>
          <w:sz w:val="24"/>
        </w:rPr>
        <w:t xml:space="preserve"> con un OIR que </w:t>
      </w:r>
      <w:r>
        <w:rPr>
          <w:sz w:val="24"/>
        </w:rPr>
        <w:t>resuelva</w:t>
      </w:r>
      <w:r w:rsidRPr="00A81E58">
        <w:rPr>
          <w:sz w:val="24"/>
        </w:rPr>
        <w:t xml:space="preserve"> la clasificación o reserva de la información determinada por la unidad </w:t>
      </w:r>
      <w:r>
        <w:rPr>
          <w:sz w:val="24"/>
        </w:rPr>
        <w:t>administrativa correspondiente, a través de la deliberación y reflexión sobre la aplicación de los principios de transparencia y acceso a la información pública</w:t>
      </w:r>
      <w:r w:rsidRPr="00A81E58">
        <w:rPr>
          <w:sz w:val="24"/>
        </w:rPr>
        <w:t>.</w:t>
      </w:r>
    </w:p>
    <w:p w14:paraId="4B0EB62E" w14:textId="65001353" w:rsidR="001256F9" w:rsidRPr="00310FDF" w:rsidRDefault="001256F9" w:rsidP="00847225">
      <w:pPr>
        <w:pBdr>
          <w:bottom w:val="single" w:sz="4" w:space="1" w:color="auto"/>
        </w:pBdr>
        <w:jc w:val="both"/>
        <w:rPr>
          <w:sz w:val="24"/>
        </w:rPr>
      </w:pPr>
      <w:r w:rsidRPr="00310FDF">
        <w:rPr>
          <w:b/>
          <w:sz w:val="24"/>
        </w:rPr>
        <w:t>Calificación</w:t>
      </w:r>
      <w:r w:rsidRPr="00310FDF">
        <w:rPr>
          <w:sz w:val="24"/>
        </w:rPr>
        <w:t xml:space="preserve">. </w:t>
      </w:r>
      <w:r w:rsidR="00A35837">
        <w:rPr>
          <w:sz w:val="24"/>
        </w:rPr>
        <w:t>El m</w:t>
      </w:r>
      <w:r>
        <w:rPr>
          <w:sz w:val="24"/>
        </w:rPr>
        <w:t xml:space="preserve">arco normativo considera la instalación del órgano interno de revisión. </w:t>
      </w:r>
    </w:p>
    <w:p w14:paraId="0E6FF282" w14:textId="7208C44F" w:rsidR="001256F9" w:rsidRPr="00F401E2" w:rsidRDefault="00917F81" w:rsidP="00FC0ABC">
      <w:pPr>
        <w:pStyle w:val="Ttulo1"/>
      </w:pPr>
      <w:r>
        <w:t xml:space="preserve">Criterio </w:t>
      </w:r>
      <w:r w:rsidR="00847225">
        <w:t>72</w:t>
      </w:r>
      <w:r w:rsidR="001256F9" w:rsidRPr="00F401E2">
        <w:t>. El órgano in</w:t>
      </w:r>
      <w:r w:rsidR="001256F9">
        <w:t>terno de revisión es colegiado</w:t>
      </w:r>
    </w:p>
    <w:p w14:paraId="77B71900" w14:textId="4D26EE3D" w:rsidR="001256F9" w:rsidRPr="00F401E2" w:rsidRDefault="001256F9" w:rsidP="001256F9">
      <w:pPr>
        <w:jc w:val="both"/>
        <w:rPr>
          <w:sz w:val="24"/>
        </w:rPr>
      </w:pPr>
      <w:r w:rsidRPr="00F401E2">
        <w:rPr>
          <w:b/>
          <w:sz w:val="24"/>
        </w:rPr>
        <w:t>Descripción.</w:t>
      </w:r>
      <w:r>
        <w:rPr>
          <w:sz w:val="24"/>
        </w:rPr>
        <w:t xml:space="preserve"> El</w:t>
      </w:r>
      <w:r w:rsidRPr="00F401E2">
        <w:rPr>
          <w:sz w:val="24"/>
        </w:rPr>
        <w:t xml:space="preserve"> órgano de revisión de la clasificación de la información al interior del sujeto obligado </w:t>
      </w:r>
      <w:r w:rsidR="00A35837">
        <w:rPr>
          <w:sz w:val="24"/>
        </w:rPr>
        <w:t>debe ser</w:t>
      </w:r>
      <w:r w:rsidRPr="00F401E2">
        <w:rPr>
          <w:sz w:val="24"/>
        </w:rPr>
        <w:t xml:space="preserve"> colegiado </w:t>
      </w:r>
      <w:r>
        <w:rPr>
          <w:sz w:val="24"/>
        </w:rPr>
        <w:t xml:space="preserve">para generar mayor legitimidad, pues se verá obligado </w:t>
      </w:r>
      <w:r w:rsidR="00A35837">
        <w:rPr>
          <w:sz w:val="24"/>
        </w:rPr>
        <w:t xml:space="preserve">a </w:t>
      </w:r>
      <w:r>
        <w:rPr>
          <w:sz w:val="24"/>
        </w:rPr>
        <w:t>motivar sus decisiones a partir de la diversidad de</w:t>
      </w:r>
      <w:r w:rsidRPr="00F401E2">
        <w:rPr>
          <w:sz w:val="24"/>
        </w:rPr>
        <w:t xml:space="preserve"> opiniones </w:t>
      </w:r>
      <w:r>
        <w:rPr>
          <w:sz w:val="24"/>
        </w:rPr>
        <w:t xml:space="preserve">de </w:t>
      </w:r>
      <w:r w:rsidR="00A35837">
        <w:rPr>
          <w:sz w:val="24"/>
        </w:rPr>
        <w:t xml:space="preserve">sus </w:t>
      </w:r>
      <w:r>
        <w:rPr>
          <w:sz w:val="24"/>
        </w:rPr>
        <w:t>miembros.</w:t>
      </w:r>
    </w:p>
    <w:p w14:paraId="4647028C" w14:textId="2F86E5AF" w:rsidR="001256F9" w:rsidRDefault="001256F9" w:rsidP="001256F9">
      <w:pPr>
        <w:jc w:val="both"/>
        <w:rPr>
          <w:sz w:val="24"/>
        </w:rPr>
      </w:pPr>
      <w:r>
        <w:rPr>
          <w:sz w:val="24"/>
        </w:rPr>
        <w:lastRenderedPageBreak/>
        <w:t xml:space="preserve">Es deseable </w:t>
      </w:r>
      <w:r w:rsidRPr="00F401E2">
        <w:rPr>
          <w:sz w:val="24"/>
        </w:rPr>
        <w:t xml:space="preserve">que la composición </w:t>
      </w:r>
      <w:r>
        <w:rPr>
          <w:sz w:val="24"/>
        </w:rPr>
        <w:t>de los OIR o similares se integre por</w:t>
      </w:r>
      <w:r w:rsidR="00A35837">
        <w:rPr>
          <w:sz w:val="24"/>
        </w:rPr>
        <w:t>,</w:t>
      </w:r>
      <w:r>
        <w:rPr>
          <w:sz w:val="24"/>
        </w:rPr>
        <w:t xml:space="preserve"> al menos, el titular del sujeto obligado, </w:t>
      </w:r>
      <w:r w:rsidR="00A35837">
        <w:rPr>
          <w:sz w:val="24"/>
        </w:rPr>
        <w:t xml:space="preserve">el </w:t>
      </w:r>
      <w:r w:rsidRPr="00F401E2">
        <w:rPr>
          <w:sz w:val="24"/>
        </w:rPr>
        <w:t>director de asuntos jurídicos y el titular de la unidad de información</w:t>
      </w:r>
      <w:r>
        <w:rPr>
          <w:sz w:val="24"/>
        </w:rPr>
        <w:t>.</w:t>
      </w:r>
      <w:r w:rsidRPr="00F260CF">
        <w:rPr>
          <w:sz w:val="24"/>
          <w:vertAlign w:val="superscript"/>
        </w:rPr>
        <w:footnoteReference w:id="35"/>
      </w:r>
    </w:p>
    <w:p w14:paraId="2D397DEA" w14:textId="65263FC4" w:rsidR="001256F9" w:rsidRPr="00310FDF" w:rsidRDefault="001256F9" w:rsidP="00847225">
      <w:pPr>
        <w:pBdr>
          <w:bottom w:val="single" w:sz="4" w:space="1" w:color="auto"/>
        </w:pBdr>
        <w:jc w:val="both"/>
        <w:rPr>
          <w:sz w:val="24"/>
        </w:rPr>
      </w:pPr>
      <w:r w:rsidRPr="00310FDF">
        <w:rPr>
          <w:b/>
          <w:sz w:val="24"/>
        </w:rPr>
        <w:t>Calificación</w:t>
      </w:r>
      <w:r w:rsidRPr="00310FDF">
        <w:rPr>
          <w:sz w:val="24"/>
        </w:rPr>
        <w:t>.</w:t>
      </w:r>
      <w:r>
        <w:rPr>
          <w:sz w:val="24"/>
        </w:rPr>
        <w:t xml:space="preserve"> El marco obliga la instalación del OIR como órgano</w:t>
      </w:r>
      <w:r w:rsidR="00FC570D">
        <w:rPr>
          <w:sz w:val="24"/>
        </w:rPr>
        <w:t xml:space="preserve"> </w:t>
      </w:r>
      <w:r>
        <w:rPr>
          <w:sz w:val="24"/>
        </w:rPr>
        <w:t>colegiado.</w:t>
      </w:r>
    </w:p>
    <w:p w14:paraId="11A057AC" w14:textId="5C56424A" w:rsidR="001256F9" w:rsidRPr="00E54642" w:rsidRDefault="001256F9" w:rsidP="00FC0ABC">
      <w:pPr>
        <w:pStyle w:val="Ttulo1"/>
      </w:pPr>
      <w:r>
        <w:t xml:space="preserve">Criterio </w:t>
      </w:r>
      <w:r w:rsidR="00847225">
        <w:t>73</w:t>
      </w:r>
      <w:r w:rsidRPr="00E54642">
        <w:t>. Conocer en todo momento la información reservada o confidencial del sujeto obligado</w:t>
      </w:r>
    </w:p>
    <w:p w14:paraId="4F5016E8" w14:textId="696AE0E1" w:rsidR="001256F9" w:rsidRDefault="001256F9" w:rsidP="001256F9">
      <w:pPr>
        <w:jc w:val="both"/>
        <w:rPr>
          <w:sz w:val="24"/>
        </w:rPr>
      </w:pPr>
      <w:r w:rsidRPr="005473C4">
        <w:rPr>
          <w:b/>
          <w:sz w:val="24"/>
        </w:rPr>
        <w:t>Descripción.</w:t>
      </w:r>
      <w:r>
        <w:rPr>
          <w:sz w:val="24"/>
        </w:rPr>
        <w:t xml:space="preserve"> </w:t>
      </w:r>
      <w:r w:rsidRPr="00E54642">
        <w:rPr>
          <w:sz w:val="24"/>
        </w:rPr>
        <w:t xml:space="preserve">El procedimiento de reserva y clasificación de la información debe realizarse de manera transparente al interior del ente público, por lo cual es fundamental que los </w:t>
      </w:r>
      <w:r w:rsidR="00ED1C88">
        <w:rPr>
          <w:sz w:val="24"/>
        </w:rPr>
        <w:t xml:space="preserve">OIR </w:t>
      </w:r>
      <w:r>
        <w:rPr>
          <w:sz w:val="24"/>
        </w:rPr>
        <w:t>conozcan la</w:t>
      </w:r>
      <w:r w:rsidRPr="00E54642">
        <w:rPr>
          <w:sz w:val="24"/>
        </w:rPr>
        <w:t xml:space="preserve"> información en cualquier momento</w:t>
      </w:r>
      <w:r>
        <w:rPr>
          <w:sz w:val="24"/>
        </w:rPr>
        <w:t>.</w:t>
      </w:r>
    </w:p>
    <w:p w14:paraId="4E8BAFAD" w14:textId="379023D3" w:rsidR="001256F9" w:rsidRPr="00310FDF" w:rsidRDefault="001256F9" w:rsidP="00847225">
      <w:pPr>
        <w:pBdr>
          <w:bottom w:val="single" w:sz="4" w:space="1" w:color="auto"/>
        </w:pBdr>
        <w:jc w:val="both"/>
        <w:rPr>
          <w:sz w:val="24"/>
        </w:rPr>
      </w:pPr>
      <w:r w:rsidRPr="00310FDF">
        <w:rPr>
          <w:b/>
          <w:sz w:val="24"/>
        </w:rPr>
        <w:t>Calificación</w:t>
      </w:r>
      <w:r w:rsidRPr="00310FDF">
        <w:rPr>
          <w:sz w:val="24"/>
        </w:rPr>
        <w:t>.</w:t>
      </w:r>
      <w:r>
        <w:rPr>
          <w:sz w:val="24"/>
        </w:rPr>
        <w:t xml:space="preserve"> El marco obliga al OIR</w:t>
      </w:r>
      <w:r w:rsidR="00ED1C88">
        <w:rPr>
          <w:sz w:val="24"/>
        </w:rPr>
        <w:t xml:space="preserve"> a</w:t>
      </w:r>
      <w:r>
        <w:rPr>
          <w:sz w:val="24"/>
        </w:rPr>
        <w:t xml:space="preserve"> conocer </w:t>
      </w:r>
      <w:r w:rsidR="007B2A84">
        <w:rPr>
          <w:sz w:val="24"/>
        </w:rPr>
        <w:t xml:space="preserve">oportunamente </w:t>
      </w:r>
      <w:r>
        <w:rPr>
          <w:sz w:val="24"/>
        </w:rPr>
        <w:t>la información reservada o confidencial</w:t>
      </w:r>
      <w:r w:rsidR="00847225">
        <w:rPr>
          <w:sz w:val="24"/>
        </w:rPr>
        <w:t xml:space="preserve"> sin ningún tipo de restricción</w:t>
      </w:r>
      <w:r>
        <w:rPr>
          <w:sz w:val="24"/>
        </w:rPr>
        <w:t xml:space="preserve">. </w:t>
      </w:r>
    </w:p>
    <w:p w14:paraId="5FDF612E" w14:textId="09368938" w:rsidR="001256F9" w:rsidRPr="005473C4" w:rsidRDefault="001256F9" w:rsidP="00FC0ABC">
      <w:pPr>
        <w:pStyle w:val="Ttulo1"/>
      </w:pPr>
      <w:r>
        <w:t xml:space="preserve">Criterio </w:t>
      </w:r>
      <w:r w:rsidR="00DD1E7E">
        <w:t>74</w:t>
      </w:r>
      <w:r w:rsidRPr="005473C4">
        <w:t>. Confirmar, modificar o revocar la clasificación de la información hecha por las unidades administrativas</w:t>
      </w:r>
    </w:p>
    <w:p w14:paraId="179FF9AE" w14:textId="7D4EEEEF" w:rsidR="001256F9" w:rsidRPr="00080BE1" w:rsidRDefault="001256F9" w:rsidP="001256F9">
      <w:pPr>
        <w:jc w:val="both"/>
        <w:rPr>
          <w:sz w:val="24"/>
        </w:rPr>
      </w:pPr>
      <w:r>
        <w:rPr>
          <w:b/>
          <w:sz w:val="24"/>
        </w:rPr>
        <w:t xml:space="preserve">Descripción. </w:t>
      </w:r>
      <w:r>
        <w:rPr>
          <w:sz w:val="24"/>
        </w:rPr>
        <w:t>La</w:t>
      </w:r>
      <w:r w:rsidRPr="00080BE1">
        <w:rPr>
          <w:sz w:val="24"/>
        </w:rPr>
        <w:t xml:space="preserve"> información </w:t>
      </w:r>
      <w:r>
        <w:rPr>
          <w:sz w:val="24"/>
        </w:rPr>
        <w:t>pública se encuentra bajo el resguardo de los sujetos obligados</w:t>
      </w:r>
      <w:r w:rsidRPr="00080BE1">
        <w:rPr>
          <w:sz w:val="24"/>
        </w:rPr>
        <w:t xml:space="preserve"> y solamente de manera excepcional podrá reservarse, obligando a la autoridad a fund</w:t>
      </w:r>
      <w:r>
        <w:rPr>
          <w:sz w:val="24"/>
        </w:rPr>
        <w:t xml:space="preserve">amentar y justificar la reserva, </w:t>
      </w:r>
      <w:r w:rsidRPr="00080BE1">
        <w:rPr>
          <w:sz w:val="24"/>
        </w:rPr>
        <w:t>así como a señalar el daño en caso de difundirla</w:t>
      </w:r>
      <w:r>
        <w:rPr>
          <w:sz w:val="24"/>
        </w:rPr>
        <w:t>. En ese proceso</w:t>
      </w:r>
      <w:r w:rsidRPr="00080BE1">
        <w:rPr>
          <w:sz w:val="24"/>
        </w:rPr>
        <w:t>, debe asegurarse que este procedimiento se realice bajo la vigilancia de una figura legal y administrativa que de manera colegiada pueda confirmar, modificar o revocar la cl</w:t>
      </w:r>
      <w:r>
        <w:rPr>
          <w:sz w:val="24"/>
        </w:rPr>
        <w:t>asificación de la información.</w:t>
      </w:r>
    </w:p>
    <w:p w14:paraId="6F3A4520" w14:textId="77777777" w:rsidR="001256F9" w:rsidRPr="00310FDF" w:rsidRDefault="001256F9" w:rsidP="00DD1E7E">
      <w:pPr>
        <w:pBdr>
          <w:bottom w:val="single" w:sz="4" w:space="1" w:color="auto"/>
        </w:pBdr>
        <w:jc w:val="both"/>
        <w:rPr>
          <w:sz w:val="24"/>
        </w:rPr>
      </w:pPr>
      <w:r w:rsidRPr="00310FDF">
        <w:rPr>
          <w:b/>
          <w:sz w:val="24"/>
        </w:rPr>
        <w:t>Calificación</w:t>
      </w:r>
      <w:r w:rsidRPr="00310FDF">
        <w:rPr>
          <w:sz w:val="24"/>
        </w:rPr>
        <w:t>.</w:t>
      </w:r>
      <w:r>
        <w:rPr>
          <w:sz w:val="24"/>
        </w:rPr>
        <w:t xml:space="preserve"> El marco otorga atribuciones al OIR para </w:t>
      </w:r>
      <w:r w:rsidRPr="00080BE1">
        <w:rPr>
          <w:sz w:val="24"/>
        </w:rPr>
        <w:t>confirmar, modificar o revocar la cl</w:t>
      </w:r>
      <w:r>
        <w:rPr>
          <w:sz w:val="24"/>
        </w:rPr>
        <w:t xml:space="preserve">asificación de la información. </w:t>
      </w:r>
    </w:p>
    <w:p w14:paraId="53CAC296" w14:textId="77777777" w:rsidR="00082E42" w:rsidRDefault="00082E42" w:rsidP="00FC0ABC">
      <w:pPr>
        <w:pStyle w:val="Ttulo1"/>
      </w:pPr>
    </w:p>
    <w:p w14:paraId="297AD051" w14:textId="47FBEE61" w:rsidR="001256F9" w:rsidRPr="00870BFB" w:rsidRDefault="00704326" w:rsidP="00FC0ABC">
      <w:pPr>
        <w:pStyle w:val="Ttulo1"/>
      </w:pPr>
      <w:r>
        <w:lastRenderedPageBreak/>
        <w:t>Criterio 75</w:t>
      </w:r>
      <w:r w:rsidR="001256F9" w:rsidRPr="00870BFB">
        <w:t>. Facultad de obligar a las y los funcionarios públicos del sujeto obligado a generar información conforme a sus atribuciones y facultades</w:t>
      </w:r>
    </w:p>
    <w:p w14:paraId="67967848" w14:textId="658A1E2D" w:rsidR="001256F9" w:rsidRDefault="001256F9" w:rsidP="001256F9">
      <w:pPr>
        <w:jc w:val="both"/>
        <w:rPr>
          <w:sz w:val="24"/>
        </w:rPr>
      </w:pPr>
      <w:r>
        <w:rPr>
          <w:b/>
          <w:sz w:val="24"/>
        </w:rPr>
        <w:t xml:space="preserve">Descripción. </w:t>
      </w:r>
      <w:r>
        <w:rPr>
          <w:sz w:val="24"/>
        </w:rPr>
        <w:t>La</w:t>
      </w:r>
      <w:r w:rsidRPr="00870BFB">
        <w:rPr>
          <w:sz w:val="24"/>
        </w:rPr>
        <w:t xml:space="preserve"> facultad </w:t>
      </w:r>
      <w:r>
        <w:rPr>
          <w:sz w:val="24"/>
        </w:rPr>
        <w:t xml:space="preserve">del </w:t>
      </w:r>
      <w:r w:rsidRPr="00870BFB">
        <w:rPr>
          <w:sz w:val="24"/>
        </w:rPr>
        <w:t xml:space="preserve">OIR </w:t>
      </w:r>
      <w:r>
        <w:rPr>
          <w:sz w:val="24"/>
        </w:rPr>
        <w:t xml:space="preserve">para </w:t>
      </w:r>
      <w:r w:rsidR="00207E82" w:rsidRPr="00207E82">
        <w:rPr>
          <w:sz w:val="24"/>
        </w:rPr>
        <w:t>instar</w:t>
      </w:r>
      <w:r>
        <w:rPr>
          <w:sz w:val="24"/>
        </w:rPr>
        <w:t xml:space="preserve"> al</w:t>
      </w:r>
      <w:r w:rsidRPr="00870BFB">
        <w:rPr>
          <w:sz w:val="24"/>
        </w:rPr>
        <w:t xml:space="preserve"> </w:t>
      </w:r>
      <w:r w:rsidR="00207E82" w:rsidRPr="00870BFB">
        <w:rPr>
          <w:sz w:val="24"/>
        </w:rPr>
        <w:t xml:space="preserve">sujeto obligado </w:t>
      </w:r>
      <w:r w:rsidRPr="00870BFB">
        <w:rPr>
          <w:sz w:val="24"/>
        </w:rPr>
        <w:t xml:space="preserve">a </w:t>
      </w:r>
      <w:r>
        <w:rPr>
          <w:sz w:val="24"/>
        </w:rPr>
        <w:t xml:space="preserve">difundir </w:t>
      </w:r>
      <w:r w:rsidRPr="00870BFB">
        <w:rPr>
          <w:sz w:val="24"/>
        </w:rPr>
        <w:t xml:space="preserve">información </w:t>
      </w:r>
      <w:r>
        <w:rPr>
          <w:sz w:val="24"/>
        </w:rPr>
        <w:t>sobre las</w:t>
      </w:r>
      <w:r w:rsidRPr="00870BFB">
        <w:rPr>
          <w:sz w:val="24"/>
        </w:rPr>
        <w:t xml:space="preserve"> funciones y responsabilidades </w:t>
      </w:r>
      <w:r>
        <w:rPr>
          <w:sz w:val="24"/>
        </w:rPr>
        <w:t>públicas, permite</w:t>
      </w:r>
      <w:r w:rsidRPr="00870BFB">
        <w:rPr>
          <w:sz w:val="24"/>
        </w:rPr>
        <w:t xml:space="preserve"> avanzar hacia una cultura de la transparencia</w:t>
      </w:r>
      <w:r>
        <w:rPr>
          <w:sz w:val="24"/>
        </w:rPr>
        <w:t xml:space="preserve"> </w:t>
      </w:r>
      <w:r w:rsidR="00A476ED">
        <w:rPr>
          <w:sz w:val="24"/>
        </w:rPr>
        <w:t>y refuerza</w:t>
      </w:r>
      <w:r>
        <w:rPr>
          <w:sz w:val="24"/>
        </w:rPr>
        <w:t xml:space="preserve"> las acciones de proactividad que debe tener el sujeto obligado</w:t>
      </w:r>
      <w:r w:rsidRPr="00870BFB">
        <w:rPr>
          <w:sz w:val="24"/>
        </w:rPr>
        <w:t>.</w:t>
      </w:r>
    </w:p>
    <w:p w14:paraId="12915F97" w14:textId="6544B138" w:rsidR="001256F9" w:rsidRPr="00310FDF" w:rsidRDefault="001256F9" w:rsidP="009A0997">
      <w:pPr>
        <w:pBdr>
          <w:bottom w:val="single" w:sz="4" w:space="1" w:color="auto"/>
        </w:pBdr>
        <w:jc w:val="both"/>
        <w:rPr>
          <w:sz w:val="24"/>
        </w:rPr>
      </w:pPr>
      <w:r w:rsidRPr="00310FDF">
        <w:rPr>
          <w:b/>
          <w:sz w:val="24"/>
        </w:rPr>
        <w:t>Calificación</w:t>
      </w:r>
      <w:r w:rsidRPr="00310FDF">
        <w:rPr>
          <w:sz w:val="24"/>
        </w:rPr>
        <w:t>.</w:t>
      </w:r>
      <w:r>
        <w:rPr>
          <w:sz w:val="24"/>
        </w:rPr>
        <w:t xml:space="preserve"> </w:t>
      </w:r>
      <w:r w:rsidR="00207E82">
        <w:rPr>
          <w:sz w:val="24"/>
        </w:rPr>
        <w:t>El m</w:t>
      </w:r>
      <w:r>
        <w:rPr>
          <w:sz w:val="24"/>
        </w:rPr>
        <w:t>arco legal faculta a</w:t>
      </w:r>
      <w:r w:rsidR="00207E82">
        <w:rPr>
          <w:sz w:val="24"/>
        </w:rPr>
        <w:t>l</w:t>
      </w:r>
      <w:r>
        <w:rPr>
          <w:sz w:val="24"/>
        </w:rPr>
        <w:t xml:space="preserve"> OIR para </w:t>
      </w:r>
      <w:r w:rsidR="00207E82">
        <w:rPr>
          <w:sz w:val="24"/>
        </w:rPr>
        <w:t>exigir</w:t>
      </w:r>
      <w:r>
        <w:rPr>
          <w:sz w:val="24"/>
        </w:rPr>
        <w:t xml:space="preserve"> al sujeto obligado a </w:t>
      </w:r>
      <w:r w:rsidR="009A0997">
        <w:rPr>
          <w:sz w:val="24"/>
        </w:rPr>
        <w:t>generar</w:t>
      </w:r>
      <w:r>
        <w:rPr>
          <w:sz w:val="24"/>
        </w:rPr>
        <w:t xml:space="preserve"> información sobre las funciones y responsabilidades </w:t>
      </w:r>
      <w:r w:rsidR="009A0997">
        <w:rPr>
          <w:sz w:val="24"/>
        </w:rPr>
        <w:t>cuando ésta sea declarada inexistente.</w:t>
      </w:r>
    </w:p>
    <w:p w14:paraId="6E0CD9E0" w14:textId="2DF1A3BE" w:rsidR="001256F9" w:rsidRPr="006757A4" w:rsidRDefault="00C52496" w:rsidP="00FC0ABC">
      <w:pPr>
        <w:pStyle w:val="Ttulo1"/>
      </w:pPr>
      <w:r>
        <w:t>Criterio 76</w:t>
      </w:r>
      <w:r w:rsidR="001256F9" w:rsidRPr="006757A4">
        <w:t xml:space="preserve">. Hacer la declaración de </w:t>
      </w:r>
      <w:r w:rsidR="001256F9">
        <w:t>inexistencia de la información</w:t>
      </w:r>
    </w:p>
    <w:p w14:paraId="7E0F6526" w14:textId="6CC3E471" w:rsidR="001256F9" w:rsidRDefault="001256F9" w:rsidP="001256F9">
      <w:pPr>
        <w:jc w:val="both"/>
        <w:rPr>
          <w:sz w:val="24"/>
        </w:rPr>
      </w:pPr>
      <w:r>
        <w:rPr>
          <w:b/>
          <w:sz w:val="24"/>
        </w:rPr>
        <w:t xml:space="preserve">Descripción. </w:t>
      </w:r>
      <w:r w:rsidR="00207E82" w:rsidRPr="00FC0ABC">
        <w:rPr>
          <w:sz w:val="24"/>
        </w:rPr>
        <w:t>Declarar inexistente una información e</w:t>
      </w:r>
      <w:r w:rsidRPr="00207E82">
        <w:rPr>
          <w:sz w:val="24"/>
        </w:rPr>
        <w:t>s</w:t>
      </w:r>
      <w:r>
        <w:rPr>
          <w:sz w:val="24"/>
        </w:rPr>
        <w:t xml:space="preserve"> una de las funciones</w:t>
      </w:r>
      <w:r w:rsidRPr="006757A4">
        <w:rPr>
          <w:sz w:val="24"/>
        </w:rPr>
        <w:t xml:space="preserve"> importantes de los </w:t>
      </w:r>
      <w:r>
        <w:rPr>
          <w:sz w:val="24"/>
        </w:rPr>
        <w:t xml:space="preserve">OIR o </w:t>
      </w:r>
      <w:r w:rsidRPr="006757A4">
        <w:rPr>
          <w:sz w:val="24"/>
        </w:rPr>
        <w:t>Comités de Información en el ejercicio del derecho de acceso a la información. Las declaratorias de inexistencia de la información constituyen un acto formal</w:t>
      </w:r>
      <w:r>
        <w:rPr>
          <w:sz w:val="24"/>
        </w:rPr>
        <w:t>,</w:t>
      </w:r>
      <w:r w:rsidRPr="006757A4">
        <w:rPr>
          <w:sz w:val="24"/>
        </w:rPr>
        <w:t xml:space="preserve"> por medio del cual los </w:t>
      </w:r>
      <w:r w:rsidR="00207E82">
        <w:rPr>
          <w:sz w:val="24"/>
        </w:rPr>
        <w:t>OIR</w:t>
      </w:r>
      <w:r w:rsidRPr="006757A4">
        <w:rPr>
          <w:sz w:val="24"/>
        </w:rPr>
        <w:t xml:space="preserve"> garantizan la inexistencia de información</w:t>
      </w:r>
      <w:r>
        <w:rPr>
          <w:sz w:val="24"/>
        </w:rPr>
        <w:t>,</w:t>
      </w:r>
      <w:r w:rsidRPr="006757A4">
        <w:rPr>
          <w:sz w:val="24"/>
        </w:rPr>
        <w:t xml:space="preserve"> tras haber sido ampliamente demostrad</w:t>
      </w:r>
      <w:r w:rsidR="00207E82">
        <w:rPr>
          <w:sz w:val="24"/>
        </w:rPr>
        <w:t>a</w:t>
      </w:r>
      <w:r w:rsidRPr="006757A4">
        <w:rPr>
          <w:sz w:val="24"/>
        </w:rPr>
        <w:t xml:space="preserve"> </w:t>
      </w:r>
      <w:r w:rsidR="00207E82">
        <w:rPr>
          <w:sz w:val="24"/>
        </w:rPr>
        <w:t xml:space="preserve">su </w:t>
      </w:r>
      <w:r w:rsidRPr="006757A4">
        <w:rPr>
          <w:sz w:val="24"/>
        </w:rPr>
        <w:t>búsqueda exhaustiva.</w:t>
      </w:r>
      <w:r w:rsidR="00FC570D">
        <w:rPr>
          <w:sz w:val="24"/>
        </w:rPr>
        <w:t xml:space="preserve"> </w:t>
      </w:r>
      <w:r w:rsidRPr="006757A4">
        <w:rPr>
          <w:sz w:val="24"/>
        </w:rPr>
        <w:t xml:space="preserve">Por lo tanto, </w:t>
      </w:r>
      <w:r w:rsidR="00207E82">
        <w:rPr>
          <w:sz w:val="24"/>
        </w:rPr>
        <w:t xml:space="preserve">tales declaraciones </w:t>
      </w:r>
      <w:r w:rsidRPr="006757A4">
        <w:rPr>
          <w:sz w:val="24"/>
        </w:rPr>
        <w:t xml:space="preserve">deben contar con todas las formalidades necesarias y se debe evitar </w:t>
      </w:r>
      <w:r w:rsidR="00207E82">
        <w:rPr>
          <w:sz w:val="24"/>
        </w:rPr>
        <w:t>su</w:t>
      </w:r>
      <w:r w:rsidR="00207E82" w:rsidRPr="006757A4">
        <w:rPr>
          <w:sz w:val="24"/>
        </w:rPr>
        <w:t xml:space="preserve"> </w:t>
      </w:r>
      <w:r w:rsidRPr="006757A4">
        <w:rPr>
          <w:sz w:val="24"/>
        </w:rPr>
        <w:t>uso desproporcionado porque obstaculiza el acceso a la información.</w:t>
      </w:r>
    </w:p>
    <w:p w14:paraId="2FA86FE5" w14:textId="53D19BE6" w:rsidR="001256F9" w:rsidRPr="00310FDF" w:rsidRDefault="001256F9" w:rsidP="002343F4">
      <w:pPr>
        <w:pBdr>
          <w:bottom w:val="single" w:sz="4" w:space="1" w:color="auto"/>
        </w:pBdr>
        <w:jc w:val="both"/>
        <w:rPr>
          <w:sz w:val="24"/>
        </w:rPr>
      </w:pPr>
      <w:r w:rsidRPr="00310FDF">
        <w:rPr>
          <w:b/>
          <w:sz w:val="24"/>
        </w:rPr>
        <w:t>Calificación</w:t>
      </w:r>
      <w:r w:rsidRPr="00310FDF">
        <w:rPr>
          <w:sz w:val="24"/>
        </w:rPr>
        <w:t>.</w:t>
      </w:r>
      <w:r>
        <w:rPr>
          <w:sz w:val="24"/>
        </w:rPr>
        <w:t xml:space="preserve"> </w:t>
      </w:r>
      <w:r w:rsidR="00710B59">
        <w:rPr>
          <w:sz w:val="24"/>
        </w:rPr>
        <w:t>El m</w:t>
      </w:r>
      <w:r>
        <w:rPr>
          <w:sz w:val="24"/>
        </w:rPr>
        <w:t xml:space="preserve">arco legal faculta a la OIR para hacer declaraciones </w:t>
      </w:r>
      <w:r w:rsidR="00E2733B">
        <w:rPr>
          <w:sz w:val="24"/>
        </w:rPr>
        <w:t xml:space="preserve">sustentadas </w:t>
      </w:r>
      <w:r>
        <w:rPr>
          <w:sz w:val="24"/>
        </w:rPr>
        <w:t xml:space="preserve">de inexistencia de información. </w:t>
      </w:r>
    </w:p>
    <w:p w14:paraId="6BD97F3A" w14:textId="77777777" w:rsidR="001256F9" w:rsidRPr="00357A91" w:rsidRDefault="001256F9" w:rsidP="00D34DDD">
      <w:pPr>
        <w:pStyle w:val="Ttulo1"/>
        <w:numPr>
          <w:ilvl w:val="0"/>
          <w:numId w:val="2"/>
        </w:numPr>
        <w:rPr>
          <w:b w:val="0"/>
        </w:rPr>
      </w:pPr>
      <w:bookmarkStart w:id="12" w:name="_Órganos_garantes_de"/>
      <w:bookmarkEnd w:id="12"/>
      <w:r w:rsidRPr="00357A91">
        <w:t>Órganos garantes de la transparencia: naturaleza jurídica</w:t>
      </w:r>
    </w:p>
    <w:p w14:paraId="11F2C883" w14:textId="2B569874" w:rsidR="001256F9" w:rsidRPr="00357A91" w:rsidRDefault="001256F9" w:rsidP="001256F9">
      <w:pPr>
        <w:jc w:val="both"/>
        <w:rPr>
          <w:sz w:val="24"/>
        </w:rPr>
      </w:pPr>
      <w:r w:rsidRPr="00357A91">
        <w:rPr>
          <w:sz w:val="24"/>
        </w:rPr>
        <w:t>El órgano garante de la transparencia es el organismo encargado de salvaguardar el derecho de acces</w:t>
      </w:r>
      <w:r>
        <w:rPr>
          <w:sz w:val="24"/>
        </w:rPr>
        <w:t>o a la información. El cumplimiento cabal</w:t>
      </w:r>
      <w:r w:rsidRPr="00357A91">
        <w:rPr>
          <w:sz w:val="24"/>
        </w:rPr>
        <w:t xml:space="preserve"> </w:t>
      </w:r>
      <w:r>
        <w:rPr>
          <w:sz w:val="24"/>
        </w:rPr>
        <w:t>del</w:t>
      </w:r>
      <w:r w:rsidRPr="00357A91">
        <w:rPr>
          <w:sz w:val="24"/>
        </w:rPr>
        <w:t xml:space="preserve"> mandato debe reunir ciertas características establecidas en el marco de las leyes en la materia que aseguren un funcionamiento especializado e independiente de los poderes públicos. </w:t>
      </w:r>
    </w:p>
    <w:p w14:paraId="2A03078F" w14:textId="34236213" w:rsidR="001256F9" w:rsidRPr="00357A91" w:rsidRDefault="001256F9" w:rsidP="001256F9">
      <w:pPr>
        <w:jc w:val="both"/>
        <w:rPr>
          <w:sz w:val="24"/>
        </w:rPr>
      </w:pPr>
      <w:r w:rsidRPr="00357A91">
        <w:rPr>
          <w:sz w:val="24"/>
        </w:rPr>
        <w:t>Este indicador se compone de seis criterios</w:t>
      </w:r>
      <w:r>
        <w:rPr>
          <w:sz w:val="24"/>
        </w:rPr>
        <w:t>, que deben leerse adminiculados entre sí y requieren la presencia de todos para hacer efectiv</w:t>
      </w:r>
      <w:r w:rsidR="00335E57">
        <w:rPr>
          <w:sz w:val="24"/>
        </w:rPr>
        <w:t>a</w:t>
      </w:r>
      <w:r>
        <w:rPr>
          <w:sz w:val="24"/>
        </w:rPr>
        <w:t xml:space="preserve"> </w:t>
      </w:r>
      <w:r w:rsidRPr="00357A91">
        <w:rPr>
          <w:sz w:val="24"/>
        </w:rPr>
        <w:t>la actuación del órgano garante.</w:t>
      </w:r>
    </w:p>
    <w:p w14:paraId="5145B4BE" w14:textId="60592405" w:rsidR="001256F9" w:rsidRPr="00852305" w:rsidRDefault="001256F9" w:rsidP="00FC0ABC">
      <w:pPr>
        <w:pStyle w:val="Ttulo1"/>
      </w:pPr>
      <w:r>
        <w:lastRenderedPageBreak/>
        <w:t xml:space="preserve">Criterio </w:t>
      </w:r>
      <w:r w:rsidR="007C09ED">
        <w:t>77</w:t>
      </w:r>
      <w:r w:rsidRPr="00852305">
        <w:t>. Órgano especializado en transparencia y acceso a la información encargado de resolver controversias</w:t>
      </w:r>
    </w:p>
    <w:p w14:paraId="7A33B4E9" w14:textId="6DD31014" w:rsidR="001256F9" w:rsidRDefault="001256F9" w:rsidP="001256F9">
      <w:pPr>
        <w:jc w:val="both"/>
        <w:rPr>
          <w:sz w:val="24"/>
        </w:rPr>
      </w:pPr>
      <w:r>
        <w:rPr>
          <w:b/>
          <w:sz w:val="24"/>
        </w:rPr>
        <w:t xml:space="preserve">Descripción. </w:t>
      </w:r>
      <w:r w:rsidRPr="00852305">
        <w:rPr>
          <w:sz w:val="24"/>
        </w:rPr>
        <w:t>El mandato del órgano de transparencia como entidad que salvaguarda el DAI lo obliga a resolver en materia de der</w:t>
      </w:r>
      <w:r>
        <w:rPr>
          <w:sz w:val="24"/>
        </w:rPr>
        <w:t>echo de acceso a la información</w:t>
      </w:r>
      <w:r w:rsidR="00335E57">
        <w:rPr>
          <w:sz w:val="24"/>
        </w:rPr>
        <w:t>;</w:t>
      </w:r>
      <w:r>
        <w:rPr>
          <w:sz w:val="24"/>
        </w:rPr>
        <w:t xml:space="preserve"> además</w:t>
      </w:r>
      <w:r w:rsidR="00335E57">
        <w:rPr>
          <w:sz w:val="24"/>
        </w:rPr>
        <w:t>,</w:t>
      </w:r>
      <w:r>
        <w:rPr>
          <w:sz w:val="24"/>
        </w:rPr>
        <w:t xml:space="preserve"> el </w:t>
      </w:r>
      <w:r w:rsidRPr="00852305">
        <w:rPr>
          <w:sz w:val="24"/>
        </w:rPr>
        <w:t xml:space="preserve">carácter vinculatorio y </w:t>
      </w:r>
      <w:r>
        <w:rPr>
          <w:sz w:val="24"/>
        </w:rPr>
        <w:t>definitivo de sus resoluciones obliga a</w:t>
      </w:r>
      <w:r w:rsidRPr="00852305">
        <w:rPr>
          <w:sz w:val="24"/>
        </w:rPr>
        <w:t xml:space="preserve"> un alto grado de especialización en la materia.</w:t>
      </w:r>
    </w:p>
    <w:p w14:paraId="2CB05152" w14:textId="56C7B7D8" w:rsidR="001256F9" w:rsidRPr="00310FDF" w:rsidRDefault="001256F9" w:rsidP="007C09ED">
      <w:pPr>
        <w:pBdr>
          <w:bottom w:val="single" w:sz="4" w:space="1" w:color="auto"/>
        </w:pBdr>
        <w:jc w:val="both"/>
        <w:rPr>
          <w:sz w:val="24"/>
        </w:rPr>
      </w:pPr>
      <w:r w:rsidRPr="00310FDF">
        <w:rPr>
          <w:b/>
          <w:sz w:val="24"/>
        </w:rPr>
        <w:t>Calificación</w:t>
      </w:r>
      <w:r w:rsidRPr="00310FDF">
        <w:rPr>
          <w:sz w:val="24"/>
        </w:rPr>
        <w:t>.</w:t>
      </w:r>
      <w:r>
        <w:rPr>
          <w:sz w:val="24"/>
        </w:rPr>
        <w:t xml:space="preserve"> </w:t>
      </w:r>
      <w:r w:rsidR="00335E57">
        <w:rPr>
          <w:sz w:val="24"/>
        </w:rPr>
        <w:t>El m</w:t>
      </w:r>
      <w:r>
        <w:rPr>
          <w:sz w:val="24"/>
        </w:rPr>
        <w:t>arco legal obliga a la creación de un órgano especializado para resolver controversias</w:t>
      </w:r>
      <w:r w:rsidR="007C09ED">
        <w:rPr>
          <w:sz w:val="24"/>
        </w:rPr>
        <w:t xml:space="preserve"> en materia de transparencia</w:t>
      </w:r>
      <w:r>
        <w:rPr>
          <w:sz w:val="24"/>
        </w:rPr>
        <w:t>.</w:t>
      </w:r>
    </w:p>
    <w:p w14:paraId="032C883D" w14:textId="1EEC485F" w:rsidR="001256F9" w:rsidRPr="00852305" w:rsidRDefault="001256F9" w:rsidP="00FC0ABC">
      <w:pPr>
        <w:pStyle w:val="Ttulo1"/>
      </w:pPr>
      <w:r>
        <w:t xml:space="preserve">Criterio </w:t>
      </w:r>
      <w:r w:rsidR="00566D05">
        <w:t>78</w:t>
      </w:r>
      <w:r w:rsidRPr="00852305">
        <w:t>. Autonomía presupuestaria</w:t>
      </w:r>
    </w:p>
    <w:p w14:paraId="5E7350A5" w14:textId="59865B84" w:rsidR="001256F9" w:rsidRDefault="001256F9" w:rsidP="001256F9">
      <w:pPr>
        <w:jc w:val="both"/>
        <w:rPr>
          <w:sz w:val="24"/>
        </w:rPr>
      </w:pPr>
      <w:r>
        <w:rPr>
          <w:b/>
          <w:sz w:val="24"/>
        </w:rPr>
        <w:t xml:space="preserve">Descripción. </w:t>
      </w:r>
      <w:r w:rsidRPr="00852305">
        <w:rPr>
          <w:sz w:val="24"/>
        </w:rPr>
        <w:t xml:space="preserve">La autonomía presupuestaria se refiere a la posibilidad del órgano garante de la transparencia </w:t>
      </w:r>
      <w:r w:rsidR="00454BB8">
        <w:rPr>
          <w:sz w:val="24"/>
        </w:rPr>
        <w:t>para</w:t>
      </w:r>
      <w:r w:rsidR="00454BB8" w:rsidRPr="00852305">
        <w:rPr>
          <w:sz w:val="24"/>
        </w:rPr>
        <w:t xml:space="preserve"> </w:t>
      </w:r>
      <w:r w:rsidRPr="00852305">
        <w:rPr>
          <w:sz w:val="24"/>
        </w:rPr>
        <w:t>administrar libremente su presupuesto, determinar sus prioridades y asignar recursos para atenderlas. Otra dimensión de la autonomía presupuestaria</w:t>
      </w:r>
      <w:r>
        <w:rPr>
          <w:sz w:val="24"/>
        </w:rPr>
        <w:t xml:space="preserve"> se refiere </w:t>
      </w:r>
      <w:r w:rsidRPr="00852305">
        <w:rPr>
          <w:sz w:val="24"/>
        </w:rPr>
        <w:t xml:space="preserve">a la asignación de una partida </w:t>
      </w:r>
      <w:r w:rsidR="00E7327E">
        <w:rPr>
          <w:sz w:val="24"/>
        </w:rPr>
        <w:t xml:space="preserve">presupuestal </w:t>
      </w:r>
      <w:r>
        <w:rPr>
          <w:sz w:val="24"/>
        </w:rPr>
        <w:t xml:space="preserve">suficiente que asegure </w:t>
      </w:r>
      <w:r w:rsidR="00D43312">
        <w:rPr>
          <w:sz w:val="24"/>
        </w:rPr>
        <w:t xml:space="preserve">la </w:t>
      </w:r>
      <w:r>
        <w:rPr>
          <w:sz w:val="24"/>
        </w:rPr>
        <w:t>autonomía en sus decisiones o resoluciones</w:t>
      </w:r>
      <w:r w:rsidRPr="00852305">
        <w:rPr>
          <w:sz w:val="24"/>
        </w:rPr>
        <w:t>.</w:t>
      </w:r>
      <w:r w:rsidRPr="00852305">
        <w:rPr>
          <w:sz w:val="24"/>
          <w:vertAlign w:val="superscript"/>
        </w:rPr>
        <w:footnoteReference w:id="36"/>
      </w:r>
    </w:p>
    <w:p w14:paraId="08E9A489" w14:textId="5B0F457A" w:rsidR="001256F9" w:rsidRPr="00310FDF" w:rsidRDefault="001256F9" w:rsidP="00183CC4">
      <w:pPr>
        <w:pBdr>
          <w:bottom w:val="single" w:sz="4" w:space="1" w:color="auto"/>
        </w:pBdr>
        <w:jc w:val="both"/>
        <w:rPr>
          <w:sz w:val="24"/>
        </w:rPr>
      </w:pPr>
      <w:r w:rsidRPr="00310FDF">
        <w:rPr>
          <w:b/>
          <w:sz w:val="24"/>
        </w:rPr>
        <w:t>Calificación</w:t>
      </w:r>
      <w:r w:rsidRPr="00310FDF">
        <w:rPr>
          <w:sz w:val="24"/>
        </w:rPr>
        <w:t>.</w:t>
      </w:r>
      <w:r>
        <w:rPr>
          <w:sz w:val="24"/>
        </w:rPr>
        <w:t xml:space="preserve"> </w:t>
      </w:r>
      <w:r w:rsidR="00183CC4">
        <w:rPr>
          <w:sz w:val="24"/>
        </w:rPr>
        <w:t>Reconocimiento explícito de la autonomía presupuestal</w:t>
      </w:r>
      <w:r>
        <w:rPr>
          <w:sz w:val="24"/>
        </w:rPr>
        <w:t xml:space="preserve"> </w:t>
      </w:r>
      <w:r w:rsidR="00183CC4">
        <w:rPr>
          <w:sz w:val="24"/>
        </w:rPr>
        <w:t xml:space="preserve">del órgano garante o que éste sea un órgano autónomo por mandato de ley o </w:t>
      </w:r>
      <w:r w:rsidR="002A441B">
        <w:rPr>
          <w:sz w:val="24"/>
        </w:rPr>
        <w:t xml:space="preserve">de la </w:t>
      </w:r>
      <w:r w:rsidR="00183CC4">
        <w:rPr>
          <w:sz w:val="24"/>
        </w:rPr>
        <w:t>constitución</w:t>
      </w:r>
      <w:r w:rsidR="002A441B">
        <w:rPr>
          <w:sz w:val="24"/>
        </w:rPr>
        <w:t xml:space="preserve"> del estado</w:t>
      </w:r>
      <w:r w:rsidR="00183CC4">
        <w:rPr>
          <w:sz w:val="24"/>
        </w:rPr>
        <w:t>.</w:t>
      </w:r>
    </w:p>
    <w:p w14:paraId="0659D70B" w14:textId="42EBB221" w:rsidR="001256F9" w:rsidRPr="008C29DF" w:rsidRDefault="009E13E1" w:rsidP="00FC0ABC">
      <w:pPr>
        <w:pStyle w:val="Ttulo1"/>
      </w:pPr>
      <w:r>
        <w:t>Criterio 79</w:t>
      </w:r>
      <w:r w:rsidR="001256F9" w:rsidRPr="008C29DF">
        <w:t>. Autonomía de operación</w:t>
      </w:r>
    </w:p>
    <w:p w14:paraId="3F9B681C" w14:textId="1F8C9D98" w:rsidR="001256F9" w:rsidRDefault="001256F9" w:rsidP="001256F9">
      <w:pPr>
        <w:jc w:val="both"/>
        <w:rPr>
          <w:sz w:val="24"/>
        </w:rPr>
      </w:pPr>
      <w:r>
        <w:rPr>
          <w:b/>
          <w:sz w:val="24"/>
        </w:rPr>
        <w:t xml:space="preserve">Descripción. </w:t>
      </w:r>
      <w:r w:rsidRPr="008C29DF">
        <w:rPr>
          <w:sz w:val="24"/>
        </w:rPr>
        <w:t>A partir de la</w:t>
      </w:r>
      <w:r>
        <w:rPr>
          <w:b/>
          <w:sz w:val="24"/>
        </w:rPr>
        <w:t xml:space="preserve"> </w:t>
      </w:r>
      <w:r w:rsidRPr="00852305">
        <w:rPr>
          <w:sz w:val="24"/>
        </w:rPr>
        <w:t>autonomía presupuestaria</w:t>
      </w:r>
      <w:r>
        <w:rPr>
          <w:sz w:val="24"/>
        </w:rPr>
        <w:t>, el órgano garante establece procesos de planeación que permita</w:t>
      </w:r>
      <w:r w:rsidR="003607A3">
        <w:rPr>
          <w:sz w:val="24"/>
        </w:rPr>
        <w:t>n</w:t>
      </w:r>
      <w:r>
        <w:rPr>
          <w:sz w:val="24"/>
        </w:rPr>
        <w:t xml:space="preserve"> cumplir el mandato legal y orientar las tareas organizativas, planes operativos y gestión institucional</w:t>
      </w:r>
      <w:r w:rsidRPr="00852305">
        <w:rPr>
          <w:sz w:val="24"/>
        </w:rPr>
        <w:t xml:space="preserve">. </w:t>
      </w:r>
    </w:p>
    <w:p w14:paraId="47F5CCF8" w14:textId="245864C3" w:rsidR="001256F9" w:rsidRPr="00310FDF" w:rsidRDefault="00D51968" w:rsidP="00FA56F2">
      <w:pPr>
        <w:pBdr>
          <w:bottom w:val="single" w:sz="4" w:space="1" w:color="auto"/>
        </w:pBdr>
        <w:jc w:val="both"/>
        <w:rPr>
          <w:sz w:val="24"/>
        </w:rPr>
      </w:pPr>
      <w:r w:rsidRPr="00310FDF">
        <w:rPr>
          <w:b/>
          <w:sz w:val="24"/>
        </w:rPr>
        <w:t>Calificación</w:t>
      </w:r>
      <w:r w:rsidRPr="00310FDF">
        <w:rPr>
          <w:sz w:val="24"/>
        </w:rPr>
        <w:t>.</w:t>
      </w:r>
      <w:r>
        <w:rPr>
          <w:sz w:val="24"/>
        </w:rPr>
        <w:t xml:space="preserve"> Reconocimiento explícito de la autonomía de operación del órgano garante o que éste sea un órgano autónomo por mandato de ley o </w:t>
      </w:r>
      <w:r w:rsidR="002A441B">
        <w:rPr>
          <w:sz w:val="24"/>
        </w:rPr>
        <w:t xml:space="preserve">de la </w:t>
      </w:r>
      <w:r>
        <w:rPr>
          <w:sz w:val="24"/>
        </w:rPr>
        <w:t>constitución</w:t>
      </w:r>
      <w:r w:rsidR="002A441B">
        <w:rPr>
          <w:sz w:val="24"/>
        </w:rPr>
        <w:t xml:space="preserve"> del estado</w:t>
      </w:r>
      <w:r>
        <w:rPr>
          <w:sz w:val="24"/>
        </w:rPr>
        <w:t>.</w:t>
      </w:r>
    </w:p>
    <w:p w14:paraId="237254FB" w14:textId="77777777" w:rsidR="00497600" w:rsidRDefault="00497600" w:rsidP="00FC0ABC">
      <w:pPr>
        <w:pStyle w:val="Ttulo1"/>
      </w:pPr>
    </w:p>
    <w:p w14:paraId="7432F03B" w14:textId="77777777" w:rsidR="00497600" w:rsidRDefault="00497600" w:rsidP="00FC0ABC">
      <w:pPr>
        <w:pStyle w:val="Ttulo1"/>
      </w:pPr>
    </w:p>
    <w:p w14:paraId="3BC514EB" w14:textId="6CADC594" w:rsidR="001256F9" w:rsidRPr="008C29DF" w:rsidRDefault="001256F9" w:rsidP="00FC0ABC">
      <w:pPr>
        <w:pStyle w:val="Ttulo1"/>
      </w:pPr>
      <w:r w:rsidRPr="008C29DF">
        <w:lastRenderedPageBreak/>
        <w:t>Cri</w:t>
      </w:r>
      <w:r w:rsidR="002A441B">
        <w:t>terio 80</w:t>
      </w:r>
      <w:r w:rsidRPr="008C29DF">
        <w:t>. Autonomía de decisión</w:t>
      </w:r>
    </w:p>
    <w:p w14:paraId="12C05883" w14:textId="31ABEE1F" w:rsidR="001256F9" w:rsidRDefault="001256F9" w:rsidP="001256F9">
      <w:pPr>
        <w:jc w:val="both"/>
        <w:rPr>
          <w:sz w:val="24"/>
        </w:rPr>
      </w:pPr>
      <w:r>
        <w:rPr>
          <w:b/>
          <w:sz w:val="24"/>
        </w:rPr>
        <w:t xml:space="preserve">Descripción. </w:t>
      </w:r>
      <w:r>
        <w:rPr>
          <w:sz w:val="24"/>
        </w:rPr>
        <w:t>Los</w:t>
      </w:r>
      <w:r w:rsidRPr="008C29DF">
        <w:rPr>
          <w:sz w:val="24"/>
        </w:rPr>
        <w:t xml:space="preserve"> criterios </w:t>
      </w:r>
      <w:r>
        <w:rPr>
          <w:sz w:val="24"/>
        </w:rPr>
        <w:t xml:space="preserve">anteriores dan sustento </w:t>
      </w:r>
      <w:r w:rsidRPr="008C29DF">
        <w:rPr>
          <w:sz w:val="24"/>
        </w:rPr>
        <w:t xml:space="preserve">a la capacidad del órgano garante </w:t>
      </w:r>
      <w:r w:rsidR="001E7A58">
        <w:rPr>
          <w:sz w:val="24"/>
        </w:rPr>
        <w:t>para</w:t>
      </w:r>
      <w:r w:rsidRPr="008C29DF">
        <w:rPr>
          <w:sz w:val="24"/>
        </w:rPr>
        <w:t xml:space="preserve"> organizarse internamente y la facultad de tomar decisiones relativas a la gestión de la institución sin someterse a relaciones de subordinación j</w:t>
      </w:r>
      <w:r>
        <w:rPr>
          <w:sz w:val="24"/>
        </w:rPr>
        <w:t>erárquica con algún otro poder.</w:t>
      </w:r>
    </w:p>
    <w:p w14:paraId="78104498" w14:textId="19738D12" w:rsidR="001256F9" w:rsidRPr="00310FDF" w:rsidRDefault="001256F9" w:rsidP="002A441B">
      <w:pPr>
        <w:pBdr>
          <w:bottom w:val="single" w:sz="4" w:space="1" w:color="auto"/>
        </w:pBdr>
        <w:jc w:val="both"/>
        <w:rPr>
          <w:sz w:val="24"/>
        </w:rPr>
      </w:pPr>
      <w:r w:rsidRPr="00310FDF">
        <w:rPr>
          <w:b/>
          <w:sz w:val="24"/>
        </w:rPr>
        <w:t>Calificación</w:t>
      </w:r>
      <w:r w:rsidRPr="00310FDF">
        <w:rPr>
          <w:sz w:val="24"/>
        </w:rPr>
        <w:t>.</w:t>
      </w:r>
      <w:r>
        <w:rPr>
          <w:sz w:val="24"/>
        </w:rPr>
        <w:t xml:space="preserve"> </w:t>
      </w:r>
      <w:r w:rsidR="001E7A58">
        <w:rPr>
          <w:sz w:val="24"/>
        </w:rPr>
        <w:t>El m</w:t>
      </w:r>
      <w:r>
        <w:rPr>
          <w:sz w:val="24"/>
        </w:rPr>
        <w:t>arco legal asegura autonomía en sus decisiones técnica</w:t>
      </w:r>
      <w:r w:rsidR="002A441B">
        <w:rPr>
          <w:sz w:val="24"/>
        </w:rPr>
        <w:t>s</w:t>
      </w:r>
      <w:r>
        <w:rPr>
          <w:sz w:val="24"/>
        </w:rPr>
        <w:t>, políticas y programáticas</w:t>
      </w:r>
      <w:r w:rsidR="002A441B">
        <w:rPr>
          <w:sz w:val="24"/>
        </w:rPr>
        <w:t xml:space="preserve"> o el reconocimiento del órgano garante como órgano autónomo por mandato de ley o de la constitución del estado</w:t>
      </w:r>
      <w:r>
        <w:rPr>
          <w:sz w:val="24"/>
        </w:rPr>
        <w:t>.</w:t>
      </w:r>
    </w:p>
    <w:p w14:paraId="23248577" w14:textId="6FDC436C" w:rsidR="001256F9" w:rsidRPr="00AA41B1" w:rsidRDefault="00E72EB2" w:rsidP="00FC0ABC">
      <w:pPr>
        <w:pStyle w:val="Ttulo1"/>
      </w:pPr>
      <w:r>
        <w:t>Criterio 81</w:t>
      </w:r>
      <w:r w:rsidR="001256F9" w:rsidRPr="00AA41B1">
        <w:t>. Es autoridad para todos los sujetos obligados</w:t>
      </w:r>
    </w:p>
    <w:p w14:paraId="4B20DEA7" w14:textId="3C790A39" w:rsidR="001256F9" w:rsidRDefault="001256F9" w:rsidP="001256F9">
      <w:pPr>
        <w:jc w:val="both"/>
        <w:rPr>
          <w:sz w:val="24"/>
        </w:rPr>
      </w:pPr>
      <w:r w:rsidRPr="00AA41B1">
        <w:rPr>
          <w:b/>
          <w:sz w:val="24"/>
        </w:rPr>
        <w:t xml:space="preserve">Descripción. </w:t>
      </w:r>
      <w:r w:rsidRPr="008C29DF">
        <w:rPr>
          <w:sz w:val="24"/>
        </w:rPr>
        <w:t xml:space="preserve">Los órganos garantes de la transparencia se insertan en la teoría de división de poderes como agencias reguladoras que controlan el poder desde su área de competencia, en este caso, la transparencia y el derecho de acceso a </w:t>
      </w:r>
      <w:proofErr w:type="spellStart"/>
      <w:r w:rsidRPr="008C29DF">
        <w:rPr>
          <w:sz w:val="24"/>
        </w:rPr>
        <w:t>al</w:t>
      </w:r>
      <w:proofErr w:type="spellEnd"/>
      <w:r w:rsidRPr="008C29DF">
        <w:rPr>
          <w:sz w:val="24"/>
        </w:rPr>
        <w:t xml:space="preserve"> información. Como tales, deben constituirse como autoridad </w:t>
      </w:r>
      <w:r w:rsidR="00251E12">
        <w:rPr>
          <w:sz w:val="24"/>
        </w:rPr>
        <w:t>frente a</w:t>
      </w:r>
      <w:r w:rsidRPr="008C29DF">
        <w:rPr>
          <w:sz w:val="24"/>
        </w:rPr>
        <w:t xml:space="preserve"> los tres poderes así como </w:t>
      </w:r>
      <w:r w:rsidR="00251E12">
        <w:rPr>
          <w:sz w:val="24"/>
        </w:rPr>
        <w:t>a</w:t>
      </w:r>
      <w:r w:rsidRPr="008C29DF">
        <w:rPr>
          <w:sz w:val="24"/>
        </w:rPr>
        <w:t xml:space="preserve"> </w:t>
      </w:r>
      <w:r w:rsidR="00251E12">
        <w:rPr>
          <w:sz w:val="24"/>
        </w:rPr>
        <w:t>los</w:t>
      </w:r>
      <w:r w:rsidR="00251E12" w:rsidRPr="008C29DF">
        <w:rPr>
          <w:sz w:val="24"/>
        </w:rPr>
        <w:t xml:space="preserve"> </w:t>
      </w:r>
      <w:r w:rsidRPr="008C29DF">
        <w:rPr>
          <w:sz w:val="24"/>
        </w:rPr>
        <w:t>órganos autónomos</w:t>
      </w:r>
      <w:r w:rsidR="00251E12">
        <w:rPr>
          <w:sz w:val="24"/>
        </w:rPr>
        <w:t>;</w:t>
      </w:r>
      <w:r w:rsidRPr="008C29DF">
        <w:rPr>
          <w:sz w:val="24"/>
        </w:rPr>
        <w:t xml:space="preserve"> de otra forma se corre el riesgo de la multiplicidad de criterios reguladores, con lo cual se debilita la protección de los principios del D</w:t>
      </w:r>
      <w:r>
        <w:rPr>
          <w:sz w:val="24"/>
        </w:rPr>
        <w:t>AI.</w:t>
      </w:r>
    </w:p>
    <w:p w14:paraId="470A7DE4" w14:textId="776D24FB" w:rsidR="001256F9" w:rsidRPr="00310FDF" w:rsidRDefault="001256F9" w:rsidP="008F6E02">
      <w:pPr>
        <w:pBdr>
          <w:bottom w:val="single" w:sz="4" w:space="1" w:color="auto"/>
        </w:pBdr>
        <w:jc w:val="both"/>
        <w:rPr>
          <w:sz w:val="24"/>
        </w:rPr>
      </w:pPr>
      <w:r w:rsidRPr="00310FDF">
        <w:rPr>
          <w:b/>
          <w:sz w:val="24"/>
        </w:rPr>
        <w:t>Calificación</w:t>
      </w:r>
      <w:r w:rsidRPr="00310FDF">
        <w:rPr>
          <w:sz w:val="24"/>
        </w:rPr>
        <w:t>.</w:t>
      </w:r>
      <w:r>
        <w:rPr>
          <w:sz w:val="24"/>
        </w:rPr>
        <w:t xml:space="preserve"> </w:t>
      </w:r>
      <w:r w:rsidR="00C2284E">
        <w:rPr>
          <w:sz w:val="24"/>
        </w:rPr>
        <w:t xml:space="preserve">El marco legal estipula </w:t>
      </w:r>
      <w:r w:rsidR="00DC6697">
        <w:rPr>
          <w:sz w:val="24"/>
        </w:rPr>
        <w:t xml:space="preserve">el ámbito y límites de </w:t>
      </w:r>
      <w:r w:rsidR="00C2284E">
        <w:rPr>
          <w:sz w:val="24"/>
        </w:rPr>
        <w:t xml:space="preserve">la autoridad reguladora de los órganos garantes frente a los </w:t>
      </w:r>
      <w:r w:rsidR="00BF479C">
        <w:rPr>
          <w:sz w:val="24"/>
        </w:rPr>
        <w:t xml:space="preserve">sujetos obligados de los </w:t>
      </w:r>
      <w:r w:rsidR="00C2284E">
        <w:rPr>
          <w:sz w:val="24"/>
        </w:rPr>
        <w:t>poderes y entes del Estado.</w:t>
      </w:r>
    </w:p>
    <w:p w14:paraId="788C69C5" w14:textId="47323BC9" w:rsidR="001256F9" w:rsidRPr="00AA41B1" w:rsidRDefault="001256F9" w:rsidP="00FC0ABC">
      <w:pPr>
        <w:pStyle w:val="Ttulo1"/>
      </w:pPr>
      <w:r>
        <w:t xml:space="preserve">Criterio </w:t>
      </w:r>
      <w:r w:rsidR="008F6E02">
        <w:t>82</w:t>
      </w:r>
      <w:r>
        <w:t xml:space="preserve">. </w:t>
      </w:r>
      <w:r w:rsidR="0030099C">
        <w:t>Las d</w:t>
      </w:r>
      <w:r w:rsidRPr="00AA41B1">
        <w:t>ecisiones son definitivas y obligatorias para los sujetos obligados</w:t>
      </w:r>
    </w:p>
    <w:p w14:paraId="3DC29185" w14:textId="2BC119AA" w:rsidR="001256F9" w:rsidRDefault="001256F9" w:rsidP="001256F9">
      <w:pPr>
        <w:jc w:val="both"/>
        <w:rPr>
          <w:sz w:val="24"/>
        </w:rPr>
      </w:pPr>
      <w:r>
        <w:rPr>
          <w:b/>
          <w:sz w:val="24"/>
        </w:rPr>
        <w:t xml:space="preserve">Descripción. </w:t>
      </w:r>
      <w:r w:rsidRPr="00AA41B1">
        <w:rPr>
          <w:sz w:val="24"/>
        </w:rPr>
        <w:t>La construcción de un órgano garante fuerte, que sea capaz de proteger y garantizar el derecho de acceso a la información</w:t>
      </w:r>
      <w:r w:rsidR="0030099C">
        <w:rPr>
          <w:sz w:val="24"/>
        </w:rPr>
        <w:t>,</w:t>
      </w:r>
      <w:r w:rsidRPr="00AA41B1">
        <w:rPr>
          <w:sz w:val="24"/>
        </w:rPr>
        <w:t xml:space="preserve"> requiere que sus decisiones sean definitiva</w:t>
      </w:r>
      <w:r w:rsidR="0030099C">
        <w:rPr>
          <w:sz w:val="24"/>
        </w:rPr>
        <w:t>s</w:t>
      </w:r>
      <w:r w:rsidRPr="00AA41B1">
        <w:rPr>
          <w:sz w:val="24"/>
        </w:rPr>
        <w:t xml:space="preserve"> e inatacables y con ello se constituya como la autoridad última en su materia, en este caso, </w:t>
      </w:r>
      <w:r w:rsidR="0030099C">
        <w:rPr>
          <w:sz w:val="24"/>
        </w:rPr>
        <w:t>la</w:t>
      </w:r>
      <w:r w:rsidRPr="00AA41B1">
        <w:rPr>
          <w:sz w:val="24"/>
        </w:rPr>
        <w:t xml:space="preserve"> transparencia. Con ello</w:t>
      </w:r>
      <w:r w:rsidR="0030099C">
        <w:rPr>
          <w:sz w:val="24"/>
        </w:rPr>
        <w:t>,</w:t>
      </w:r>
      <w:r w:rsidRPr="00AA41B1">
        <w:rPr>
          <w:sz w:val="24"/>
        </w:rPr>
        <w:t xml:space="preserve"> además</w:t>
      </w:r>
      <w:r w:rsidR="0030099C">
        <w:rPr>
          <w:sz w:val="24"/>
        </w:rPr>
        <w:t>,</w:t>
      </w:r>
      <w:r w:rsidRPr="00AA41B1">
        <w:rPr>
          <w:sz w:val="24"/>
        </w:rPr>
        <w:t xml:space="preserve"> se garantiza un proceso expedito, principio fundamental del DAI.</w:t>
      </w:r>
    </w:p>
    <w:p w14:paraId="6C5564F8" w14:textId="09BDEC3C" w:rsidR="001256F9" w:rsidRPr="00310FDF" w:rsidRDefault="001256F9" w:rsidP="008F6E02">
      <w:pPr>
        <w:pBdr>
          <w:bottom w:val="single" w:sz="4" w:space="1" w:color="auto"/>
        </w:pBdr>
        <w:jc w:val="both"/>
        <w:rPr>
          <w:sz w:val="24"/>
        </w:rPr>
      </w:pPr>
      <w:r w:rsidRPr="00310FDF">
        <w:rPr>
          <w:b/>
          <w:sz w:val="24"/>
        </w:rPr>
        <w:t>Calificación</w:t>
      </w:r>
      <w:r w:rsidRPr="00310FDF">
        <w:rPr>
          <w:sz w:val="24"/>
        </w:rPr>
        <w:t>.</w:t>
      </w:r>
      <w:r>
        <w:rPr>
          <w:sz w:val="24"/>
        </w:rPr>
        <w:t xml:space="preserve"> </w:t>
      </w:r>
      <w:r w:rsidR="0030099C">
        <w:rPr>
          <w:sz w:val="24"/>
        </w:rPr>
        <w:t>El m</w:t>
      </w:r>
      <w:r>
        <w:rPr>
          <w:sz w:val="24"/>
        </w:rPr>
        <w:t xml:space="preserve">arco legal asegura </w:t>
      </w:r>
      <w:r w:rsidR="008F6E02">
        <w:rPr>
          <w:sz w:val="24"/>
        </w:rPr>
        <w:t xml:space="preserve">la </w:t>
      </w:r>
      <w:proofErr w:type="spellStart"/>
      <w:r w:rsidR="008F6E02">
        <w:rPr>
          <w:sz w:val="24"/>
        </w:rPr>
        <w:t>definitividad</w:t>
      </w:r>
      <w:proofErr w:type="spellEnd"/>
      <w:r w:rsidR="008F6E02">
        <w:rPr>
          <w:sz w:val="24"/>
        </w:rPr>
        <w:t xml:space="preserve"> y obligatoriedad de sus resoluciones de manera explícita.</w:t>
      </w:r>
    </w:p>
    <w:p w14:paraId="230F6D24" w14:textId="77777777" w:rsidR="001256F9" w:rsidRPr="006114F1" w:rsidRDefault="001256F9" w:rsidP="00D34DDD">
      <w:pPr>
        <w:pStyle w:val="Ttulo1"/>
        <w:numPr>
          <w:ilvl w:val="0"/>
          <w:numId w:val="2"/>
        </w:numPr>
        <w:rPr>
          <w:b w:val="0"/>
        </w:rPr>
      </w:pPr>
      <w:bookmarkStart w:id="13" w:name="_Órganos_de_conducción"/>
      <w:bookmarkEnd w:id="13"/>
      <w:r w:rsidRPr="006114F1">
        <w:lastRenderedPageBreak/>
        <w:t>Órganos de conducción de los Órganos Garantes de Transparencia</w:t>
      </w:r>
    </w:p>
    <w:p w14:paraId="21DAB90D" w14:textId="1C33F708" w:rsidR="001256F9" w:rsidRPr="006114F1" w:rsidRDefault="001256F9" w:rsidP="001256F9">
      <w:pPr>
        <w:jc w:val="both"/>
        <w:rPr>
          <w:sz w:val="24"/>
        </w:rPr>
      </w:pPr>
      <w:r w:rsidRPr="006114F1">
        <w:rPr>
          <w:sz w:val="24"/>
        </w:rPr>
        <w:t>E</w:t>
      </w:r>
      <w:r>
        <w:rPr>
          <w:sz w:val="24"/>
        </w:rPr>
        <w:t xml:space="preserve">l </w:t>
      </w:r>
      <w:r w:rsidRPr="006114F1">
        <w:rPr>
          <w:sz w:val="24"/>
        </w:rPr>
        <w:t>indicador pretende destacar las condiciones mínimas para garantizar que</w:t>
      </w:r>
      <w:r w:rsidR="0030099C">
        <w:rPr>
          <w:sz w:val="24"/>
        </w:rPr>
        <w:t>, en el</w:t>
      </w:r>
      <w:r w:rsidR="0030099C" w:rsidRPr="006114F1">
        <w:rPr>
          <w:sz w:val="24"/>
        </w:rPr>
        <w:t xml:space="preserve"> ejercicio de </w:t>
      </w:r>
      <w:r w:rsidR="0030099C">
        <w:rPr>
          <w:sz w:val="24"/>
        </w:rPr>
        <w:t>sus facultades y atribuciones,</w:t>
      </w:r>
      <w:r w:rsidRPr="006114F1">
        <w:rPr>
          <w:sz w:val="24"/>
        </w:rPr>
        <w:t xml:space="preserve"> </w:t>
      </w:r>
      <w:r w:rsidR="0030099C">
        <w:rPr>
          <w:sz w:val="24"/>
        </w:rPr>
        <w:t>la</w:t>
      </w:r>
      <w:r w:rsidRPr="006114F1">
        <w:rPr>
          <w:sz w:val="24"/>
        </w:rPr>
        <w:t xml:space="preserve"> conducción de los órganos garantes</w:t>
      </w:r>
      <w:r w:rsidR="0030099C">
        <w:rPr>
          <w:sz w:val="24"/>
        </w:rPr>
        <w:t xml:space="preserve"> </w:t>
      </w:r>
      <w:r w:rsidRPr="006114F1">
        <w:rPr>
          <w:sz w:val="24"/>
        </w:rPr>
        <w:t>sea autónom</w:t>
      </w:r>
      <w:r w:rsidR="0030099C">
        <w:rPr>
          <w:sz w:val="24"/>
        </w:rPr>
        <w:t>a</w:t>
      </w:r>
      <w:r w:rsidRPr="006114F1">
        <w:rPr>
          <w:sz w:val="24"/>
        </w:rPr>
        <w:t>, profesional, especializad</w:t>
      </w:r>
      <w:r w:rsidR="0030099C">
        <w:rPr>
          <w:sz w:val="24"/>
        </w:rPr>
        <w:t>a</w:t>
      </w:r>
      <w:r w:rsidRPr="006114F1">
        <w:rPr>
          <w:sz w:val="24"/>
        </w:rPr>
        <w:t xml:space="preserve"> </w:t>
      </w:r>
      <w:proofErr w:type="spellStart"/>
      <w:r w:rsidR="0030099C">
        <w:rPr>
          <w:sz w:val="24"/>
        </w:rPr>
        <w:t>e</w:t>
      </w:r>
      <w:proofErr w:type="spellEnd"/>
      <w:r w:rsidR="0030099C">
        <w:rPr>
          <w:sz w:val="24"/>
        </w:rPr>
        <w:t xml:space="preserve"> implemente de forma efectiva el</w:t>
      </w:r>
      <w:r w:rsidR="0030099C" w:rsidRPr="006114F1">
        <w:rPr>
          <w:sz w:val="24"/>
        </w:rPr>
        <w:t xml:space="preserve"> derecho de acceso a la información de las personas por encima de cualquier otro</w:t>
      </w:r>
      <w:r w:rsidR="0030099C">
        <w:rPr>
          <w:sz w:val="24"/>
        </w:rPr>
        <w:t xml:space="preserve"> interés público o particular</w:t>
      </w:r>
      <w:r>
        <w:rPr>
          <w:sz w:val="24"/>
        </w:rPr>
        <w:t>.</w:t>
      </w:r>
    </w:p>
    <w:p w14:paraId="5EF9D953" w14:textId="0BAF8654" w:rsidR="001256F9" w:rsidRPr="00DB0E43" w:rsidRDefault="001414F1" w:rsidP="001414F1">
      <w:pPr>
        <w:pStyle w:val="Ttulo1"/>
        <w:numPr>
          <w:ilvl w:val="1"/>
          <w:numId w:val="18"/>
        </w:numPr>
        <w:tabs>
          <w:tab w:val="clear" w:pos="284"/>
        </w:tabs>
        <w:rPr>
          <w:b w:val="0"/>
        </w:rPr>
      </w:pPr>
      <w:r>
        <w:t xml:space="preserve"> </w:t>
      </w:r>
      <w:r w:rsidR="001256F9" w:rsidRPr="00DB0E43">
        <w:t>Procedimiento para la integración y conformación del Órgano Colegiado</w:t>
      </w:r>
    </w:p>
    <w:p w14:paraId="3213286F" w14:textId="7FBA1483" w:rsidR="001256F9" w:rsidRPr="00347215" w:rsidRDefault="001256F9" w:rsidP="0030099C">
      <w:pPr>
        <w:jc w:val="both"/>
        <w:rPr>
          <w:sz w:val="24"/>
        </w:rPr>
      </w:pPr>
      <w:r w:rsidRPr="00347215">
        <w:rPr>
          <w:sz w:val="24"/>
        </w:rPr>
        <w:t>En gran medida, la independencia, especialización y profesionalización de los miembros del órgano de conducción de los órganos garantes depende del método que se utilice para su integración</w:t>
      </w:r>
      <w:r>
        <w:rPr>
          <w:sz w:val="24"/>
        </w:rPr>
        <w:t>.</w:t>
      </w:r>
      <w:r w:rsidRPr="0030099C">
        <w:rPr>
          <w:sz w:val="24"/>
          <w:vertAlign w:val="superscript"/>
        </w:rPr>
        <w:footnoteReference w:id="37"/>
      </w:r>
      <w:r w:rsidR="0030099C">
        <w:rPr>
          <w:sz w:val="24"/>
        </w:rPr>
        <w:t xml:space="preserve"> </w:t>
      </w:r>
      <w:r w:rsidR="00BD7921">
        <w:rPr>
          <w:sz w:val="24"/>
        </w:rPr>
        <w:t>D</w:t>
      </w:r>
      <w:r w:rsidRPr="00347215">
        <w:rPr>
          <w:sz w:val="24"/>
        </w:rPr>
        <w:t xml:space="preserve">icho </w:t>
      </w:r>
      <w:r w:rsidR="004461FC" w:rsidRPr="00347215">
        <w:rPr>
          <w:sz w:val="24"/>
        </w:rPr>
        <w:t>procedimiento</w:t>
      </w:r>
      <w:r w:rsidRPr="00347215">
        <w:rPr>
          <w:sz w:val="24"/>
        </w:rPr>
        <w:t xml:space="preserve"> es fundamental para dotar</w:t>
      </w:r>
      <w:r w:rsidR="00D90D63">
        <w:rPr>
          <w:sz w:val="24"/>
        </w:rPr>
        <w:t>lo</w:t>
      </w:r>
      <w:r w:rsidRPr="00347215">
        <w:rPr>
          <w:sz w:val="24"/>
        </w:rPr>
        <w:t xml:space="preserve"> de legitimidad como autoridad frente a los sujetos obligados.</w:t>
      </w:r>
    </w:p>
    <w:p w14:paraId="2402F7A7" w14:textId="225897FE" w:rsidR="001256F9" w:rsidRDefault="001256F9" w:rsidP="001256F9">
      <w:pPr>
        <w:jc w:val="both"/>
        <w:rPr>
          <w:sz w:val="24"/>
        </w:rPr>
      </w:pPr>
      <w:r>
        <w:rPr>
          <w:sz w:val="24"/>
        </w:rPr>
        <w:t xml:space="preserve">Es vital que los criterios </w:t>
      </w:r>
      <w:r w:rsidR="00D90D63">
        <w:rPr>
          <w:sz w:val="24"/>
        </w:rPr>
        <w:t xml:space="preserve">del </w:t>
      </w:r>
      <w:r w:rsidR="00B74E4D">
        <w:rPr>
          <w:sz w:val="24"/>
        </w:rPr>
        <w:t>procedimiento</w:t>
      </w:r>
      <w:r w:rsidRPr="00347215">
        <w:rPr>
          <w:sz w:val="24"/>
        </w:rPr>
        <w:t xml:space="preserve"> queden fijad</w:t>
      </w:r>
      <w:r>
        <w:rPr>
          <w:sz w:val="24"/>
        </w:rPr>
        <w:t xml:space="preserve">os en </w:t>
      </w:r>
      <w:r w:rsidR="00D90D63">
        <w:rPr>
          <w:sz w:val="24"/>
        </w:rPr>
        <w:t xml:space="preserve">la </w:t>
      </w:r>
      <w:r>
        <w:rPr>
          <w:sz w:val="24"/>
        </w:rPr>
        <w:t xml:space="preserve">ley </w:t>
      </w:r>
      <w:r w:rsidR="00D90D63">
        <w:rPr>
          <w:sz w:val="24"/>
        </w:rPr>
        <w:t xml:space="preserve">correspondiente </w:t>
      </w:r>
      <w:r>
        <w:rPr>
          <w:sz w:val="24"/>
        </w:rPr>
        <w:t>para evitar vicios</w:t>
      </w:r>
      <w:r w:rsidR="00D90D63">
        <w:rPr>
          <w:sz w:val="24"/>
        </w:rPr>
        <w:t xml:space="preserve"> y</w:t>
      </w:r>
      <w:r>
        <w:rPr>
          <w:sz w:val="24"/>
        </w:rPr>
        <w:t xml:space="preserve"> discrecionalidad, entre otras distorsiones.</w:t>
      </w:r>
    </w:p>
    <w:p w14:paraId="46E61105" w14:textId="2370EC9B" w:rsidR="00B74E4D" w:rsidRPr="00481606" w:rsidRDefault="00B74E4D" w:rsidP="00B74E4D">
      <w:pPr>
        <w:pStyle w:val="Ttulo1"/>
      </w:pPr>
      <w:r>
        <w:t>Criterio 83</w:t>
      </w:r>
      <w:r w:rsidRPr="00481606">
        <w:t>. Definición de req</w:t>
      </w:r>
      <w:r>
        <w:t>uisitos para ser Comisionado</w:t>
      </w:r>
    </w:p>
    <w:p w14:paraId="0327C9E2" w14:textId="77777777" w:rsidR="00B74E4D" w:rsidRDefault="00B74E4D" w:rsidP="00B74E4D">
      <w:pPr>
        <w:jc w:val="both"/>
        <w:rPr>
          <w:sz w:val="24"/>
        </w:rPr>
      </w:pPr>
      <w:r>
        <w:rPr>
          <w:b/>
          <w:sz w:val="24"/>
        </w:rPr>
        <w:t xml:space="preserve">Descripción. </w:t>
      </w:r>
      <w:r w:rsidRPr="00481606">
        <w:rPr>
          <w:sz w:val="24"/>
        </w:rPr>
        <w:t>La definición legal de los requisitos para ser Comisionado/a es una condición</w:t>
      </w:r>
      <w:r>
        <w:rPr>
          <w:sz w:val="24"/>
        </w:rPr>
        <w:t xml:space="preserve"> inicial</w:t>
      </w:r>
      <w:r w:rsidRPr="00481606">
        <w:rPr>
          <w:sz w:val="24"/>
        </w:rPr>
        <w:t xml:space="preserve"> para reducir la discrecionalidad en </w:t>
      </w:r>
      <w:r>
        <w:rPr>
          <w:sz w:val="24"/>
        </w:rPr>
        <w:t>su</w:t>
      </w:r>
      <w:r w:rsidRPr="00481606">
        <w:rPr>
          <w:sz w:val="24"/>
        </w:rPr>
        <w:t xml:space="preserve"> nombramiento. </w:t>
      </w:r>
      <w:r>
        <w:rPr>
          <w:sz w:val="24"/>
        </w:rPr>
        <w:t>Además d</w:t>
      </w:r>
      <w:r w:rsidRPr="00481606">
        <w:rPr>
          <w:sz w:val="24"/>
        </w:rPr>
        <w:t>eben preverse criterios objetivos que deberán ser cub</w:t>
      </w:r>
      <w:r>
        <w:rPr>
          <w:sz w:val="24"/>
        </w:rPr>
        <w:t>iertos por los y las candidat</w:t>
      </w:r>
      <w:r w:rsidRPr="00481606">
        <w:rPr>
          <w:sz w:val="24"/>
        </w:rPr>
        <w:t xml:space="preserve">as, tales como experiencia en la materia </w:t>
      </w:r>
      <w:r>
        <w:rPr>
          <w:sz w:val="24"/>
        </w:rPr>
        <w:t>y probada</w:t>
      </w:r>
      <w:r w:rsidRPr="00481606">
        <w:rPr>
          <w:sz w:val="24"/>
        </w:rPr>
        <w:t xml:space="preserve"> independencia de partidos políticos e instancias públicas o de gobierno.</w:t>
      </w:r>
    </w:p>
    <w:p w14:paraId="28788725" w14:textId="14E077F3" w:rsidR="00B74E4D" w:rsidRPr="00310FDF" w:rsidRDefault="00B74E4D" w:rsidP="00B74E4D">
      <w:pPr>
        <w:pBdr>
          <w:bottom w:val="single" w:sz="4" w:space="1" w:color="auto"/>
        </w:pBdr>
        <w:jc w:val="both"/>
        <w:rPr>
          <w:sz w:val="24"/>
        </w:rPr>
      </w:pPr>
      <w:r w:rsidRPr="00310FDF">
        <w:rPr>
          <w:b/>
          <w:sz w:val="24"/>
        </w:rPr>
        <w:t>Calificación</w:t>
      </w:r>
      <w:r w:rsidRPr="00310FDF">
        <w:rPr>
          <w:sz w:val="24"/>
        </w:rPr>
        <w:t>.</w:t>
      </w:r>
      <w:r>
        <w:rPr>
          <w:sz w:val="24"/>
        </w:rPr>
        <w:t xml:space="preserve"> En la ley se establecen los requisitos para ser comisionado.</w:t>
      </w:r>
    </w:p>
    <w:p w14:paraId="5943BCAE" w14:textId="4B1D8FF7" w:rsidR="00E971A3" w:rsidRPr="00347215" w:rsidRDefault="00E971A3" w:rsidP="00E971A3">
      <w:pPr>
        <w:pStyle w:val="Ttulo1"/>
      </w:pPr>
      <w:r>
        <w:t>Criterio 84. Convocatoria abierta</w:t>
      </w:r>
    </w:p>
    <w:p w14:paraId="16AA49D6" w14:textId="77777777" w:rsidR="00E971A3" w:rsidRDefault="00E971A3" w:rsidP="00E971A3">
      <w:pPr>
        <w:jc w:val="both"/>
        <w:rPr>
          <w:sz w:val="24"/>
        </w:rPr>
      </w:pPr>
      <w:r w:rsidRPr="00CB4E30">
        <w:rPr>
          <w:b/>
          <w:sz w:val="24"/>
        </w:rPr>
        <w:lastRenderedPageBreak/>
        <w:t>Descripción.</w:t>
      </w:r>
      <w:r>
        <w:rPr>
          <w:sz w:val="24"/>
        </w:rPr>
        <w:t xml:space="preserve"> </w:t>
      </w:r>
      <w:r w:rsidRPr="00347215">
        <w:rPr>
          <w:sz w:val="24"/>
        </w:rPr>
        <w:t>Los procesos de designación de los integrantes del órgano garante deben tender a la incorporación de diversos sectores de la sociedad. En este sentido, una convocatoria abierta permite que la primera etapa de esta selección tome en consideración todo tipo de perfiles sin importar su proveniencia.</w:t>
      </w:r>
    </w:p>
    <w:p w14:paraId="45E09E66" w14:textId="6D926F56" w:rsidR="00E971A3" w:rsidRPr="00E971A3" w:rsidRDefault="00E971A3" w:rsidP="00B87380">
      <w:pPr>
        <w:pBdr>
          <w:bottom w:val="single" w:sz="4" w:space="1" w:color="auto"/>
        </w:pBdr>
        <w:jc w:val="both"/>
        <w:rPr>
          <w:sz w:val="24"/>
        </w:rPr>
      </w:pPr>
      <w:r w:rsidRPr="00310FDF">
        <w:rPr>
          <w:b/>
          <w:sz w:val="24"/>
        </w:rPr>
        <w:t>Calificación</w:t>
      </w:r>
      <w:r w:rsidRPr="00310FDF">
        <w:rPr>
          <w:sz w:val="24"/>
        </w:rPr>
        <w:t>.</w:t>
      </w:r>
      <w:r>
        <w:rPr>
          <w:sz w:val="24"/>
        </w:rPr>
        <w:t xml:space="preserve"> L</w:t>
      </w:r>
      <w:r w:rsidR="00B87380">
        <w:rPr>
          <w:sz w:val="24"/>
        </w:rPr>
        <w:t>a l</w:t>
      </w:r>
      <w:r>
        <w:rPr>
          <w:sz w:val="24"/>
        </w:rPr>
        <w:t>ey obliga a realizar convocatorias abiertas para la integración del órgano garante.</w:t>
      </w:r>
    </w:p>
    <w:p w14:paraId="5EA62825" w14:textId="4D361798" w:rsidR="003D2F4F" w:rsidRPr="00481606" w:rsidRDefault="003D2F4F" w:rsidP="003D2F4F">
      <w:pPr>
        <w:pStyle w:val="Ttulo1"/>
      </w:pPr>
      <w:r>
        <w:t>Criterio 85</w:t>
      </w:r>
      <w:r w:rsidRPr="00481606">
        <w:t>. Establece un procedimiento de selección certero y previsible (co</w:t>
      </w:r>
      <w:r>
        <w:t>n etapas y plazos)</w:t>
      </w:r>
    </w:p>
    <w:p w14:paraId="275EEAE2" w14:textId="77777777" w:rsidR="003D2F4F" w:rsidRDefault="003D2F4F" w:rsidP="003D2F4F">
      <w:pPr>
        <w:jc w:val="both"/>
        <w:rPr>
          <w:sz w:val="24"/>
        </w:rPr>
      </w:pPr>
      <w:r>
        <w:rPr>
          <w:b/>
          <w:sz w:val="24"/>
        </w:rPr>
        <w:t xml:space="preserve">Descripción. </w:t>
      </w:r>
      <w:r w:rsidRPr="00E83644">
        <w:rPr>
          <w:sz w:val="24"/>
        </w:rPr>
        <w:t>La incorporación</w:t>
      </w:r>
      <w:r>
        <w:rPr>
          <w:sz w:val="24"/>
        </w:rPr>
        <w:t xml:space="preserve"> en la ley d</w:t>
      </w:r>
      <w:r w:rsidRPr="00E83644">
        <w:rPr>
          <w:sz w:val="24"/>
        </w:rPr>
        <w:t>el procedimiento de selección de las y los candidatos</w:t>
      </w:r>
      <w:r>
        <w:rPr>
          <w:b/>
          <w:sz w:val="24"/>
        </w:rPr>
        <w:t xml:space="preserve"> </w:t>
      </w:r>
      <w:r>
        <w:rPr>
          <w:sz w:val="24"/>
        </w:rPr>
        <w:t>abona a la certeza y reduce</w:t>
      </w:r>
      <w:r w:rsidRPr="00481606">
        <w:rPr>
          <w:sz w:val="24"/>
        </w:rPr>
        <w:t xml:space="preserve"> el margen de discrecionalidad de los procesos de selección</w:t>
      </w:r>
      <w:r>
        <w:rPr>
          <w:sz w:val="24"/>
        </w:rPr>
        <w:t xml:space="preserve">. Dicho marco legal requiere asegurar las etapas y </w:t>
      </w:r>
      <w:r w:rsidRPr="00481606">
        <w:rPr>
          <w:sz w:val="24"/>
        </w:rPr>
        <w:t xml:space="preserve">plazos. </w:t>
      </w:r>
      <w:r>
        <w:rPr>
          <w:sz w:val="24"/>
        </w:rPr>
        <w:t>Lo anterior fortalece la legitimidad de las instituciones públicas de transparencia y acceso a la información pública.</w:t>
      </w:r>
    </w:p>
    <w:p w14:paraId="7F65B8F7" w14:textId="2922B4EF" w:rsidR="003D2F4F" w:rsidRPr="00310FDF" w:rsidRDefault="003D2F4F" w:rsidP="00EF191E">
      <w:pPr>
        <w:pBdr>
          <w:bottom w:val="single" w:sz="4" w:space="1" w:color="auto"/>
        </w:pBdr>
        <w:jc w:val="both"/>
        <w:rPr>
          <w:sz w:val="24"/>
        </w:rPr>
      </w:pPr>
      <w:r w:rsidRPr="00310FDF">
        <w:rPr>
          <w:b/>
          <w:sz w:val="24"/>
        </w:rPr>
        <w:t>Calificación</w:t>
      </w:r>
      <w:r w:rsidRPr="00310FDF">
        <w:rPr>
          <w:sz w:val="24"/>
        </w:rPr>
        <w:t>.</w:t>
      </w:r>
      <w:r>
        <w:rPr>
          <w:sz w:val="24"/>
        </w:rPr>
        <w:t xml:space="preserve"> La Ley establece un procedimiento de elección con plazos y </w:t>
      </w:r>
      <w:r w:rsidR="00EF191E">
        <w:rPr>
          <w:sz w:val="24"/>
        </w:rPr>
        <w:t>etapas</w:t>
      </w:r>
      <w:r>
        <w:rPr>
          <w:sz w:val="24"/>
        </w:rPr>
        <w:t>.</w:t>
      </w:r>
    </w:p>
    <w:p w14:paraId="39369DCE" w14:textId="77777777" w:rsidR="003D2F4F" w:rsidRDefault="003D2F4F" w:rsidP="00FC0ABC">
      <w:pPr>
        <w:pStyle w:val="Ttulo1"/>
      </w:pPr>
    </w:p>
    <w:p w14:paraId="6FD31B19" w14:textId="54FFCC2C" w:rsidR="001E7CCC" w:rsidRPr="00481606" w:rsidRDefault="001E7CCC" w:rsidP="001E7CCC">
      <w:pPr>
        <w:pStyle w:val="Ttulo1"/>
      </w:pPr>
      <w:r>
        <w:t>Criterio 86</w:t>
      </w:r>
      <w:r w:rsidRPr="00481606">
        <w:t>. Obligación de</w:t>
      </w:r>
      <w:r>
        <w:t xml:space="preserve"> </w:t>
      </w:r>
      <w:r w:rsidRPr="00481606">
        <w:t>difundir</w:t>
      </w:r>
      <w:r>
        <w:t xml:space="preserve"> </w:t>
      </w:r>
      <w:r w:rsidRPr="00481606">
        <w:t>la versión pública del curr</w:t>
      </w:r>
      <w:r>
        <w:t>ículo de los y las candidatas</w:t>
      </w:r>
    </w:p>
    <w:p w14:paraId="10C38D50" w14:textId="77777777" w:rsidR="001E7CCC" w:rsidRDefault="001E7CCC" w:rsidP="001E7CCC">
      <w:pPr>
        <w:jc w:val="both"/>
        <w:rPr>
          <w:sz w:val="24"/>
        </w:rPr>
      </w:pPr>
      <w:r w:rsidRPr="00481606">
        <w:rPr>
          <w:b/>
          <w:sz w:val="24"/>
        </w:rPr>
        <w:t>Descripción.</w:t>
      </w:r>
      <w:r>
        <w:rPr>
          <w:sz w:val="24"/>
        </w:rPr>
        <w:t xml:space="preserve"> L</w:t>
      </w:r>
      <w:r w:rsidRPr="00481606">
        <w:rPr>
          <w:sz w:val="24"/>
        </w:rPr>
        <w:t xml:space="preserve">a oportuna difusión del </w:t>
      </w:r>
      <w:r>
        <w:rPr>
          <w:sz w:val="24"/>
        </w:rPr>
        <w:t>CV</w:t>
      </w:r>
      <w:r w:rsidRPr="00481606">
        <w:rPr>
          <w:sz w:val="24"/>
        </w:rPr>
        <w:t xml:space="preserve"> de las y los candidatos ofrece información a la ciudadanía sobre la experiencia y perfil general </w:t>
      </w:r>
      <w:r>
        <w:rPr>
          <w:sz w:val="24"/>
        </w:rPr>
        <w:t>de las personas interesadas</w:t>
      </w:r>
      <w:r w:rsidRPr="00481606">
        <w:rPr>
          <w:sz w:val="24"/>
        </w:rPr>
        <w:t>.</w:t>
      </w:r>
    </w:p>
    <w:p w14:paraId="3910FA06" w14:textId="1652799F" w:rsidR="001E7CCC" w:rsidRPr="00310FDF" w:rsidRDefault="001E7CCC" w:rsidP="00B3604E">
      <w:pPr>
        <w:pBdr>
          <w:bottom w:val="single" w:sz="4" w:space="1" w:color="auto"/>
        </w:pBdr>
        <w:jc w:val="both"/>
        <w:rPr>
          <w:sz w:val="24"/>
        </w:rPr>
      </w:pPr>
      <w:r w:rsidRPr="00310FDF">
        <w:rPr>
          <w:b/>
          <w:sz w:val="24"/>
        </w:rPr>
        <w:t>Calificación</w:t>
      </w:r>
      <w:r w:rsidRPr="00310FDF">
        <w:rPr>
          <w:sz w:val="24"/>
        </w:rPr>
        <w:t>.</w:t>
      </w:r>
      <w:r>
        <w:rPr>
          <w:sz w:val="24"/>
        </w:rPr>
        <w:t xml:space="preserve"> Existe la obligación de publicar el CV de las personas aspirantes, protegiendo datos personales.</w:t>
      </w:r>
      <w:r w:rsidR="00B3604E">
        <w:rPr>
          <w:sz w:val="24"/>
        </w:rPr>
        <w:t xml:space="preserve"> Dicha obligación debe estar mencionada como tal en la ley.</w:t>
      </w:r>
    </w:p>
    <w:p w14:paraId="0EA95CCC" w14:textId="4A5E3A61" w:rsidR="0099468B" w:rsidRPr="00CB4E30" w:rsidRDefault="0099468B" w:rsidP="0099468B">
      <w:pPr>
        <w:pStyle w:val="Ttulo1"/>
      </w:pPr>
      <w:r>
        <w:t xml:space="preserve">Criterio </w:t>
      </w:r>
      <w:r w:rsidR="00F24BB8">
        <w:t>87</w:t>
      </w:r>
      <w:r w:rsidRPr="00CB4E30">
        <w:t>. Entrevistas a candidatos/as y sesiones de las comisiones legislativas de carácter público</w:t>
      </w:r>
    </w:p>
    <w:p w14:paraId="1259B363" w14:textId="77777777" w:rsidR="0099468B" w:rsidRDefault="0099468B" w:rsidP="0099468B">
      <w:pPr>
        <w:jc w:val="both"/>
        <w:rPr>
          <w:sz w:val="24"/>
        </w:rPr>
      </w:pPr>
      <w:r>
        <w:rPr>
          <w:b/>
          <w:sz w:val="24"/>
        </w:rPr>
        <w:t xml:space="preserve">Descripción. </w:t>
      </w:r>
      <w:r w:rsidRPr="00FC0ABC">
        <w:rPr>
          <w:sz w:val="24"/>
        </w:rPr>
        <w:t>Con l</w:t>
      </w:r>
      <w:r w:rsidRPr="0038574B">
        <w:rPr>
          <w:sz w:val="24"/>
        </w:rPr>
        <w:t>a finalidad</w:t>
      </w:r>
      <w:r w:rsidRPr="00CB4E30">
        <w:rPr>
          <w:sz w:val="24"/>
        </w:rPr>
        <w:t xml:space="preserve"> de dotar de legitimidad el proceso de selección, es deseable que las sesiones </w:t>
      </w:r>
      <w:r>
        <w:rPr>
          <w:sz w:val="24"/>
        </w:rPr>
        <w:t>de entrevista</w:t>
      </w:r>
      <w:r w:rsidRPr="00CB4E30">
        <w:rPr>
          <w:sz w:val="24"/>
        </w:rPr>
        <w:t xml:space="preserve"> </w:t>
      </w:r>
      <w:r>
        <w:rPr>
          <w:sz w:val="24"/>
        </w:rPr>
        <w:t>de las personas</w:t>
      </w:r>
      <w:r w:rsidRPr="00CB4E30">
        <w:rPr>
          <w:sz w:val="24"/>
        </w:rPr>
        <w:t xml:space="preserve"> candidat</w:t>
      </w:r>
      <w:r>
        <w:rPr>
          <w:sz w:val="24"/>
        </w:rPr>
        <w:t>a</w:t>
      </w:r>
      <w:r w:rsidRPr="00CB4E30">
        <w:rPr>
          <w:sz w:val="24"/>
        </w:rPr>
        <w:t xml:space="preserve">s sean públicas y </w:t>
      </w:r>
      <w:r>
        <w:rPr>
          <w:sz w:val="24"/>
        </w:rPr>
        <w:t>transparentes.</w:t>
      </w:r>
    </w:p>
    <w:p w14:paraId="5E3A7443" w14:textId="6EF00285" w:rsidR="001E7CCC" w:rsidRPr="005106E9" w:rsidRDefault="0099468B" w:rsidP="005106E9">
      <w:pPr>
        <w:pBdr>
          <w:bottom w:val="single" w:sz="4" w:space="1" w:color="auto"/>
        </w:pBdr>
        <w:jc w:val="both"/>
        <w:rPr>
          <w:sz w:val="24"/>
        </w:rPr>
      </w:pPr>
      <w:r w:rsidRPr="00310FDF">
        <w:rPr>
          <w:b/>
          <w:sz w:val="24"/>
        </w:rPr>
        <w:lastRenderedPageBreak/>
        <w:t>Calificación</w:t>
      </w:r>
      <w:r w:rsidRPr="00310FDF">
        <w:rPr>
          <w:sz w:val="24"/>
        </w:rPr>
        <w:t>.</w:t>
      </w:r>
      <w:r>
        <w:rPr>
          <w:sz w:val="24"/>
        </w:rPr>
        <w:t xml:space="preserve"> La Ley establece la obligatoriedad de realizar entrevistas públicas a las y los candidatos a conducir el órgano garante.</w:t>
      </w:r>
    </w:p>
    <w:p w14:paraId="5C6C9E8A" w14:textId="26AC105C" w:rsidR="00F24BB8" w:rsidRPr="00E83644" w:rsidRDefault="00F24BB8" w:rsidP="00F24BB8">
      <w:pPr>
        <w:pStyle w:val="Ttulo1"/>
      </w:pPr>
      <w:r>
        <w:t>Criterio 88</w:t>
      </w:r>
      <w:r w:rsidRPr="00E83644">
        <w:t>. Existencia de instrumento técnico para evaluar y calificar a los y las aspirantes</w:t>
      </w:r>
    </w:p>
    <w:p w14:paraId="4E0AF085" w14:textId="77777777" w:rsidR="00F24BB8" w:rsidRDefault="00F24BB8" w:rsidP="00F24BB8">
      <w:pPr>
        <w:jc w:val="both"/>
        <w:rPr>
          <w:sz w:val="24"/>
        </w:rPr>
      </w:pPr>
      <w:r>
        <w:rPr>
          <w:b/>
          <w:sz w:val="24"/>
        </w:rPr>
        <w:t xml:space="preserve">Descripción. </w:t>
      </w:r>
      <w:r w:rsidRPr="00E83644">
        <w:rPr>
          <w:sz w:val="24"/>
        </w:rPr>
        <w:t xml:space="preserve">La confianza en el proceso, además de apertura y transparencia, requiere que la toma de </w:t>
      </w:r>
      <w:r>
        <w:rPr>
          <w:sz w:val="24"/>
        </w:rPr>
        <w:t xml:space="preserve">una </w:t>
      </w:r>
      <w:r w:rsidRPr="00E83644">
        <w:rPr>
          <w:sz w:val="24"/>
        </w:rPr>
        <w:t xml:space="preserve">decisión </w:t>
      </w:r>
      <w:r>
        <w:rPr>
          <w:sz w:val="24"/>
        </w:rPr>
        <w:t xml:space="preserve">final </w:t>
      </w:r>
      <w:r w:rsidRPr="00E83644">
        <w:rPr>
          <w:sz w:val="24"/>
        </w:rPr>
        <w:t>esté fundamentada en objetivos no sólo políticos, sino que obedezcan a criterios específicos que avalen la idoneidad del perfil.</w:t>
      </w:r>
    </w:p>
    <w:p w14:paraId="1BF27E85" w14:textId="3687CF8F" w:rsidR="00F24BB8" w:rsidRPr="00415DA1" w:rsidRDefault="00F24BB8" w:rsidP="00415DA1">
      <w:pPr>
        <w:pBdr>
          <w:bottom w:val="single" w:sz="4" w:space="1" w:color="auto"/>
        </w:pBdr>
        <w:jc w:val="both"/>
        <w:rPr>
          <w:sz w:val="24"/>
        </w:rPr>
      </w:pPr>
      <w:r w:rsidRPr="00310FDF">
        <w:rPr>
          <w:b/>
          <w:sz w:val="24"/>
        </w:rPr>
        <w:t>Calificación</w:t>
      </w:r>
      <w:r w:rsidRPr="00310FDF">
        <w:rPr>
          <w:sz w:val="24"/>
        </w:rPr>
        <w:t>.</w:t>
      </w:r>
      <w:r>
        <w:rPr>
          <w:sz w:val="24"/>
        </w:rPr>
        <w:t xml:space="preserve"> La Ley estipula la existencia de un instrumento técnico para evaluar y calificar a los y las aspirantes.</w:t>
      </w:r>
    </w:p>
    <w:p w14:paraId="4E727930" w14:textId="6988D6E0" w:rsidR="001256F9" w:rsidRPr="00CB4E30" w:rsidRDefault="001256F9" w:rsidP="00FC0ABC">
      <w:pPr>
        <w:pStyle w:val="Ttulo1"/>
      </w:pPr>
      <w:r w:rsidRPr="005106E9">
        <w:t>Criterio 89. Incorpora un mecanismo de inclusión de la ciudadanía para coadyuvar en la evaluación de las y los aspirantes</w:t>
      </w:r>
    </w:p>
    <w:p w14:paraId="18A002C0" w14:textId="2D3CDBF9" w:rsidR="001256F9" w:rsidRDefault="001256F9" w:rsidP="001256F9">
      <w:pPr>
        <w:jc w:val="both"/>
        <w:rPr>
          <w:sz w:val="24"/>
        </w:rPr>
      </w:pPr>
      <w:r>
        <w:rPr>
          <w:b/>
          <w:sz w:val="24"/>
        </w:rPr>
        <w:t xml:space="preserve">Descripción. </w:t>
      </w:r>
      <w:r w:rsidRPr="00CB4E30">
        <w:rPr>
          <w:sz w:val="24"/>
        </w:rPr>
        <w:t xml:space="preserve">El proceso de selección requiere </w:t>
      </w:r>
      <w:r>
        <w:rPr>
          <w:sz w:val="24"/>
        </w:rPr>
        <w:t xml:space="preserve">de elementos que amplíen el análisis sobre perfil </w:t>
      </w:r>
      <w:r w:rsidRPr="00CB4E30">
        <w:rPr>
          <w:sz w:val="24"/>
        </w:rPr>
        <w:t>de candidatas y candidatos y de</w:t>
      </w:r>
      <w:r w:rsidR="007B15A2">
        <w:rPr>
          <w:sz w:val="24"/>
        </w:rPr>
        <w:t>n</w:t>
      </w:r>
      <w:r w:rsidRPr="00CB4E30">
        <w:rPr>
          <w:sz w:val="24"/>
        </w:rPr>
        <w:t xml:space="preserve"> diferentes perspectivas </w:t>
      </w:r>
      <w:r>
        <w:rPr>
          <w:sz w:val="24"/>
        </w:rPr>
        <w:t>sobre</w:t>
      </w:r>
      <w:r w:rsidRPr="00CB4E30">
        <w:rPr>
          <w:sz w:val="24"/>
        </w:rPr>
        <w:t xml:space="preserve"> la idoneidad</w:t>
      </w:r>
      <w:r>
        <w:rPr>
          <w:sz w:val="24"/>
        </w:rPr>
        <w:t>.</w:t>
      </w:r>
    </w:p>
    <w:p w14:paraId="4D965132" w14:textId="026932A8" w:rsidR="001256F9" w:rsidRDefault="007B15A2" w:rsidP="001256F9">
      <w:pPr>
        <w:jc w:val="both"/>
        <w:rPr>
          <w:sz w:val="24"/>
        </w:rPr>
      </w:pPr>
      <w:r>
        <w:rPr>
          <w:sz w:val="24"/>
        </w:rPr>
        <w:t>L</w:t>
      </w:r>
      <w:r w:rsidR="001256F9">
        <w:rPr>
          <w:sz w:val="24"/>
        </w:rPr>
        <w:t>a</w:t>
      </w:r>
      <w:r w:rsidR="001256F9" w:rsidRPr="00CB4E30">
        <w:rPr>
          <w:sz w:val="24"/>
        </w:rPr>
        <w:t xml:space="preserve"> inclusión de la ciudadanía </w:t>
      </w:r>
      <w:r w:rsidR="001256F9">
        <w:rPr>
          <w:sz w:val="24"/>
        </w:rPr>
        <w:t xml:space="preserve">asegura </w:t>
      </w:r>
      <w:r w:rsidR="001256F9" w:rsidRPr="00CB4E30">
        <w:rPr>
          <w:sz w:val="24"/>
        </w:rPr>
        <w:t xml:space="preserve">un mecanismo que permita allegarse de opiniones </w:t>
      </w:r>
      <w:r>
        <w:rPr>
          <w:sz w:val="24"/>
        </w:rPr>
        <w:t xml:space="preserve">diversas, surgidas </w:t>
      </w:r>
      <w:r w:rsidR="001256F9" w:rsidRPr="00CB4E30">
        <w:rPr>
          <w:sz w:val="24"/>
        </w:rPr>
        <w:t>de la población</w:t>
      </w:r>
      <w:r>
        <w:rPr>
          <w:sz w:val="24"/>
        </w:rPr>
        <w:t>,</w:t>
      </w:r>
      <w:r w:rsidR="001256F9" w:rsidRPr="00CB4E30">
        <w:rPr>
          <w:sz w:val="24"/>
        </w:rPr>
        <w:t xml:space="preserve"> </w:t>
      </w:r>
      <w:r w:rsidR="001256F9">
        <w:rPr>
          <w:sz w:val="24"/>
        </w:rPr>
        <w:t xml:space="preserve">y eleva la </w:t>
      </w:r>
      <w:r w:rsidR="001256F9" w:rsidRPr="00CB4E30">
        <w:rPr>
          <w:sz w:val="24"/>
        </w:rPr>
        <w:t>l</w:t>
      </w:r>
      <w:r w:rsidR="001256F9">
        <w:rPr>
          <w:sz w:val="24"/>
        </w:rPr>
        <w:t>egitimidad del</w:t>
      </w:r>
      <w:r>
        <w:rPr>
          <w:sz w:val="24"/>
        </w:rPr>
        <w:t xml:space="preserve"> proceso de</w:t>
      </w:r>
      <w:r w:rsidR="001256F9">
        <w:rPr>
          <w:sz w:val="24"/>
        </w:rPr>
        <w:t xml:space="preserve"> selección</w:t>
      </w:r>
      <w:r>
        <w:rPr>
          <w:sz w:val="24"/>
        </w:rPr>
        <w:t xml:space="preserve"> y de los candidatos mismos</w:t>
      </w:r>
      <w:r w:rsidR="001256F9" w:rsidRPr="00CB4E30">
        <w:rPr>
          <w:sz w:val="24"/>
        </w:rPr>
        <w:t>.</w:t>
      </w:r>
    </w:p>
    <w:p w14:paraId="1AB5D604" w14:textId="5B88C17D" w:rsidR="001256F9" w:rsidRPr="00310FDF" w:rsidRDefault="001256F9" w:rsidP="005106E9">
      <w:pPr>
        <w:pBdr>
          <w:bottom w:val="single" w:sz="4" w:space="1" w:color="auto"/>
        </w:pBdr>
        <w:jc w:val="both"/>
        <w:rPr>
          <w:sz w:val="24"/>
        </w:rPr>
      </w:pPr>
      <w:r w:rsidRPr="00310FDF">
        <w:rPr>
          <w:b/>
          <w:sz w:val="24"/>
        </w:rPr>
        <w:t>Calificación</w:t>
      </w:r>
      <w:r w:rsidRPr="00310FDF">
        <w:rPr>
          <w:sz w:val="24"/>
        </w:rPr>
        <w:t>.</w:t>
      </w:r>
      <w:r>
        <w:rPr>
          <w:sz w:val="24"/>
        </w:rPr>
        <w:t xml:space="preserve"> L</w:t>
      </w:r>
      <w:r w:rsidR="007B15A2">
        <w:rPr>
          <w:sz w:val="24"/>
        </w:rPr>
        <w:t>a L</w:t>
      </w:r>
      <w:r>
        <w:rPr>
          <w:sz w:val="24"/>
        </w:rPr>
        <w:t xml:space="preserve">ey establece </w:t>
      </w:r>
      <w:r w:rsidR="007B15A2">
        <w:rPr>
          <w:sz w:val="24"/>
        </w:rPr>
        <w:t xml:space="preserve">un </w:t>
      </w:r>
      <w:r>
        <w:rPr>
          <w:sz w:val="24"/>
        </w:rPr>
        <w:t xml:space="preserve">procedimiento para incluir </w:t>
      </w:r>
      <w:r w:rsidR="005106E9">
        <w:rPr>
          <w:sz w:val="24"/>
        </w:rPr>
        <w:t>a la sociedad civil en el proceso de selección.</w:t>
      </w:r>
    </w:p>
    <w:p w14:paraId="0246247C" w14:textId="302440D7" w:rsidR="00280AB1" w:rsidRPr="00347215" w:rsidRDefault="00280AB1" w:rsidP="00280AB1">
      <w:pPr>
        <w:pStyle w:val="Ttulo1"/>
      </w:pPr>
      <w:r>
        <w:t xml:space="preserve">Criterio </w:t>
      </w:r>
      <w:r w:rsidR="00AF4570">
        <w:t>90</w:t>
      </w:r>
      <w:r w:rsidRPr="00347215">
        <w:t>. Voto del C</w:t>
      </w:r>
      <w:r>
        <w:t>ongreso por mayoría calificada</w:t>
      </w:r>
    </w:p>
    <w:p w14:paraId="57F25853" w14:textId="77777777" w:rsidR="00280AB1" w:rsidRDefault="00280AB1" w:rsidP="00280AB1">
      <w:pPr>
        <w:jc w:val="both"/>
        <w:rPr>
          <w:sz w:val="24"/>
        </w:rPr>
      </w:pPr>
      <w:r>
        <w:rPr>
          <w:b/>
          <w:sz w:val="24"/>
        </w:rPr>
        <w:t xml:space="preserve">Descripción. </w:t>
      </w:r>
      <w:r w:rsidRPr="00347215">
        <w:rPr>
          <w:sz w:val="24"/>
        </w:rPr>
        <w:t xml:space="preserve">El nombramiento de las personas que integran la instancia colegiada de conducción de los órganos garantes debe estar a cargo del poder legislativo </w:t>
      </w:r>
      <w:r>
        <w:rPr>
          <w:sz w:val="24"/>
        </w:rPr>
        <w:t>en tanto</w:t>
      </w:r>
      <w:r w:rsidRPr="00347215">
        <w:rPr>
          <w:sz w:val="24"/>
        </w:rPr>
        <w:t xml:space="preserve"> </w:t>
      </w:r>
      <w:r>
        <w:rPr>
          <w:sz w:val="24"/>
        </w:rPr>
        <w:t xml:space="preserve">que es un </w:t>
      </w:r>
      <w:r w:rsidRPr="00347215">
        <w:rPr>
          <w:sz w:val="24"/>
        </w:rPr>
        <w:t>órgano de representación de la pluralidad política y social. Además de abonar a la legitimidad democrática, la responsabilidad compartida de todas las fuerzas políticas representadas reduce las posibilidades de que las personas seleccionadas respondan a intereses políticos de quien los nombra en su actuación de garantes del DAI.</w:t>
      </w:r>
    </w:p>
    <w:p w14:paraId="4D16E46E" w14:textId="7E272C39" w:rsidR="00280AB1" w:rsidRPr="00280AB1" w:rsidRDefault="00280AB1" w:rsidP="00AF4570">
      <w:pPr>
        <w:pBdr>
          <w:bottom w:val="single" w:sz="4" w:space="1" w:color="auto"/>
        </w:pBdr>
        <w:jc w:val="both"/>
        <w:rPr>
          <w:sz w:val="24"/>
        </w:rPr>
      </w:pPr>
      <w:r w:rsidRPr="00310FDF">
        <w:rPr>
          <w:b/>
          <w:sz w:val="24"/>
        </w:rPr>
        <w:lastRenderedPageBreak/>
        <w:t>Calificación</w:t>
      </w:r>
      <w:r w:rsidRPr="00310FDF">
        <w:rPr>
          <w:sz w:val="24"/>
        </w:rPr>
        <w:t>.</w:t>
      </w:r>
      <w:r>
        <w:rPr>
          <w:sz w:val="24"/>
        </w:rPr>
        <w:t xml:space="preserve"> La Ley regula la elección de los integrantes del órgano garante a través de la mayoría calificada en el legislativo</w:t>
      </w:r>
      <w:r w:rsidR="00AF4570">
        <w:rPr>
          <w:sz w:val="24"/>
        </w:rPr>
        <w:t>, sin excepciones</w:t>
      </w:r>
      <w:r w:rsidR="00F24BB8">
        <w:rPr>
          <w:sz w:val="24"/>
        </w:rPr>
        <w:t xml:space="preserve"> (el nombramiento no podrá hacerlo la permanente)</w:t>
      </w:r>
      <w:r>
        <w:rPr>
          <w:sz w:val="24"/>
        </w:rPr>
        <w:t>.</w:t>
      </w:r>
    </w:p>
    <w:p w14:paraId="68B8E962" w14:textId="0836F5CA" w:rsidR="001256F9" w:rsidRPr="00E83644" w:rsidRDefault="001256F9" w:rsidP="00FC0ABC">
      <w:pPr>
        <w:pStyle w:val="Ttulo1"/>
      </w:pPr>
      <w:r>
        <w:t xml:space="preserve">Criterio </w:t>
      </w:r>
      <w:r w:rsidR="00FC7D47">
        <w:t>91</w:t>
      </w:r>
      <w:r w:rsidRPr="00E83644">
        <w:t>. Composici</w:t>
      </w:r>
      <w:r>
        <w:t>ón impar, mínimo 3 integrantes</w:t>
      </w:r>
    </w:p>
    <w:p w14:paraId="18DE4572" w14:textId="0C9B641B" w:rsidR="001256F9" w:rsidRDefault="001256F9" w:rsidP="001256F9">
      <w:pPr>
        <w:jc w:val="both"/>
        <w:rPr>
          <w:sz w:val="24"/>
        </w:rPr>
      </w:pPr>
      <w:r>
        <w:rPr>
          <w:b/>
          <w:sz w:val="24"/>
        </w:rPr>
        <w:t xml:space="preserve">Descripción. </w:t>
      </w:r>
      <w:r>
        <w:rPr>
          <w:sz w:val="24"/>
        </w:rPr>
        <w:t xml:space="preserve">El órgano garante, entre otras </w:t>
      </w:r>
      <w:r w:rsidR="00820321">
        <w:rPr>
          <w:sz w:val="24"/>
        </w:rPr>
        <w:t>formalidades</w:t>
      </w:r>
      <w:r>
        <w:rPr>
          <w:sz w:val="24"/>
        </w:rPr>
        <w:t xml:space="preserve">, </w:t>
      </w:r>
      <w:r w:rsidRPr="00E83644">
        <w:rPr>
          <w:sz w:val="24"/>
        </w:rPr>
        <w:t xml:space="preserve">resuelve de manera deliberativa los casos en materia de transparencia, </w:t>
      </w:r>
      <w:r>
        <w:rPr>
          <w:sz w:val="24"/>
        </w:rPr>
        <w:t xml:space="preserve">por ello es necesaria </w:t>
      </w:r>
      <w:r w:rsidR="00820321">
        <w:rPr>
          <w:sz w:val="24"/>
        </w:rPr>
        <w:t>una</w:t>
      </w:r>
      <w:r>
        <w:rPr>
          <w:sz w:val="24"/>
        </w:rPr>
        <w:t xml:space="preserve"> composición impar, a fin de evitar </w:t>
      </w:r>
      <w:r w:rsidRPr="00E83644">
        <w:rPr>
          <w:sz w:val="24"/>
        </w:rPr>
        <w:t>empate</w:t>
      </w:r>
      <w:r>
        <w:rPr>
          <w:sz w:val="24"/>
        </w:rPr>
        <w:t>s</w:t>
      </w:r>
      <w:r w:rsidRPr="00E83644">
        <w:rPr>
          <w:sz w:val="24"/>
        </w:rPr>
        <w:t xml:space="preserve"> y con ello el estancamiento de una decisión. El número de integrantes variará con la carga de trabajo pero es importante que como mínimo sean 3 integrantes con el mismo estatus en los procesos deliberativos.</w:t>
      </w:r>
    </w:p>
    <w:p w14:paraId="221AEF06" w14:textId="6833EF7B" w:rsidR="001256F9" w:rsidRPr="00310FDF" w:rsidRDefault="001256F9" w:rsidP="007F6D89">
      <w:pPr>
        <w:pBdr>
          <w:bottom w:val="single" w:sz="4" w:space="1" w:color="auto"/>
        </w:pBdr>
        <w:jc w:val="both"/>
        <w:rPr>
          <w:sz w:val="24"/>
        </w:rPr>
      </w:pPr>
      <w:r w:rsidRPr="00310FDF">
        <w:rPr>
          <w:b/>
          <w:sz w:val="24"/>
        </w:rPr>
        <w:t>Calificación</w:t>
      </w:r>
      <w:r w:rsidRPr="00310FDF">
        <w:rPr>
          <w:sz w:val="24"/>
        </w:rPr>
        <w:t>.</w:t>
      </w:r>
      <w:r>
        <w:rPr>
          <w:sz w:val="24"/>
        </w:rPr>
        <w:t xml:space="preserve"> L</w:t>
      </w:r>
      <w:r w:rsidR="00820321">
        <w:rPr>
          <w:sz w:val="24"/>
        </w:rPr>
        <w:t>a L</w:t>
      </w:r>
      <w:r>
        <w:rPr>
          <w:sz w:val="24"/>
        </w:rPr>
        <w:t xml:space="preserve">ey establece </w:t>
      </w:r>
      <w:r w:rsidR="00820321">
        <w:rPr>
          <w:sz w:val="24"/>
        </w:rPr>
        <w:t xml:space="preserve">la conformación </w:t>
      </w:r>
      <w:r w:rsidR="007F6D89">
        <w:rPr>
          <w:sz w:val="24"/>
        </w:rPr>
        <w:t xml:space="preserve">impar </w:t>
      </w:r>
      <w:r w:rsidR="00820321">
        <w:rPr>
          <w:sz w:val="24"/>
        </w:rPr>
        <w:t xml:space="preserve">del órgano garante por </w:t>
      </w:r>
      <w:r>
        <w:rPr>
          <w:sz w:val="24"/>
        </w:rPr>
        <w:t>3 integrantes</w:t>
      </w:r>
      <w:r w:rsidR="00820321" w:rsidRPr="00820321">
        <w:rPr>
          <w:sz w:val="24"/>
        </w:rPr>
        <w:t xml:space="preserve"> </w:t>
      </w:r>
      <w:r w:rsidR="00820321">
        <w:rPr>
          <w:sz w:val="24"/>
        </w:rPr>
        <w:t>como mínimo</w:t>
      </w:r>
      <w:r>
        <w:rPr>
          <w:sz w:val="24"/>
        </w:rPr>
        <w:t>.</w:t>
      </w:r>
    </w:p>
    <w:p w14:paraId="219B0BD8" w14:textId="43C83901" w:rsidR="001256F9" w:rsidRPr="00652BFE" w:rsidRDefault="001256F9" w:rsidP="00FC0ABC">
      <w:pPr>
        <w:pStyle w:val="Ttulo1"/>
      </w:pPr>
      <w:r>
        <w:t xml:space="preserve">Criterio </w:t>
      </w:r>
      <w:r w:rsidR="00843F74">
        <w:t>92</w:t>
      </w:r>
      <w:r w:rsidRPr="00652BFE">
        <w:t>. Estable remuneración,</w:t>
      </w:r>
      <w:r w:rsidR="00FC570D">
        <w:t xml:space="preserve"> </w:t>
      </w:r>
      <w:r w:rsidRPr="00652BFE">
        <w:t>percepciones y beneficios</w:t>
      </w:r>
      <w:r w:rsidR="00FC570D">
        <w:t xml:space="preserve"> </w:t>
      </w:r>
      <w:r w:rsidRPr="00652BFE">
        <w:t>de los consejeros del órgano garante</w:t>
      </w:r>
    </w:p>
    <w:p w14:paraId="54221A76" w14:textId="5FCB7BEE" w:rsidR="001256F9" w:rsidRDefault="001256F9" w:rsidP="001256F9">
      <w:pPr>
        <w:jc w:val="both"/>
        <w:rPr>
          <w:sz w:val="24"/>
        </w:rPr>
      </w:pPr>
      <w:r>
        <w:rPr>
          <w:b/>
          <w:sz w:val="24"/>
        </w:rPr>
        <w:t xml:space="preserve">Descripción. </w:t>
      </w:r>
      <w:r w:rsidRPr="00652BFE">
        <w:rPr>
          <w:sz w:val="24"/>
        </w:rPr>
        <w:t>La responsabilidad de las y los integrantes del órgano de conducción del órgano garante es altísima, no sólo son responsables de impulsar una política de transparencia entre los sujetos obligados, sino que son garantes de un derecho humano. Para cumplir con su mandato requieren de un alto grado de especialización y compromiso que debe ser correspond</w:t>
      </w:r>
      <w:r w:rsidR="00B544F3">
        <w:rPr>
          <w:sz w:val="24"/>
        </w:rPr>
        <w:t>ido por</w:t>
      </w:r>
      <w:r w:rsidRPr="00652BFE">
        <w:rPr>
          <w:sz w:val="24"/>
        </w:rPr>
        <w:t xml:space="preserve"> una remuneración coherente con las funciones estratégicas que desempeñan.</w:t>
      </w:r>
    </w:p>
    <w:p w14:paraId="3B5DF52A" w14:textId="6A2F441B" w:rsidR="001256F9" w:rsidRPr="00310FDF" w:rsidRDefault="001256F9" w:rsidP="00DA08AC">
      <w:pPr>
        <w:pBdr>
          <w:bottom w:val="single" w:sz="4" w:space="1" w:color="auto"/>
        </w:pBdr>
        <w:jc w:val="both"/>
        <w:rPr>
          <w:sz w:val="24"/>
        </w:rPr>
      </w:pPr>
      <w:r w:rsidRPr="00310FDF">
        <w:rPr>
          <w:b/>
          <w:sz w:val="24"/>
        </w:rPr>
        <w:t>Calificación</w:t>
      </w:r>
      <w:r w:rsidRPr="00310FDF">
        <w:rPr>
          <w:sz w:val="24"/>
        </w:rPr>
        <w:t>.</w:t>
      </w:r>
      <w:r>
        <w:rPr>
          <w:sz w:val="24"/>
        </w:rPr>
        <w:t xml:space="preserve"> </w:t>
      </w:r>
      <w:r w:rsidR="00B544F3">
        <w:rPr>
          <w:sz w:val="24"/>
        </w:rPr>
        <w:t>El m</w:t>
      </w:r>
      <w:r>
        <w:rPr>
          <w:sz w:val="24"/>
        </w:rPr>
        <w:t xml:space="preserve">arco legal establece </w:t>
      </w:r>
      <w:r w:rsidR="00F967FA">
        <w:rPr>
          <w:sz w:val="24"/>
        </w:rPr>
        <w:t>un</w:t>
      </w:r>
      <w:r w:rsidR="00B544F3">
        <w:rPr>
          <w:sz w:val="24"/>
        </w:rPr>
        <w:t xml:space="preserve">a </w:t>
      </w:r>
      <w:r w:rsidRPr="00652BFE">
        <w:rPr>
          <w:iCs/>
          <w:sz w:val="24"/>
          <w:szCs w:val="24"/>
        </w:rPr>
        <w:t>remuneración,</w:t>
      </w:r>
      <w:r w:rsidR="00FC570D">
        <w:rPr>
          <w:iCs/>
          <w:sz w:val="24"/>
          <w:szCs w:val="24"/>
        </w:rPr>
        <w:t xml:space="preserve"> </w:t>
      </w:r>
      <w:r w:rsidRPr="00652BFE">
        <w:rPr>
          <w:iCs/>
          <w:sz w:val="24"/>
          <w:szCs w:val="24"/>
        </w:rPr>
        <w:t>percepciones y beneficios</w:t>
      </w:r>
      <w:r w:rsidR="00FC570D">
        <w:rPr>
          <w:iCs/>
          <w:sz w:val="24"/>
          <w:szCs w:val="24"/>
        </w:rPr>
        <w:t xml:space="preserve"> </w:t>
      </w:r>
      <w:r w:rsidR="00B544F3">
        <w:rPr>
          <w:sz w:val="24"/>
        </w:rPr>
        <w:t xml:space="preserve">suficientes </w:t>
      </w:r>
      <w:r w:rsidR="00B544F3">
        <w:rPr>
          <w:iCs/>
          <w:sz w:val="24"/>
          <w:szCs w:val="24"/>
        </w:rPr>
        <w:t>para</w:t>
      </w:r>
      <w:r w:rsidRPr="00652BFE">
        <w:rPr>
          <w:iCs/>
          <w:sz w:val="24"/>
          <w:szCs w:val="24"/>
        </w:rPr>
        <w:t xml:space="preserve"> los </w:t>
      </w:r>
      <w:r w:rsidR="00DA08AC">
        <w:rPr>
          <w:iCs/>
          <w:sz w:val="24"/>
          <w:szCs w:val="24"/>
        </w:rPr>
        <w:t xml:space="preserve">todos los </w:t>
      </w:r>
      <w:r w:rsidRPr="00652BFE">
        <w:rPr>
          <w:iCs/>
          <w:sz w:val="24"/>
          <w:szCs w:val="24"/>
        </w:rPr>
        <w:t>consejeros del órgano garante</w:t>
      </w:r>
      <w:r w:rsidR="00DA08AC">
        <w:rPr>
          <w:iCs/>
          <w:sz w:val="24"/>
          <w:szCs w:val="24"/>
        </w:rPr>
        <w:t>, no sólo su presidente</w:t>
      </w:r>
      <w:r w:rsidRPr="00652BFE">
        <w:rPr>
          <w:iCs/>
          <w:sz w:val="24"/>
          <w:szCs w:val="24"/>
        </w:rPr>
        <w:t>.</w:t>
      </w:r>
    </w:p>
    <w:p w14:paraId="1E930D00" w14:textId="23269C5E" w:rsidR="001256F9" w:rsidRPr="00652BFE" w:rsidRDefault="001256F9" w:rsidP="00FC0ABC">
      <w:pPr>
        <w:pStyle w:val="Ttulo1"/>
      </w:pPr>
      <w:r>
        <w:t xml:space="preserve">Criterio </w:t>
      </w:r>
      <w:r w:rsidR="003577A4">
        <w:t>93</w:t>
      </w:r>
      <w:r w:rsidRPr="00652BFE">
        <w:t>. Determinan procedimiento para la renovación escalonada de Consejeros del órgano garante</w:t>
      </w:r>
    </w:p>
    <w:p w14:paraId="0A666A15" w14:textId="550ED3FF" w:rsidR="001256F9" w:rsidRDefault="001256F9" w:rsidP="001256F9">
      <w:pPr>
        <w:jc w:val="both"/>
        <w:rPr>
          <w:sz w:val="24"/>
        </w:rPr>
      </w:pPr>
      <w:r w:rsidRPr="00652BFE">
        <w:rPr>
          <w:b/>
          <w:sz w:val="24"/>
        </w:rPr>
        <w:t>Descripción.</w:t>
      </w:r>
      <w:r>
        <w:rPr>
          <w:sz w:val="24"/>
        </w:rPr>
        <w:t xml:space="preserve"> </w:t>
      </w:r>
      <w:r w:rsidRPr="00652BFE">
        <w:rPr>
          <w:sz w:val="24"/>
        </w:rPr>
        <w:t xml:space="preserve">Con la finalidad de mantener el trabajo del órgano garante y para evitar </w:t>
      </w:r>
      <w:r w:rsidR="007F4CEE">
        <w:rPr>
          <w:sz w:val="24"/>
        </w:rPr>
        <w:t>la pé</w:t>
      </w:r>
      <w:r>
        <w:rPr>
          <w:sz w:val="24"/>
        </w:rPr>
        <w:t>rdida de la memoria institucional</w:t>
      </w:r>
      <w:r w:rsidRPr="00652BFE">
        <w:rPr>
          <w:sz w:val="24"/>
        </w:rPr>
        <w:t>, se requiere considerar la renovación escalonada de sus integrantes.</w:t>
      </w:r>
    </w:p>
    <w:p w14:paraId="16005A22" w14:textId="595C89DD" w:rsidR="001256F9" w:rsidRPr="00310FDF" w:rsidRDefault="001256F9" w:rsidP="007F4CEE">
      <w:pPr>
        <w:pBdr>
          <w:bottom w:val="single" w:sz="4" w:space="1" w:color="auto"/>
        </w:pBdr>
        <w:jc w:val="both"/>
        <w:rPr>
          <w:sz w:val="24"/>
        </w:rPr>
      </w:pPr>
      <w:r w:rsidRPr="00310FDF">
        <w:rPr>
          <w:b/>
          <w:sz w:val="24"/>
        </w:rPr>
        <w:lastRenderedPageBreak/>
        <w:t>Calificación</w:t>
      </w:r>
      <w:r w:rsidRPr="00310FDF">
        <w:rPr>
          <w:sz w:val="24"/>
        </w:rPr>
        <w:t>.</w:t>
      </w:r>
      <w:r>
        <w:rPr>
          <w:sz w:val="24"/>
        </w:rPr>
        <w:t xml:space="preserve"> </w:t>
      </w:r>
      <w:r w:rsidR="00D16771">
        <w:rPr>
          <w:sz w:val="24"/>
        </w:rPr>
        <w:t>El m</w:t>
      </w:r>
      <w:r>
        <w:rPr>
          <w:sz w:val="24"/>
        </w:rPr>
        <w:t xml:space="preserve">arco legal establece </w:t>
      </w:r>
      <w:r w:rsidR="00D16771">
        <w:rPr>
          <w:sz w:val="24"/>
        </w:rPr>
        <w:t xml:space="preserve">la </w:t>
      </w:r>
      <w:r>
        <w:rPr>
          <w:iCs/>
          <w:sz w:val="24"/>
          <w:szCs w:val="24"/>
        </w:rPr>
        <w:t>renovación escalonada</w:t>
      </w:r>
      <w:r w:rsidR="00D16771">
        <w:rPr>
          <w:iCs/>
          <w:sz w:val="24"/>
          <w:szCs w:val="24"/>
        </w:rPr>
        <w:t xml:space="preserve"> de los integrantes del Consejo</w:t>
      </w:r>
      <w:r>
        <w:rPr>
          <w:iCs/>
          <w:sz w:val="24"/>
          <w:szCs w:val="24"/>
        </w:rPr>
        <w:t>.</w:t>
      </w:r>
    </w:p>
    <w:p w14:paraId="268E8E2A" w14:textId="036111FE" w:rsidR="001256F9" w:rsidRPr="00652BFE" w:rsidRDefault="001256F9" w:rsidP="00FC0ABC">
      <w:pPr>
        <w:pStyle w:val="Ttulo1"/>
      </w:pPr>
      <w:r>
        <w:t xml:space="preserve">Criterio </w:t>
      </w:r>
      <w:r w:rsidR="009A3712">
        <w:t>94</w:t>
      </w:r>
      <w:r w:rsidRPr="00652BFE">
        <w:t>. Obliga a la creación de un sistema de servicio civil</w:t>
      </w:r>
      <w:r>
        <w:t xml:space="preserve"> de carrera del órgano garante</w:t>
      </w:r>
    </w:p>
    <w:p w14:paraId="45F0A37F" w14:textId="2774F321" w:rsidR="001256F9" w:rsidRDefault="001256F9" w:rsidP="001256F9">
      <w:pPr>
        <w:jc w:val="both"/>
        <w:rPr>
          <w:sz w:val="24"/>
        </w:rPr>
      </w:pPr>
      <w:r w:rsidRPr="008054D9">
        <w:rPr>
          <w:b/>
          <w:sz w:val="24"/>
        </w:rPr>
        <w:t>Descripción.</w:t>
      </w:r>
      <w:r>
        <w:rPr>
          <w:sz w:val="24"/>
        </w:rPr>
        <w:t xml:space="preserve"> </w:t>
      </w:r>
      <w:r w:rsidRPr="00652BFE">
        <w:rPr>
          <w:sz w:val="24"/>
        </w:rPr>
        <w:t>La materia de la que se encarga el órgano garante requiere que quienes lo</w:t>
      </w:r>
      <w:r w:rsidR="00FC570D">
        <w:rPr>
          <w:sz w:val="24"/>
        </w:rPr>
        <w:t xml:space="preserve"> </w:t>
      </w:r>
      <w:r w:rsidRPr="00652BFE">
        <w:rPr>
          <w:sz w:val="24"/>
        </w:rPr>
        <w:t>integren se</w:t>
      </w:r>
      <w:r w:rsidR="00D16771">
        <w:rPr>
          <w:sz w:val="24"/>
        </w:rPr>
        <w:t>an</w:t>
      </w:r>
      <w:r w:rsidRPr="00652BFE">
        <w:rPr>
          <w:sz w:val="24"/>
        </w:rPr>
        <w:t xml:space="preserve"> especiali</w:t>
      </w:r>
      <w:r w:rsidR="00D16771">
        <w:rPr>
          <w:sz w:val="24"/>
        </w:rPr>
        <w:t>stas</w:t>
      </w:r>
      <w:r w:rsidRPr="00652BFE">
        <w:rPr>
          <w:sz w:val="24"/>
        </w:rPr>
        <w:t xml:space="preserve"> en </w:t>
      </w:r>
      <w:r w:rsidR="00D16771">
        <w:rPr>
          <w:sz w:val="24"/>
        </w:rPr>
        <w:t>ella</w:t>
      </w:r>
      <w:r w:rsidRPr="00652BFE">
        <w:rPr>
          <w:sz w:val="24"/>
        </w:rPr>
        <w:t xml:space="preserve">. Asimismo, la estabilidad y permanencia de los servidores públicos fomenta la independencia, la profesionalización y eficacia del </w:t>
      </w:r>
      <w:r w:rsidR="00D16771">
        <w:rPr>
          <w:sz w:val="24"/>
        </w:rPr>
        <w:t>ó</w:t>
      </w:r>
      <w:r w:rsidRPr="00652BFE">
        <w:rPr>
          <w:sz w:val="24"/>
        </w:rPr>
        <w:t>rgano garante.</w:t>
      </w:r>
    </w:p>
    <w:p w14:paraId="6565DA7E" w14:textId="4CA00CAF" w:rsidR="00EC3482" w:rsidRPr="00EC3482" w:rsidRDefault="001256F9" w:rsidP="009A3712">
      <w:pPr>
        <w:pBdr>
          <w:bottom w:val="single" w:sz="4" w:space="1" w:color="auto"/>
        </w:pBdr>
        <w:jc w:val="both"/>
        <w:rPr>
          <w:sz w:val="24"/>
        </w:rPr>
      </w:pPr>
      <w:r w:rsidRPr="00310FDF">
        <w:rPr>
          <w:b/>
          <w:sz w:val="24"/>
        </w:rPr>
        <w:t>Calificación</w:t>
      </w:r>
      <w:r w:rsidRPr="00310FDF">
        <w:rPr>
          <w:sz w:val="24"/>
        </w:rPr>
        <w:t>.</w:t>
      </w:r>
      <w:r>
        <w:rPr>
          <w:sz w:val="24"/>
        </w:rPr>
        <w:t xml:space="preserve"> L</w:t>
      </w:r>
      <w:r w:rsidR="00D16771">
        <w:rPr>
          <w:sz w:val="24"/>
        </w:rPr>
        <w:t>a L</w:t>
      </w:r>
      <w:r>
        <w:rPr>
          <w:sz w:val="24"/>
        </w:rPr>
        <w:t xml:space="preserve">ey obliga </w:t>
      </w:r>
      <w:r w:rsidR="00D16771">
        <w:rPr>
          <w:sz w:val="24"/>
        </w:rPr>
        <w:t xml:space="preserve">a </w:t>
      </w:r>
      <w:r>
        <w:rPr>
          <w:sz w:val="24"/>
        </w:rPr>
        <w:t>la creación del servicio civil del órgano garante</w:t>
      </w:r>
      <w:r>
        <w:rPr>
          <w:iCs/>
          <w:sz w:val="24"/>
          <w:szCs w:val="24"/>
        </w:rPr>
        <w:t>.</w:t>
      </w:r>
    </w:p>
    <w:p w14:paraId="0F7C0990" w14:textId="7DB9C4F3" w:rsidR="00EC3482" w:rsidRPr="00EC3482" w:rsidRDefault="00D4313C" w:rsidP="00917F81">
      <w:pPr>
        <w:pStyle w:val="Ttulo1"/>
        <w:ind w:left="426"/>
      </w:pPr>
      <w:r w:rsidRPr="00D4313C">
        <w:rPr>
          <w:b w:val="0"/>
        </w:rPr>
        <w:t>11</w:t>
      </w:r>
      <w:r w:rsidR="00917F81" w:rsidRPr="00D4313C">
        <w:rPr>
          <w:b w:val="0"/>
        </w:rPr>
        <w:t>.2</w:t>
      </w:r>
      <w:r w:rsidR="00917F81">
        <w:t xml:space="preserve"> </w:t>
      </w:r>
      <w:r w:rsidR="00EC3482" w:rsidRPr="00EC3482">
        <w:t>Mecanismos para la resolución de conflictos de interés y remoción de Comisionados/as</w:t>
      </w:r>
    </w:p>
    <w:p w14:paraId="2487A178" w14:textId="4AB7A4F1" w:rsidR="00EC3482" w:rsidRPr="00EC3482" w:rsidRDefault="00EC3482" w:rsidP="00EC3482">
      <w:pPr>
        <w:jc w:val="both"/>
        <w:rPr>
          <w:sz w:val="24"/>
        </w:rPr>
      </w:pPr>
      <w:r w:rsidRPr="00EC3482">
        <w:rPr>
          <w:sz w:val="24"/>
        </w:rPr>
        <w:t xml:space="preserve">Este indicador pretende medir el cumplimiento de </w:t>
      </w:r>
      <w:r w:rsidR="00871E92">
        <w:rPr>
          <w:sz w:val="24"/>
        </w:rPr>
        <w:t>las disposiciones</w:t>
      </w:r>
      <w:r w:rsidRPr="00EC3482">
        <w:rPr>
          <w:sz w:val="24"/>
        </w:rPr>
        <w:t xml:space="preserve"> necesari</w:t>
      </w:r>
      <w:r w:rsidR="00871E92">
        <w:rPr>
          <w:sz w:val="24"/>
        </w:rPr>
        <w:t>a</w:t>
      </w:r>
      <w:r w:rsidRPr="00EC3482">
        <w:rPr>
          <w:sz w:val="24"/>
        </w:rPr>
        <w:t>s para garantizar la independencia</w:t>
      </w:r>
      <w:r w:rsidR="00871E92">
        <w:rPr>
          <w:sz w:val="24"/>
        </w:rPr>
        <w:t>,</w:t>
      </w:r>
      <w:r w:rsidRPr="00EC3482">
        <w:rPr>
          <w:sz w:val="24"/>
        </w:rPr>
        <w:t xml:space="preserve"> </w:t>
      </w:r>
      <w:r w:rsidR="00871E92">
        <w:rPr>
          <w:sz w:val="24"/>
        </w:rPr>
        <w:t xml:space="preserve">la </w:t>
      </w:r>
      <w:r w:rsidRPr="00EC3482">
        <w:rPr>
          <w:sz w:val="24"/>
        </w:rPr>
        <w:t xml:space="preserve">autonomía </w:t>
      </w:r>
      <w:r w:rsidR="00871E92">
        <w:rPr>
          <w:sz w:val="24"/>
        </w:rPr>
        <w:t xml:space="preserve">y la </w:t>
      </w:r>
      <w:r w:rsidR="00871E92" w:rsidRPr="00EC3482">
        <w:rPr>
          <w:sz w:val="24"/>
        </w:rPr>
        <w:t xml:space="preserve">legitimidad de las resoluciones </w:t>
      </w:r>
      <w:r w:rsidRPr="00EC3482">
        <w:rPr>
          <w:sz w:val="24"/>
        </w:rPr>
        <w:t>frente a las presiones de</w:t>
      </w:r>
      <w:r w:rsidR="00871E92">
        <w:rPr>
          <w:sz w:val="24"/>
        </w:rPr>
        <w:t xml:space="preserve"> </w:t>
      </w:r>
      <w:r w:rsidRPr="00EC3482">
        <w:rPr>
          <w:sz w:val="24"/>
        </w:rPr>
        <w:t>l</w:t>
      </w:r>
      <w:r w:rsidR="00871E92">
        <w:rPr>
          <w:sz w:val="24"/>
        </w:rPr>
        <w:t>os</w:t>
      </w:r>
      <w:r w:rsidRPr="00EC3482">
        <w:rPr>
          <w:sz w:val="24"/>
        </w:rPr>
        <w:t xml:space="preserve"> poder</w:t>
      </w:r>
      <w:r w:rsidR="00871E92">
        <w:rPr>
          <w:sz w:val="24"/>
        </w:rPr>
        <w:t>es</w:t>
      </w:r>
      <w:r w:rsidRPr="00EC3482">
        <w:rPr>
          <w:sz w:val="24"/>
        </w:rPr>
        <w:t xml:space="preserve"> público</w:t>
      </w:r>
      <w:r w:rsidR="00871E92">
        <w:rPr>
          <w:sz w:val="24"/>
        </w:rPr>
        <w:t>s</w:t>
      </w:r>
      <w:r w:rsidRPr="00EC3482">
        <w:rPr>
          <w:sz w:val="24"/>
        </w:rPr>
        <w:t xml:space="preserve"> y privado</w:t>
      </w:r>
      <w:r w:rsidR="00871E92">
        <w:rPr>
          <w:sz w:val="24"/>
        </w:rPr>
        <w:t>s</w:t>
      </w:r>
      <w:r w:rsidRPr="00EC3482">
        <w:rPr>
          <w:sz w:val="24"/>
        </w:rPr>
        <w:t>.</w:t>
      </w:r>
    </w:p>
    <w:p w14:paraId="024A4F5D" w14:textId="1B05265F" w:rsidR="00EC3482" w:rsidRPr="00EC3482" w:rsidRDefault="00E3758A" w:rsidP="00FC0ABC">
      <w:pPr>
        <w:pStyle w:val="Ttulo1"/>
      </w:pPr>
      <w:r>
        <w:t>Criterio 95</w:t>
      </w:r>
      <w:r w:rsidR="00EC3482" w:rsidRPr="00EC3482">
        <w:t>. Establece los supuestos que obliguen a los y las comisionadas a excusarse de conocer un caso por conflicto de interés</w:t>
      </w:r>
    </w:p>
    <w:p w14:paraId="77D3634C" w14:textId="77777777" w:rsidR="00EC3482" w:rsidRPr="00EC3482" w:rsidRDefault="00EC3482" w:rsidP="00EC3482">
      <w:pPr>
        <w:jc w:val="both"/>
        <w:rPr>
          <w:sz w:val="24"/>
        </w:rPr>
      </w:pPr>
      <w:r w:rsidRPr="00EC3482">
        <w:rPr>
          <w:b/>
          <w:sz w:val="24"/>
        </w:rPr>
        <w:t>Descripción.</w:t>
      </w:r>
      <w:r w:rsidRPr="00EC3482">
        <w:rPr>
          <w:sz w:val="24"/>
        </w:rPr>
        <w:t xml:space="preserve"> Garantizar desde los órganos de dirección de los órganos garantes un desempeño que favorezca al DAI, requiere que la ley prevea en su diseño causales para excusar a las y los comisionados cuando existan antecedentes de conflictos de interés.</w:t>
      </w:r>
    </w:p>
    <w:p w14:paraId="03954384" w14:textId="188BE056" w:rsidR="00EC3482" w:rsidRPr="00EC3482" w:rsidRDefault="00EC3482" w:rsidP="00E3758A">
      <w:pPr>
        <w:pBdr>
          <w:bottom w:val="single" w:sz="4" w:space="1" w:color="auto"/>
        </w:pBdr>
        <w:jc w:val="both"/>
        <w:rPr>
          <w:sz w:val="24"/>
        </w:rPr>
      </w:pPr>
      <w:r w:rsidRPr="00EC3482">
        <w:rPr>
          <w:b/>
          <w:sz w:val="24"/>
        </w:rPr>
        <w:t>Calificación</w:t>
      </w:r>
      <w:r w:rsidRPr="00EC3482">
        <w:rPr>
          <w:sz w:val="24"/>
        </w:rPr>
        <w:t>. L</w:t>
      </w:r>
      <w:r w:rsidR="002C5284">
        <w:rPr>
          <w:sz w:val="24"/>
        </w:rPr>
        <w:t>a L</w:t>
      </w:r>
      <w:r w:rsidRPr="00EC3482">
        <w:rPr>
          <w:sz w:val="24"/>
        </w:rPr>
        <w:t xml:space="preserve">ey prevé </w:t>
      </w:r>
      <w:r w:rsidR="004464DF">
        <w:rPr>
          <w:sz w:val="24"/>
        </w:rPr>
        <w:t>procedimientos</w:t>
      </w:r>
      <w:r w:rsidR="004464DF" w:rsidRPr="00EC3482">
        <w:rPr>
          <w:sz w:val="24"/>
        </w:rPr>
        <w:t xml:space="preserve"> </w:t>
      </w:r>
      <w:r w:rsidRPr="00EC3482">
        <w:rPr>
          <w:sz w:val="24"/>
        </w:rPr>
        <w:t>para</w:t>
      </w:r>
      <w:r w:rsidR="002C5284">
        <w:rPr>
          <w:sz w:val="24"/>
        </w:rPr>
        <w:t xml:space="preserve"> que</w:t>
      </w:r>
      <w:r w:rsidRPr="00EC3482">
        <w:rPr>
          <w:sz w:val="24"/>
        </w:rPr>
        <w:t xml:space="preserve"> las y los comisionados se excusen de conocer controversias por </w:t>
      </w:r>
      <w:r w:rsidR="00E82348">
        <w:rPr>
          <w:sz w:val="24"/>
        </w:rPr>
        <w:t>existir</w:t>
      </w:r>
      <w:r w:rsidR="00E82348" w:rsidRPr="00EC3482">
        <w:rPr>
          <w:sz w:val="24"/>
        </w:rPr>
        <w:t xml:space="preserve"> </w:t>
      </w:r>
      <w:r w:rsidRPr="00EC3482">
        <w:rPr>
          <w:sz w:val="24"/>
        </w:rPr>
        <w:t>conflicto de interés</w:t>
      </w:r>
      <w:r w:rsidRPr="00EC3482">
        <w:rPr>
          <w:iCs/>
          <w:sz w:val="24"/>
        </w:rPr>
        <w:t>.</w:t>
      </w:r>
    </w:p>
    <w:p w14:paraId="104BCE89" w14:textId="530133E6" w:rsidR="00EC3482" w:rsidRPr="00EC3482" w:rsidRDefault="00E3758A" w:rsidP="00FC0ABC">
      <w:pPr>
        <w:pStyle w:val="Ttulo1"/>
      </w:pPr>
      <w:r>
        <w:t>Criterio 96</w:t>
      </w:r>
      <w:r w:rsidR="00EC3482" w:rsidRPr="00EC3482">
        <w:t>. Establece el derecho de las partes a solicitar a las y los comisionados excusarse de conocer un caso por conflicto de interés</w:t>
      </w:r>
    </w:p>
    <w:p w14:paraId="473F1E5C" w14:textId="77777777" w:rsidR="00EC3482" w:rsidRPr="00EC3482" w:rsidRDefault="00EC3482" w:rsidP="00EC3482">
      <w:pPr>
        <w:jc w:val="both"/>
        <w:rPr>
          <w:sz w:val="24"/>
        </w:rPr>
      </w:pPr>
      <w:r w:rsidRPr="00EC3482">
        <w:rPr>
          <w:b/>
          <w:sz w:val="24"/>
        </w:rPr>
        <w:lastRenderedPageBreak/>
        <w:t>Descripción.</w:t>
      </w:r>
      <w:r w:rsidRPr="00EC3482">
        <w:rPr>
          <w:sz w:val="24"/>
        </w:rPr>
        <w:t xml:space="preserve"> El marco legal debe considerar el derecho de las partes a solicitar la excusa de la o el comisionado por posible conflicto de interés frente a la controversia a resolver.</w:t>
      </w:r>
    </w:p>
    <w:p w14:paraId="5B7C78ED" w14:textId="01B6786A" w:rsidR="00EC3482" w:rsidRPr="00EC3482" w:rsidRDefault="00EC3482" w:rsidP="00E3758A">
      <w:pPr>
        <w:pBdr>
          <w:bottom w:val="single" w:sz="4" w:space="1" w:color="auto"/>
        </w:pBdr>
        <w:jc w:val="both"/>
        <w:rPr>
          <w:sz w:val="24"/>
        </w:rPr>
      </w:pPr>
      <w:r w:rsidRPr="00EC3482">
        <w:rPr>
          <w:b/>
          <w:sz w:val="24"/>
        </w:rPr>
        <w:t>Calificación</w:t>
      </w:r>
      <w:r w:rsidRPr="00EC3482">
        <w:rPr>
          <w:sz w:val="24"/>
        </w:rPr>
        <w:t>. L</w:t>
      </w:r>
      <w:r w:rsidR="00C831DA">
        <w:rPr>
          <w:sz w:val="24"/>
        </w:rPr>
        <w:t>a L</w:t>
      </w:r>
      <w:r w:rsidRPr="00EC3482">
        <w:rPr>
          <w:sz w:val="24"/>
        </w:rPr>
        <w:t>ey prevé</w:t>
      </w:r>
      <w:r w:rsidR="00C831DA">
        <w:rPr>
          <w:sz w:val="24"/>
        </w:rPr>
        <w:t>,</w:t>
      </w:r>
      <w:r w:rsidRPr="00EC3482">
        <w:rPr>
          <w:sz w:val="24"/>
        </w:rPr>
        <w:t xml:space="preserve"> como parte de los derechos de los involucrados</w:t>
      </w:r>
      <w:r w:rsidR="00C831DA">
        <w:rPr>
          <w:sz w:val="24"/>
        </w:rPr>
        <w:t>, la</w:t>
      </w:r>
      <w:r w:rsidRPr="00EC3482">
        <w:rPr>
          <w:sz w:val="24"/>
        </w:rPr>
        <w:t xml:space="preserve"> solici</w:t>
      </w:r>
      <w:r w:rsidR="00C831DA">
        <w:rPr>
          <w:sz w:val="24"/>
        </w:rPr>
        <w:t>tud</w:t>
      </w:r>
      <w:r w:rsidRPr="00EC3482">
        <w:rPr>
          <w:sz w:val="24"/>
        </w:rPr>
        <w:t xml:space="preserve"> a las y los comisionados</w:t>
      </w:r>
      <w:r w:rsidR="00C831DA">
        <w:rPr>
          <w:sz w:val="24"/>
        </w:rPr>
        <w:t xml:space="preserve"> para que</w:t>
      </w:r>
      <w:r w:rsidRPr="00EC3482">
        <w:rPr>
          <w:sz w:val="24"/>
        </w:rPr>
        <w:t xml:space="preserve"> se excusen de conocer el caso por posible conflicto de interés</w:t>
      </w:r>
      <w:r w:rsidRPr="00EC3482">
        <w:rPr>
          <w:iCs/>
          <w:sz w:val="24"/>
        </w:rPr>
        <w:t>.</w:t>
      </w:r>
    </w:p>
    <w:p w14:paraId="5137FD34" w14:textId="5EF100FF" w:rsidR="00EC3482" w:rsidRPr="00EC3482" w:rsidRDefault="00403EB2" w:rsidP="00FC0ABC">
      <w:pPr>
        <w:pStyle w:val="Ttulo1"/>
      </w:pPr>
      <w:r>
        <w:t>Criterio 97</w:t>
      </w:r>
      <w:r w:rsidR="00EC3482" w:rsidRPr="00EC3482">
        <w:t>. Establece</w:t>
      </w:r>
      <w:r w:rsidR="00BB20ED">
        <w:t xml:space="preserve"> la</w:t>
      </w:r>
      <w:r w:rsidR="00EC3482" w:rsidRPr="00EC3482">
        <w:t xml:space="preserve"> inamovilidad de las y los Comisionados a menos que medi</w:t>
      </w:r>
      <w:r w:rsidR="00BB20ED">
        <w:t>e</w:t>
      </w:r>
      <w:r w:rsidR="00EC3482" w:rsidRPr="00EC3482">
        <w:t xml:space="preserve"> causa grave</w:t>
      </w:r>
    </w:p>
    <w:p w14:paraId="6BF99D50" w14:textId="38B5929D" w:rsidR="00EC3482" w:rsidRPr="00EC3482" w:rsidRDefault="00EC3482" w:rsidP="00EC3482">
      <w:pPr>
        <w:jc w:val="both"/>
        <w:rPr>
          <w:sz w:val="24"/>
        </w:rPr>
      </w:pPr>
      <w:r w:rsidRPr="00EC3482">
        <w:rPr>
          <w:b/>
          <w:sz w:val="24"/>
        </w:rPr>
        <w:t xml:space="preserve">Descripción. </w:t>
      </w:r>
      <w:r w:rsidRPr="00EC3482">
        <w:rPr>
          <w:sz w:val="24"/>
        </w:rPr>
        <w:t xml:space="preserve">La independencia y autonomía de las y los comisionados no puede entenderse si no existe </w:t>
      </w:r>
      <w:r w:rsidR="00101B2B">
        <w:rPr>
          <w:sz w:val="24"/>
        </w:rPr>
        <w:t xml:space="preserve">la </w:t>
      </w:r>
      <w:r w:rsidRPr="00EC3482">
        <w:rPr>
          <w:sz w:val="24"/>
        </w:rPr>
        <w:t xml:space="preserve">seguridad </w:t>
      </w:r>
      <w:r w:rsidR="00101B2B">
        <w:rPr>
          <w:sz w:val="24"/>
        </w:rPr>
        <w:t>de</w:t>
      </w:r>
      <w:r w:rsidRPr="00EC3482">
        <w:rPr>
          <w:sz w:val="24"/>
        </w:rPr>
        <w:t xml:space="preserve"> permanencia </w:t>
      </w:r>
      <w:r w:rsidR="00101B2B">
        <w:rPr>
          <w:sz w:val="24"/>
        </w:rPr>
        <w:t>en</w:t>
      </w:r>
      <w:r w:rsidRPr="00EC3482">
        <w:rPr>
          <w:sz w:val="24"/>
        </w:rPr>
        <w:t xml:space="preserve"> sus cargos.</w:t>
      </w:r>
    </w:p>
    <w:p w14:paraId="6214F5B4" w14:textId="77777777" w:rsidR="00EC3482" w:rsidRPr="00EC3482" w:rsidRDefault="00EC3482" w:rsidP="00EC3482">
      <w:pPr>
        <w:jc w:val="both"/>
        <w:rPr>
          <w:sz w:val="24"/>
        </w:rPr>
      </w:pPr>
      <w:r w:rsidRPr="00EC3482">
        <w:rPr>
          <w:sz w:val="24"/>
        </w:rPr>
        <w:t xml:space="preserve">En ese sentido, el marco legal debe establecer la inamovilidad del encargo y garantías para realizar su trabajo con plena autonomía al interior del órgano garantizador de la información pública. </w:t>
      </w:r>
    </w:p>
    <w:p w14:paraId="5922ED1B" w14:textId="43E0C44E" w:rsidR="00EC3482" w:rsidRPr="00EC3482" w:rsidRDefault="00EC3482" w:rsidP="00EC3482">
      <w:pPr>
        <w:jc w:val="both"/>
        <w:rPr>
          <w:sz w:val="24"/>
        </w:rPr>
      </w:pPr>
      <w:r w:rsidRPr="00EC3482">
        <w:rPr>
          <w:sz w:val="24"/>
        </w:rPr>
        <w:t xml:space="preserve">Los supuestos de remoción del servidor público deben establecerse de forma específica en </w:t>
      </w:r>
      <w:r w:rsidR="00262D12">
        <w:rPr>
          <w:sz w:val="24"/>
        </w:rPr>
        <w:t xml:space="preserve">la </w:t>
      </w:r>
      <w:r w:rsidRPr="00EC3482">
        <w:rPr>
          <w:sz w:val="24"/>
        </w:rPr>
        <w:t>ley de transparencia, pero en ningún caso, afectar su autonomía e independencia.</w:t>
      </w:r>
    </w:p>
    <w:p w14:paraId="2BEF022C" w14:textId="51B164B8" w:rsidR="00EC3482" w:rsidRPr="00EC3482" w:rsidRDefault="00EC3482" w:rsidP="002B2ECC">
      <w:pPr>
        <w:pBdr>
          <w:bottom w:val="single" w:sz="4" w:space="1" w:color="auto"/>
        </w:pBdr>
        <w:jc w:val="both"/>
        <w:rPr>
          <w:sz w:val="24"/>
        </w:rPr>
      </w:pPr>
      <w:r w:rsidRPr="00EC3482">
        <w:rPr>
          <w:b/>
          <w:sz w:val="24"/>
        </w:rPr>
        <w:t>Calificación</w:t>
      </w:r>
      <w:r w:rsidRPr="00EC3482">
        <w:rPr>
          <w:sz w:val="24"/>
        </w:rPr>
        <w:t>. L</w:t>
      </w:r>
      <w:r w:rsidR="00262D12">
        <w:rPr>
          <w:sz w:val="24"/>
        </w:rPr>
        <w:t>a L</w:t>
      </w:r>
      <w:r w:rsidRPr="00EC3482">
        <w:rPr>
          <w:sz w:val="24"/>
        </w:rPr>
        <w:t xml:space="preserve">ey debe </w:t>
      </w:r>
      <w:r w:rsidR="00E32CD6">
        <w:rPr>
          <w:sz w:val="24"/>
        </w:rPr>
        <w:t>garantizar la</w:t>
      </w:r>
      <w:r w:rsidR="00E32CD6" w:rsidRPr="00EC3482">
        <w:rPr>
          <w:sz w:val="24"/>
        </w:rPr>
        <w:t xml:space="preserve"> </w:t>
      </w:r>
      <w:r w:rsidRPr="00EC3482">
        <w:rPr>
          <w:sz w:val="24"/>
        </w:rPr>
        <w:t xml:space="preserve">inamovilidad del encargo; </w:t>
      </w:r>
      <w:r w:rsidR="00B507C5">
        <w:rPr>
          <w:sz w:val="24"/>
        </w:rPr>
        <w:t>e</w:t>
      </w:r>
      <w:r w:rsidRPr="00EC3482">
        <w:rPr>
          <w:sz w:val="24"/>
        </w:rPr>
        <w:t xml:space="preserve">n </w:t>
      </w:r>
      <w:r w:rsidR="00B507C5">
        <w:rPr>
          <w:sz w:val="24"/>
        </w:rPr>
        <w:t>casos</w:t>
      </w:r>
      <w:r w:rsidRPr="00EC3482">
        <w:rPr>
          <w:sz w:val="24"/>
        </w:rPr>
        <w:t xml:space="preserve"> de remoción, </w:t>
      </w:r>
      <w:r w:rsidR="002B2ECC">
        <w:rPr>
          <w:sz w:val="24"/>
        </w:rPr>
        <w:t>é</w:t>
      </w:r>
      <w:r w:rsidR="00B507C5">
        <w:rPr>
          <w:sz w:val="24"/>
        </w:rPr>
        <w:t xml:space="preserve">sta debe estar suficientemente fundada </w:t>
      </w:r>
      <w:r w:rsidR="00D26709">
        <w:rPr>
          <w:sz w:val="24"/>
        </w:rPr>
        <w:t>en</w:t>
      </w:r>
      <w:r w:rsidR="00B507C5">
        <w:rPr>
          <w:sz w:val="24"/>
        </w:rPr>
        <w:t xml:space="preserve"> datos</w:t>
      </w:r>
      <w:r w:rsidRPr="00EC3482">
        <w:rPr>
          <w:sz w:val="24"/>
        </w:rPr>
        <w:t xml:space="preserve"> </w:t>
      </w:r>
      <w:r w:rsidR="00D26709">
        <w:rPr>
          <w:sz w:val="24"/>
        </w:rPr>
        <w:t xml:space="preserve">y hechos </w:t>
      </w:r>
      <w:r w:rsidRPr="00EC3482">
        <w:rPr>
          <w:sz w:val="24"/>
        </w:rPr>
        <w:t>específicos y sin afectar</w:t>
      </w:r>
      <w:r w:rsidR="00B507C5">
        <w:rPr>
          <w:sz w:val="24"/>
        </w:rPr>
        <w:t xml:space="preserve"> la</w:t>
      </w:r>
      <w:r w:rsidRPr="00EC3482">
        <w:rPr>
          <w:sz w:val="24"/>
        </w:rPr>
        <w:t xml:space="preserve"> autonomía e independencia del </w:t>
      </w:r>
      <w:r w:rsidR="00B507C5">
        <w:rPr>
          <w:sz w:val="24"/>
        </w:rPr>
        <w:t>órgano garante</w:t>
      </w:r>
      <w:r w:rsidRPr="00EC3482">
        <w:rPr>
          <w:iCs/>
          <w:sz w:val="24"/>
        </w:rPr>
        <w:t>.</w:t>
      </w:r>
    </w:p>
    <w:p w14:paraId="0B3311E7" w14:textId="0D8A1666" w:rsidR="00EC3482" w:rsidRPr="00EC3482" w:rsidRDefault="00900587" w:rsidP="00FC0ABC">
      <w:pPr>
        <w:pStyle w:val="Ttulo1"/>
      </w:pPr>
      <w:r>
        <w:t>Criterio 98</w:t>
      </w:r>
      <w:r w:rsidR="00EC3482" w:rsidRPr="00EC3482">
        <w:t>. Se especifican las causas graves para remoción de Comisionados</w:t>
      </w:r>
    </w:p>
    <w:p w14:paraId="41427C12" w14:textId="5F268032" w:rsidR="00EC3482" w:rsidRPr="00EC3482" w:rsidRDefault="00EC3482" w:rsidP="00EC3482">
      <w:pPr>
        <w:jc w:val="both"/>
        <w:rPr>
          <w:sz w:val="24"/>
        </w:rPr>
      </w:pPr>
      <w:r w:rsidRPr="00EC3482">
        <w:rPr>
          <w:b/>
          <w:sz w:val="24"/>
        </w:rPr>
        <w:t>Descripción.</w:t>
      </w:r>
      <w:r w:rsidRPr="00EC3482">
        <w:rPr>
          <w:sz w:val="24"/>
        </w:rPr>
        <w:t xml:space="preserve"> </w:t>
      </w:r>
      <w:r w:rsidR="00B76657">
        <w:rPr>
          <w:sz w:val="24"/>
        </w:rPr>
        <w:t>Si se hace necesaria l</w:t>
      </w:r>
      <w:r w:rsidRPr="00EC3482">
        <w:rPr>
          <w:sz w:val="24"/>
        </w:rPr>
        <w:t>a remoción de</w:t>
      </w:r>
      <w:r w:rsidR="00B76657">
        <w:rPr>
          <w:sz w:val="24"/>
        </w:rPr>
        <w:t xml:space="preserve"> </w:t>
      </w:r>
      <w:r w:rsidRPr="00EC3482">
        <w:rPr>
          <w:sz w:val="24"/>
        </w:rPr>
        <w:t>comisionado</w:t>
      </w:r>
      <w:r w:rsidR="006A37E7">
        <w:rPr>
          <w:sz w:val="24"/>
        </w:rPr>
        <w:t>s/as</w:t>
      </w:r>
      <w:r w:rsidR="00B76657">
        <w:rPr>
          <w:sz w:val="24"/>
        </w:rPr>
        <w:t>,</w:t>
      </w:r>
      <w:r w:rsidRPr="00EC3482">
        <w:rPr>
          <w:sz w:val="24"/>
        </w:rPr>
        <w:t xml:space="preserve"> es imprescindible que </w:t>
      </w:r>
      <w:r w:rsidR="00B76657">
        <w:rPr>
          <w:sz w:val="24"/>
        </w:rPr>
        <w:t xml:space="preserve">las causales </w:t>
      </w:r>
      <w:r w:rsidRPr="00EC3482">
        <w:rPr>
          <w:sz w:val="24"/>
        </w:rPr>
        <w:t>queden</w:t>
      </w:r>
      <w:r w:rsidR="00B76657">
        <w:rPr>
          <w:sz w:val="24"/>
        </w:rPr>
        <w:t xml:space="preserve"> claramente</w:t>
      </w:r>
      <w:r w:rsidRPr="00EC3482">
        <w:rPr>
          <w:sz w:val="24"/>
        </w:rPr>
        <w:t xml:space="preserve"> establecidas en</w:t>
      </w:r>
      <w:r w:rsidR="00B76657">
        <w:rPr>
          <w:sz w:val="24"/>
        </w:rPr>
        <w:t xml:space="preserve"> la</w:t>
      </w:r>
      <w:r w:rsidRPr="00EC3482">
        <w:rPr>
          <w:sz w:val="24"/>
        </w:rPr>
        <w:t xml:space="preserve"> ley y en todo momento </w:t>
      </w:r>
      <w:r w:rsidR="00B76657">
        <w:rPr>
          <w:sz w:val="24"/>
        </w:rPr>
        <w:t>sean protegidas</w:t>
      </w:r>
      <w:r w:rsidR="00B76657" w:rsidRPr="00EC3482">
        <w:rPr>
          <w:sz w:val="24"/>
        </w:rPr>
        <w:t xml:space="preserve"> </w:t>
      </w:r>
      <w:r w:rsidRPr="00EC3482">
        <w:rPr>
          <w:sz w:val="24"/>
        </w:rPr>
        <w:t>la autonomía, independencia e imparcialidad del órgano garante.</w:t>
      </w:r>
    </w:p>
    <w:p w14:paraId="0B7E8B0D" w14:textId="10A93337" w:rsidR="002059DC" w:rsidRPr="002059DC" w:rsidRDefault="00EC3482" w:rsidP="00042AA1">
      <w:pPr>
        <w:pBdr>
          <w:bottom w:val="single" w:sz="4" w:space="1" w:color="auto"/>
        </w:pBdr>
        <w:jc w:val="both"/>
        <w:rPr>
          <w:iCs/>
          <w:sz w:val="24"/>
        </w:rPr>
      </w:pPr>
      <w:r w:rsidRPr="00EC3482">
        <w:rPr>
          <w:b/>
          <w:sz w:val="24"/>
        </w:rPr>
        <w:t>Calificación</w:t>
      </w:r>
      <w:r w:rsidRPr="00EC3482">
        <w:rPr>
          <w:sz w:val="24"/>
        </w:rPr>
        <w:t>. L</w:t>
      </w:r>
      <w:r w:rsidR="00C803C0">
        <w:rPr>
          <w:sz w:val="24"/>
        </w:rPr>
        <w:t>a L</w:t>
      </w:r>
      <w:r w:rsidRPr="00EC3482">
        <w:rPr>
          <w:sz w:val="24"/>
        </w:rPr>
        <w:t>ey fija</w:t>
      </w:r>
      <w:r w:rsidR="00C803C0">
        <w:rPr>
          <w:sz w:val="24"/>
        </w:rPr>
        <w:t xml:space="preserve"> una</w:t>
      </w:r>
      <w:r w:rsidRPr="00EC3482">
        <w:rPr>
          <w:sz w:val="24"/>
        </w:rPr>
        <w:t xml:space="preserve"> lista de causas graves </w:t>
      </w:r>
      <w:r w:rsidR="00C803C0">
        <w:rPr>
          <w:sz w:val="24"/>
        </w:rPr>
        <w:t>cuyo resultado sea la</w:t>
      </w:r>
      <w:r w:rsidR="00C803C0" w:rsidRPr="00EC3482">
        <w:rPr>
          <w:sz w:val="24"/>
        </w:rPr>
        <w:t xml:space="preserve"> </w:t>
      </w:r>
      <w:r w:rsidRPr="00EC3482">
        <w:rPr>
          <w:sz w:val="24"/>
        </w:rPr>
        <w:t>remoción de comisionados</w:t>
      </w:r>
      <w:r w:rsidR="00084CBC">
        <w:rPr>
          <w:sz w:val="24"/>
        </w:rPr>
        <w:t xml:space="preserve"> </w:t>
      </w:r>
      <w:r w:rsidR="00084CBC" w:rsidRPr="00EC3482">
        <w:rPr>
          <w:sz w:val="24"/>
        </w:rPr>
        <w:t>sin afectar</w:t>
      </w:r>
      <w:r w:rsidR="00084CBC">
        <w:rPr>
          <w:sz w:val="24"/>
        </w:rPr>
        <w:t xml:space="preserve"> la</w:t>
      </w:r>
      <w:r w:rsidR="00084CBC" w:rsidRPr="00EC3482">
        <w:rPr>
          <w:sz w:val="24"/>
        </w:rPr>
        <w:t xml:space="preserve"> autonomía e independencia del </w:t>
      </w:r>
      <w:r w:rsidR="00084CBC">
        <w:rPr>
          <w:sz w:val="24"/>
        </w:rPr>
        <w:t>órgano garante</w:t>
      </w:r>
      <w:r w:rsidRPr="00EC3482">
        <w:rPr>
          <w:iCs/>
          <w:sz w:val="24"/>
        </w:rPr>
        <w:t>.</w:t>
      </w:r>
    </w:p>
    <w:p w14:paraId="461E6F04" w14:textId="77777777" w:rsidR="002059DC" w:rsidRDefault="002059DC" w:rsidP="00917F81">
      <w:pPr>
        <w:pStyle w:val="Ttulo1"/>
        <w:ind w:left="567"/>
      </w:pPr>
    </w:p>
    <w:p w14:paraId="162E8891" w14:textId="6AF02BCC" w:rsidR="00EC3482" w:rsidRPr="00EC3482" w:rsidRDefault="00C03729" w:rsidP="00917F81">
      <w:pPr>
        <w:pStyle w:val="Ttulo1"/>
        <w:ind w:left="567"/>
      </w:pPr>
      <w:bookmarkStart w:id="14" w:name="_12._Facultades_y"/>
      <w:bookmarkEnd w:id="14"/>
      <w:r>
        <w:lastRenderedPageBreak/>
        <w:t>12</w:t>
      </w:r>
      <w:r w:rsidR="00917F81">
        <w:t xml:space="preserve">. </w:t>
      </w:r>
      <w:r w:rsidR="00EC3482" w:rsidRPr="00EC3482">
        <w:t>Facultades y obligaciones del Órgano Garante (OG)</w:t>
      </w:r>
    </w:p>
    <w:p w14:paraId="1239E54A" w14:textId="77777777" w:rsidR="00EC3482" w:rsidRPr="00EC3482" w:rsidRDefault="00EC3482" w:rsidP="00EC3482">
      <w:pPr>
        <w:jc w:val="both"/>
        <w:rPr>
          <w:sz w:val="24"/>
        </w:rPr>
      </w:pPr>
      <w:r w:rsidRPr="00EC3482">
        <w:rPr>
          <w:sz w:val="24"/>
        </w:rPr>
        <w:t>Asegurar la institucionalidad de los órganos garantes debe establecerse a través de ley, específicamente en los apartados sobre facultades, alcances y obligaciones. El adecuado establecimiento de funciones de los OG dependerá de su capacidad para garantizar y proteger el derecho de acceso a la información.</w:t>
      </w:r>
    </w:p>
    <w:p w14:paraId="521E0DB7" w14:textId="77777777" w:rsidR="00EC3482" w:rsidRPr="00EC3482" w:rsidRDefault="00EC3482" w:rsidP="00EC3482">
      <w:pPr>
        <w:jc w:val="both"/>
        <w:rPr>
          <w:sz w:val="24"/>
        </w:rPr>
      </w:pPr>
      <w:r w:rsidRPr="00EC3482">
        <w:rPr>
          <w:sz w:val="24"/>
        </w:rPr>
        <w:t>Es importante reconocer que al tutelar un derecho se requiere del establecimiento y ejercicio de un mandato ampliado que convierta a los OG en instituciones con alcance suficiente para difundir, promover y proteger el DAI ante las posibles presiones de poderes públicos y, en particular, de los sujetos obligados.</w:t>
      </w:r>
    </w:p>
    <w:p w14:paraId="5EAB1F06" w14:textId="7815FBD8" w:rsidR="00E83057" w:rsidRPr="00EC3482" w:rsidRDefault="00CA21D9" w:rsidP="00E83057">
      <w:pPr>
        <w:pStyle w:val="Ttulo1"/>
      </w:pPr>
      <w:r>
        <w:t>Criterio 99</w:t>
      </w:r>
      <w:r w:rsidR="00E83057" w:rsidRPr="00EC3482">
        <w:t>. El pleno del órgano garante conoce y resuelve los recursos de revisión en primera instancia</w:t>
      </w:r>
    </w:p>
    <w:p w14:paraId="4938D5FB" w14:textId="77777777" w:rsidR="00E83057" w:rsidRDefault="00E83057" w:rsidP="00E83057">
      <w:pPr>
        <w:jc w:val="both"/>
        <w:rPr>
          <w:sz w:val="24"/>
        </w:rPr>
      </w:pPr>
      <w:r w:rsidRPr="00EC3482">
        <w:rPr>
          <w:b/>
          <w:sz w:val="24"/>
        </w:rPr>
        <w:t xml:space="preserve">Descripción. </w:t>
      </w:r>
      <w:r w:rsidRPr="00EC3482">
        <w:rPr>
          <w:sz w:val="24"/>
        </w:rPr>
        <w:t>La facultad del órgano garante de conocer y resolver expedita</w:t>
      </w:r>
      <w:r>
        <w:rPr>
          <w:sz w:val="24"/>
        </w:rPr>
        <w:t>mente</w:t>
      </w:r>
      <w:r w:rsidRPr="00EC3482">
        <w:rPr>
          <w:sz w:val="24"/>
        </w:rPr>
        <w:t xml:space="preserve"> las controversias en primera instancia y de forma colegiada implica la garantía de que la resolución adoptada es resultado de la deliberación de los argumentos de especialistas sobre l</w:t>
      </w:r>
      <w:r>
        <w:rPr>
          <w:sz w:val="24"/>
        </w:rPr>
        <w:t>a publicidad de la información.</w:t>
      </w:r>
    </w:p>
    <w:p w14:paraId="4CA12F94" w14:textId="2475DA92" w:rsidR="00E83057" w:rsidRPr="00E83057" w:rsidRDefault="00E83057" w:rsidP="0041236D">
      <w:pPr>
        <w:pBdr>
          <w:bottom w:val="single" w:sz="4" w:space="1" w:color="auto"/>
        </w:pBdr>
        <w:jc w:val="both"/>
        <w:rPr>
          <w:sz w:val="24"/>
        </w:rPr>
      </w:pPr>
      <w:r w:rsidRPr="00EC3482">
        <w:rPr>
          <w:b/>
          <w:sz w:val="24"/>
        </w:rPr>
        <w:t>Calificación</w:t>
      </w:r>
      <w:r w:rsidRPr="00EC3482">
        <w:rPr>
          <w:sz w:val="24"/>
        </w:rPr>
        <w:t xml:space="preserve">. </w:t>
      </w:r>
      <w:r>
        <w:rPr>
          <w:sz w:val="24"/>
        </w:rPr>
        <w:t>Se explicita la o</w:t>
      </w:r>
      <w:r w:rsidRPr="00EC3482">
        <w:rPr>
          <w:sz w:val="24"/>
        </w:rPr>
        <w:t xml:space="preserve">bligación del OG de conocer y resolver </w:t>
      </w:r>
      <w:r>
        <w:rPr>
          <w:sz w:val="24"/>
        </w:rPr>
        <w:t xml:space="preserve">controversias </w:t>
      </w:r>
      <w:r w:rsidRPr="00EC3482">
        <w:rPr>
          <w:sz w:val="24"/>
        </w:rPr>
        <w:t>en primera instancia</w:t>
      </w:r>
      <w:r w:rsidRPr="00EC3482">
        <w:rPr>
          <w:iCs/>
          <w:sz w:val="24"/>
        </w:rPr>
        <w:t>.</w:t>
      </w:r>
    </w:p>
    <w:p w14:paraId="781AFCB4" w14:textId="01F5FE25" w:rsidR="0041236D" w:rsidRPr="00EC3482" w:rsidRDefault="0041236D" w:rsidP="0041236D">
      <w:pPr>
        <w:pStyle w:val="Ttulo1"/>
        <w:rPr>
          <w:bCs/>
        </w:rPr>
      </w:pPr>
      <w:r>
        <w:t>Criterio 100</w:t>
      </w:r>
      <w:r w:rsidRPr="00917F81">
        <w:t>. Facultad para acce</w:t>
      </w:r>
      <w:r>
        <w:t>der</w:t>
      </w:r>
      <w:r w:rsidRPr="00917F81">
        <w:t xml:space="preserve"> sin restricciones a la información clasificada como reservada o confidencial por los</w:t>
      </w:r>
      <w:r w:rsidRPr="00EC3482">
        <w:rPr>
          <w:bCs/>
        </w:rPr>
        <w:t xml:space="preserve"> sujetos obligados para determinar su debida clasificación, desclasificación o</w:t>
      </w:r>
      <w:r>
        <w:rPr>
          <w:bCs/>
        </w:rPr>
        <w:t xml:space="preserve"> la</w:t>
      </w:r>
      <w:r w:rsidRPr="00EC3482">
        <w:rPr>
          <w:bCs/>
        </w:rPr>
        <w:t xml:space="preserve"> procedencia </w:t>
      </w:r>
      <w:r>
        <w:rPr>
          <w:bCs/>
        </w:rPr>
        <w:t>a</w:t>
      </w:r>
      <w:r w:rsidRPr="00EC3482">
        <w:rPr>
          <w:bCs/>
        </w:rPr>
        <w:t xml:space="preserve"> su acceso</w:t>
      </w:r>
    </w:p>
    <w:p w14:paraId="3E5D6CB8" w14:textId="77777777" w:rsidR="0041236D" w:rsidRPr="00EC3482" w:rsidRDefault="0041236D" w:rsidP="0041236D">
      <w:pPr>
        <w:jc w:val="both"/>
        <w:rPr>
          <w:sz w:val="24"/>
        </w:rPr>
      </w:pPr>
      <w:r w:rsidRPr="00EC3482">
        <w:rPr>
          <w:b/>
          <w:sz w:val="24"/>
        </w:rPr>
        <w:t>Descripción.</w:t>
      </w:r>
      <w:r w:rsidRPr="00EC3482">
        <w:rPr>
          <w:sz w:val="24"/>
        </w:rPr>
        <w:t xml:space="preserve"> La resolución de controversias en materia de acceso a la información ante los órganos garantes requiere </w:t>
      </w:r>
      <w:r>
        <w:rPr>
          <w:sz w:val="24"/>
        </w:rPr>
        <w:t>d</w:t>
      </w:r>
      <w:r w:rsidRPr="00EC3482">
        <w:rPr>
          <w:sz w:val="24"/>
        </w:rPr>
        <w:t>e</w:t>
      </w:r>
      <w:r>
        <w:rPr>
          <w:sz w:val="24"/>
        </w:rPr>
        <w:t xml:space="preserve"> su</w:t>
      </w:r>
      <w:r w:rsidRPr="00EC3482">
        <w:rPr>
          <w:sz w:val="24"/>
        </w:rPr>
        <w:t xml:space="preserve"> acceso a </w:t>
      </w:r>
      <w:r>
        <w:rPr>
          <w:sz w:val="24"/>
        </w:rPr>
        <w:t xml:space="preserve">la </w:t>
      </w:r>
      <w:r w:rsidRPr="00EC3482">
        <w:rPr>
          <w:sz w:val="24"/>
        </w:rPr>
        <w:t xml:space="preserve">información </w:t>
      </w:r>
      <w:r>
        <w:rPr>
          <w:sz w:val="24"/>
        </w:rPr>
        <w:t>relacionada</w:t>
      </w:r>
      <w:r w:rsidRPr="00EC3482">
        <w:rPr>
          <w:sz w:val="24"/>
        </w:rPr>
        <w:t xml:space="preserve">, incluso </w:t>
      </w:r>
      <w:r>
        <w:rPr>
          <w:sz w:val="24"/>
        </w:rPr>
        <w:t>si ésta ha sido</w:t>
      </w:r>
      <w:r w:rsidRPr="00EC3482">
        <w:rPr>
          <w:sz w:val="24"/>
        </w:rPr>
        <w:t xml:space="preserve"> reservada o </w:t>
      </w:r>
      <w:r>
        <w:rPr>
          <w:sz w:val="24"/>
        </w:rPr>
        <w:t xml:space="preserve">es catalogada como </w:t>
      </w:r>
      <w:r w:rsidRPr="00EC3482">
        <w:rPr>
          <w:sz w:val="24"/>
        </w:rPr>
        <w:t xml:space="preserve">confidencial, </w:t>
      </w:r>
      <w:r>
        <w:rPr>
          <w:sz w:val="24"/>
        </w:rPr>
        <w:t xml:space="preserve">ya que </w:t>
      </w:r>
      <w:r w:rsidRPr="00EC3482">
        <w:rPr>
          <w:sz w:val="24"/>
        </w:rPr>
        <w:t xml:space="preserve">sólo de esta forma </w:t>
      </w:r>
      <w:r>
        <w:rPr>
          <w:sz w:val="24"/>
        </w:rPr>
        <w:t xml:space="preserve">se </w:t>
      </w:r>
      <w:r w:rsidRPr="00EC3482">
        <w:rPr>
          <w:sz w:val="24"/>
        </w:rPr>
        <w:t>podrá evaluar y, en su caso, confirmar o modificar la clasificación original.</w:t>
      </w:r>
    </w:p>
    <w:p w14:paraId="4036244A" w14:textId="430F394B" w:rsidR="0041236D" w:rsidRPr="00A643BC" w:rsidRDefault="0041236D" w:rsidP="00A643BC">
      <w:pPr>
        <w:pBdr>
          <w:bottom w:val="single" w:sz="4" w:space="1" w:color="auto"/>
        </w:pBdr>
        <w:jc w:val="both"/>
        <w:rPr>
          <w:sz w:val="24"/>
        </w:rPr>
      </w:pPr>
      <w:r w:rsidRPr="00EC3482">
        <w:rPr>
          <w:b/>
          <w:sz w:val="24"/>
        </w:rPr>
        <w:t>Calificación</w:t>
      </w:r>
      <w:r w:rsidRPr="00EC3482">
        <w:rPr>
          <w:sz w:val="24"/>
        </w:rPr>
        <w:t xml:space="preserve">. </w:t>
      </w:r>
      <w:r>
        <w:rPr>
          <w:sz w:val="24"/>
        </w:rPr>
        <w:t>Se otorga a</w:t>
      </w:r>
      <w:r w:rsidRPr="00EC3482">
        <w:rPr>
          <w:sz w:val="24"/>
        </w:rPr>
        <w:t xml:space="preserve">tribución </w:t>
      </w:r>
      <w:r>
        <w:rPr>
          <w:sz w:val="24"/>
        </w:rPr>
        <w:t>a</w:t>
      </w:r>
      <w:r w:rsidRPr="00EC3482">
        <w:rPr>
          <w:sz w:val="24"/>
        </w:rPr>
        <w:t>l OG para acceder a información clasificada como reservada o confidencial</w:t>
      </w:r>
      <w:r>
        <w:rPr>
          <w:sz w:val="24"/>
        </w:rPr>
        <w:t xml:space="preserve"> en cualquier momento</w:t>
      </w:r>
      <w:r w:rsidRPr="00EC3482">
        <w:rPr>
          <w:iCs/>
          <w:sz w:val="24"/>
        </w:rPr>
        <w:t>.</w:t>
      </w:r>
    </w:p>
    <w:p w14:paraId="661B4141" w14:textId="7C074EF4" w:rsidR="00EC3482" w:rsidRPr="00EC3482" w:rsidRDefault="00BB4BEF" w:rsidP="00FC0ABC">
      <w:pPr>
        <w:pStyle w:val="Ttulo1"/>
      </w:pPr>
      <w:r>
        <w:lastRenderedPageBreak/>
        <w:t>Criterio 101</w:t>
      </w:r>
      <w:r w:rsidR="00EC3482" w:rsidRPr="00EC3482">
        <w:t>. Deber de implementar acciones de promoción y</w:t>
      </w:r>
      <w:r w:rsidR="00FC570D">
        <w:t xml:space="preserve"> </w:t>
      </w:r>
      <w:r w:rsidR="00EC3482" w:rsidRPr="00EC3482">
        <w:t>capacitación sobre</w:t>
      </w:r>
      <w:r w:rsidR="00FC570D">
        <w:t xml:space="preserve"> </w:t>
      </w:r>
      <w:r w:rsidR="00EC3482" w:rsidRPr="00EC3482">
        <w:t>la utilidad del derecho de acceso a la información pública</w:t>
      </w:r>
    </w:p>
    <w:p w14:paraId="3EA35113" w14:textId="74DF1B57" w:rsidR="00EC3482" w:rsidRPr="00EC3482" w:rsidRDefault="00EC3482" w:rsidP="00EC3482">
      <w:pPr>
        <w:jc w:val="both"/>
        <w:rPr>
          <w:sz w:val="24"/>
        </w:rPr>
      </w:pPr>
      <w:r w:rsidRPr="00EC3482">
        <w:rPr>
          <w:b/>
          <w:sz w:val="24"/>
        </w:rPr>
        <w:t xml:space="preserve">Descripción. </w:t>
      </w:r>
      <w:r w:rsidRPr="00EC3482">
        <w:rPr>
          <w:sz w:val="24"/>
        </w:rPr>
        <w:t>Las virtudes del ejercicio del DAI como derecho en sí mismo y derecho llave, es decir,</w:t>
      </w:r>
      <w:r w:rsidR="001E687E">
        <w:rPr>
          <w:sz w:val="24"/>
        </w:rPr>
        <w:t xml:space="preserve"> que </w:t>
      </w:r>
      <w:r w:rsidRPr="00EC3482">
        <w:rPr>
          <w:sz w:val="24"/>
        </w:rPr>
        <w:t xml:space="preserve">permite el ejercicio de otros derechos al brindar la información necesaria para </w:t>
      </w:r>
      <w:r w:rsidR="001E687E">
        <w:rPr>
          <w:sz w:val="24"/>
        </w:rPr>
        <w:t>ello</w:t>
      </w:r>
      <w:r w:rsidRPr="00EC3482">
        <w:rPr>
          <w:sz w:val="24"/>
        </w:rPr>
        <w:t>, lo convierten en un elemento fundamental en la vida democrática de un país</w:t>
      </w:r>
      <w:r w:rsidR="001E687E">
        <w:rPr>
          <w:sz w:val="24"/>
        </w:rPr>
        <w:t>, capaz incluso de</w:t>
      </w:r>
      <w:r w:rsidRPr="00EC3482">
        <w:rPr>
          <w:sz w:val="24"/>
        </w:rPr>
        <w:t xml:space="preserve"> aumentar la calidad de la participación ciudadana. Por tal motivo, </w:t>
      </w:r>
      <w:r w:rsidR="001E687E">
        <w:rPr>
          <w:sz w:val="24"/>
        </w:rPr>
        <w:t>su</w:t>
      </w:r>
      <w:r w:rsidR="001E687E" w:rsidRPr="00EC3482">
        <w:rPr>
          <w:sz w:val="24"/>
        </w:rPr>
        <w:t xml:space="preserve"> </w:t>
      </w:r>
      <w:r w:rsidRPr="00EC3482">
        <w:rPr>
          <w:sz w:val="24"/>
        </w:rPr>
        <w:t>promoción entre la población es deseable y debe formar parte de</w:t>
      </w:r>
      <w:r w:rsidR="001E687E">
        <w:rPr>
          <w:sz w:val="24"/>
        </w:rPr>
        <w:t>l</w:t>
      </w:r>
      <w:r w:rsidRPr="00EC3482">
        <w:rPr>
          <w:sz w:val="24"/>
        </w:rPr>
        <w:t xml:space="preserve"> mandato </w:t>
      </w:r>
      <w:r w:rsidR="001E687E">
        <w:rPr>
          <w:sz w:val="24"/>
        </w:rPr>
        <w:t xml:space="preserve">de </w:t>
      </w:r>
      <w:r w:rsidRPr="00EC3482">
        <w:rPr>
          <w:sz w:val="24"/>
        </w:rPr>
        <w:t>los OG, contenido en las leyes de acceso a la información y transparencia.</w:t>
      </w:r>
    </w:p>
    <w:p w14:paraId="1A6A266A" w14:textId="6D2F9041" w:rsidR="00EC3482" w:rsidRPr="00EC3482" w:rsidRDefault="00EC3482" w:rsidP="00BB4BEF">
      <w:pPr>
        <w:pBdr>
          <w:bottom w:val="single" w:sz="4" w:space="1" w:color="auto"/>
        </w:pBdr>
        <w:jc w:val="both"/>
        <w:rPr>
          <w:sz w:val="24"/>
        </w:rPr>
      </w:pPr>
      <w:r w:rsidRPr="00EC3482">
        <w:rPr>
          <w:b/>
          <w:sz w:val="24"/>
        </w:rPr>
        <w:t>Calificación</w:t>
      </w:r>
      <w:r w:rsidRPr="00EC3482">
        <w:rPr>
          <w:sz w:val="24"/>
        </w:rPr>
        <w:t xml:space="preserve">. </w:t>
      </w:r>
      <w:r w:rsidR="001E687E">
        <w:rPr>
          <w:sz w:val="24"/>
        </w:rPr>
        <w:t>Existe la obliga</w:t>
      </w:r>
      <w:r w:rsidRPr="00EC3482">
        <w:rPr>
          <w:sz w:val="24"/>
        </w:rPr>
        <w:t>ción</w:t>
      </w:r>
      <w:r w:rsidR="001E687E">
        <w:rPr>
          <w:sz w:val="24"/>
        </w:rPr>
        <w:t xml:space="preserve"> </w:t>
      </w:r>
      <w:r w:rsidR="0008662E">
        <w:rPr>
          <w:sz w:val="24"/>
        </w:rPr>
        <w:t>para</w:t>
      </w:r>
      <w:r w:rsidRPr="00EC3482">
        <w:rPr>
          <w:sz w:val="24"/>
        </w:rPr>
        <w:t xml:space="preserve"> </w:t>
      </w:r>
      <w:r w:rsidR="001E687E">
        <w:rPr>
          <w:sz w:val="24"/>
        </w:rPr>
        <w:t xml:space="preserve">los </w:t>
      </w:r>
      <w:r w:rsidRPr="00EC3482">
        <w:rPr>
          <w:sz w:val="24"/>
        </w:rPr>
        <w:t xml:space="preserve">OG </w:t>
      </w:r>
      <w:r w:rsidR="0008662E">
        <w:rPr>
          <w:sz w:val="24"/>
        </w:rPr>
        <w:t>de</w:t>
      </w:r>
      <w:r w:rsidR="0008662E" w:rsidRPr="00EC3482">
        <w:rPr>
          <w:sz w:val="24"/>
        </w:rPr>
        <w:t xml:space="preserve"> </w:t>
      </w:r>
      <w:r w:rsidRPr="00EC3482">
        <w:rPr>
          <w:sz w:val="24"/>
        </w:rPr>
        <w:t>implementar acciones de formación y capacitación</w:t>
      </w:r>
      <w:r w:rsidRPr="00EC3482">
        <w:rPr>
          <w:iCs/>
          <w:sz w:val="24"/>
        </w:rPr>
        <w:t>.</w:t>
      </w:r>
    </w:p>
    <w:p w14:paraId="7550622F" w14:textId="3546E52C" w:rsidR="00EC3482" w:rsidRPr="00EC3482" w:rsidRDefault="00491738" w:rsidP="00FC0ABC">
      <w:pPr>
        <w:pStyle w:val="Ttulo1"/>
      </w:pPr>
      <w:r>
        <w:t>Criterio 102</w:t>
      </w:r>
      <w:r w:rsidR="00EC3482" w:rsidRPr="00EC3482">
        <w:t>. Deber de implementar acciones permanentes de promoción del derecho de acceso a la información, dirigido a</w:t>
      </w:r>
      <w:r w:rsidR="00FC570D">
        <w:t xml:space="preserve"> </w:t>
      </w:r>
      <w:r w:rsidR="00EC3482" w:rsidRPr="00EC3482">
        <w:t>grupos en situación de vulnerabilidad</w:t>
      </w:r>
    </w:p>
    <w:p w14:paraId="27D38F53" w14:textId="076EC303" w:rsidR="00EC3482" w:rsidRPr="00EC3482" w:rsidRDefault="00EC3482" w:rsidP="00EC3482">
      <w:pPr>
        <w:jc w:val="both"/>
        <w:rPr>
          <w:sz w:val="24"/>
        </w:rPr>
      </w:pPr>
      <w:r w:rsidRPr="00EC3482">
        <w:rPr>
          <w:b/>
          <w:sz w:val="24"/>
        </w:rPr>
        <w:t xml:space="preserve">Descripción. </w:t>
      </w:r>
      <w:r w:rsidRPr="00EC3482">
        <w:rPr>
          <w:sz w:val="24"/>
        </w:rPr>
        <w:t>El derecho de acceso a la información es una herramienta que permite a los grupos en desventaja estar más involucrados en el desarrollo de políticas e iniciativas que los afecten. La falta de información inhibe la participación de estos grupos en su propio desarrollo al limitar sus derechos y libertades</w:t>
      </w:r>
      <w:r w:rsidR="00817A8C">
        <w:rPr>
          <w:sz w:val="24"/>
        </w:rPr>
        <w:t>,</w:t>
      </w:r>
      <w:r w:rsidRPr="00EC3482">
        <w:rPr>
          <w:sz w:val="24"/>
        </w:rPr>
        <w:t xml:space="preserve"> reafirmando su posición de vulnerabilidad.</w:t>
      </w:r>
    </w:p>
    <w:p w14:paraId="7A2E2C81" w14:textId="3F3C0835" w:rsidR="00EC3482" w:rsidRPr="00EC3482" w:rsidRDefault="00EC3482" w:rsidP="00EC3482">
      <w:pPr>
        <w:jc w:val="both"/>
        <w:rPr>
          <w:sz w:val="24"/>
        </w:rPr>
      </w:pPr>
      <w:r w:rsidRPr="00EC3482">
        <w:rPr>
          <w:sz w:val="24"/>
        </w:rPr>
        <w:t>La necesidad de prever en las legislaciones de transparencia y acceso a la información la promoción de este derecho específicamente entr</w:t>
      </w:r>
      <w:r w:rsidR="00817A8C">
        <w:rPr>
          <w:sz w:val="24"/>
        </w:rPr>
        <w:t>e</w:t>
      </w:r>
      <w:r w:rsidRPr="00EC3482">
        <w:rPr>
          <w:sz w:val="24"/>
        </w:rPr>
        <w:t xml:space="preserve"> grupos en situación de vulnerabilidad es manifiesta en aras de la consolidación de un Estado pleno de derecho.</w:t>
      </w:r>
    </w:p>
    <w:p w14:paraId="586E4A65" w14:textId="0F49F44E" w:rsidR="00EC3482" w:rsidRPr="00EC3482" w:rsidRDefault="00EC3482" w:rsidP="00491738">
      <w:pPr>
        <w:pBdr>
          <w:bottom w:val="single" w:sz="4" w:space="1" w:color="auto"/>
        </w:pBdr>
        <w:jc w:val="both"/>
        <w:rPr>
          <w:sz w:val="24"/>
        </w:rPr>
      </w:pPr>
      <w:r w:rsidRPr="00EC3482">
        <w:rPr>
          <w:b/>
          <w:sz w:val="24"/>
        </w:rPr>
        <w:t>Calificación</w:t>
      </w:r>
      <w:r w:rsidRPr="00EC3482">
        <w:rPr>
          <w:sz w:val="24"/>
        </w:rPr>
        <w:t xml:space="preserve">. </w:t>
      </w:r>
      <w:r w:rsidR="00817A8C">
        <w:rPr>
          <w:sz w:val="24"/>
        </w:rPr>
        <w:t xml:space="preserve">Existe la </w:t>
      </w:r>
      <w:r w:rsidR="0008662E">
        <w:rPr>
          <w:sz w:val="24"/>
        </w:rPr>
        <w:t>obligación</w:t>
      </w:r>
      <w:r w:rsidR="00817A8C">
        <w:rPr>
          <w:sz w:val="24"/>
        </w:rPr>
        <w:t xml:space="preserve"> </w:t>
      </w:r>
      <w:r w:rsidR="0008662E">
        <w:rPr>
          <w:sz w:val="24"/>
        </w:rPr>
        <w:t>para</w:t>
      </w:r>
      <w:r w:rsidR="00817A8C">
        <w:rPr>
          <w:sz w:val="24"/>
        </w:rPr>
        <w:t xml:space="preserve"> los</w:t>
      </w:r>
      <w:r w:rsidRPr="00EC3482">
        <w:rPr>
          <w:sz w:val="24"/>
        </w:rPr>
        <w:t xml:space="preserve"> OG </w:t>
      </w:r>
      <w:r w:rsidR="0008662E">
        <w:rPr>
          <w:sz w:val="24"/>
        </w:rPr>
        <w:t>de</w:t>
      </w:r>
      <w:r w:rsidR="0008662E" w:rsidRPr="00EC3482">
        <w:rPr>
          <w:sz w:val="24"/>
        </w:rPr>
        <w:t xml:space="preserve"> </w:t>
      </w:r>
      <w:r w:rsidRPr="00EC3482">
        <w:rPr>
          <w:sz w:val="24"/>
        </w:rPr>
        <w:t>implementar acciones de formación y capacitación</w:t>
      </w:r>
      <w:r w:rsidR="0008662E">
        <w:rPr>
          <w:sz w:val="24"/>
        </w:rPr>
        <w:t xml:space="preserve"> específicas</w:t>
      </w:r>
      <w:r w:rsidRPr="00EC3482">
        <w:rPr>
          <w:sz w:val="24"/>
        </w:rPr>
        <w:t xml:space="preserve"> con grupos vulnerados o discriminados</w:t>
      </w:r>
      <w:r w:rsidRPr="00EC3482">
        <w:rPr>
          <w:iCs/>
          <w:sz w:val="24"/>
        </w:rPr>
        <w:t>.</w:t>
      </w:r>
    </w:p>
    <w:p w14:paraId="1A28F683" w14:textId="57872F4F" w:rsidR="00EC3482" w:rsidRPr="00EC3482" w:rsidRDefault="00491738" w:rsidP="00FC0ABC">
      <w:pPr>
        <w:pStyle w:val="Ttulo1"/>
      </w:pPr>
      <w:r>
        <w:t>Criterio 103</w:t>
      </w:r>
      <w:r w:rsidR="00EC3482" w:rsidRPr="00EC3482">
        <w:t>. Promover la inclusión del derecho de acceso a la información en programas educativos</w:t>
      </w:r>
    </w:p>
    <w:p w14:paraId="3085AFB2" w14:textId="3B3ACBF4" w:rsidR="00EC3482" w:rsidRPr="00EC3482" w:rsidRDefault="00EC3482" w:rsidP="00EC3482">
      <w:pPr>
        <w:jc w:val="both"/>
        <w:rPr>
          <w:sz w:val="24"/>
        </w:rPr>
      </w:pPr>
      <w:r w:rsidRPr="00EC3482">
        <w:rPr>
          <w:b/>
          <w:sz w:val="24"/>
        </w:rPr>
        <w:t>Descripción.</w:t>
      </w:r>
      <w:r w:rsidRPr="00EC3482">
        <w:rPr>
          <w:sz w:val="24"/>
        </w:rPr>
        <w:t xml:space="preserve"> La educación formal permite fincar en las personas conocimientos, aptitudes y actitudes que faciliten el reconocimiento de las personas como sujetas de derechos. De ahí </w:t>
      </w:r>
      <w:r w:rsidRPr="00EC3482">
        <w:rPr>
          <w:sz w:val="24"/>
        </w:rPr>
        <w:lastRenderedPageBreak/>
        <w:t>la importancia de incluir en el sistema educativo el tema de transparencia y acceso a la información pública como parte de</w:t>
      </w:r>
      <w:r w:rsidR="00B1461D">
        <w:rPr>
          <w:sz w:val="24"/>
        </w:rPr>
        <w:t xml:space="preserve"> la</w:t>
      </w:r>
      <w:r w:rsidRPr="00EC3482">
        <w:rPr>
          <w:sz w:val="24"/>
        </w:rPr>
        <w:t xml:space="preserve"> </w:t>
      </w:r>
      <w:r w:rsidR="00B1461D">
        <w:rPr>
          <w:sz w:val="24"/>
        </w:rPr>
        <w:t>educación</w:t>
      </w:r>
      <w:r w:rsidR="00B1461D" w:rsidRPr="00EC3482">
        <w:rPr>
          <w:sz w:val="24"/>
        </w:rPr>
        <w:t xml:space="preserve"> </w:t>
      </w:r>
      <w:r w:rsidRPr="00EC3482">
        <w:rPr>
          <w:sz w:val="24"/>
        </w:rPr>
        <w:t xml:space="preserve">cívica y </w:t>
      </w:r>
      <w:r w:rsidR="00B1461D">
        <w:rPr>
          <w:sz w:val="24"/>
        </w:rPr>
        <w:t>ética</w:t>
      </w:r>
      <w:r w:rsidRPr="00EC3482">
        <w:rPr>
          <w:sz w:val="24"/>
        </w:rPr>
        <w:t>, área que trata los temas de formación para la democracia y los derechos humanos.</w:t>
      </w:r>
    </w:p>
    <w:p w14:paraId="13B20AAC" w14:textId="59AF262E" w:rsidR="00EC3482" w:rsidRPr="00EC3482" w:rsidRDefault="00EC3482" w:rsidP="00EC3482">
      <w:pPr>
        <w:jc w:val="both"/>
        <w:rPr>
          <w:sz w:val="24"/>
        </w:rPr>
      </w:pPr>
      <w:r w:rsidRPr="00EC3482">
        <w:rPr>
          <w:sz w:val="24"/>
        </w:rPr>
        <w:t xml:space="preserve">La inclusión de este derecho en los programas educativos ofrece la ventaja de </w:t>
      </w:r>
      <w:r w:rsidR="00507D7B">
        <w:rPr>
          <w:sz w:val="24"/>
        </w:rPr>
        <w:t>avanzar</w:t>
      </w:r>
      <w:r w:rsidR="00507D7B" w:rsidRPr="00EC3482">
        <w:rPr>
          <w:sz w:val="24"/>
        </w:rPr>
        <w:t xml:space="preserve"> </w:t>
      </w:r>
      <w:r w:rsidRPr="00EC3482">
        <w:rPr>
          <w:sz w:val="24"/>
        </w:rPr>
        <w:t>hacia la construcción de una sociedad con mayores habilidades para ejercer este derecho y contribuir a la consolidación de la democracia.</w:t>
      </w:r>
    </w:p>
    <w:p w14:paraId="30501525" w14:textId="77A6BA41" w:rsidR="00EC3482" w:rsidRPr="00EC3482" w:rsidRDefault="00EC3482" w:rsidP="00491738">
      <w:pPr>
        <w:pBdr>
          <w:bottom w:val="single" w:sz="4" w:space="1" w:color="auto"/>
        </w:pBdr>
        <w:jc w:val="both"/>
        <w:rPr>
          <w:sz w:val="24"/>
        </w:rPr>
      </w:pPr>
      <w:r w:rsidRPr="00EC3482">
        <w:rPr>
          <w:b/>
          <w:sz w:val="24"/>
        </w:rPr>
        <w:t>Calificación</w:t>
      </w:r>
      <w:r w:rsidRPr="00EC3482">
        <w:rPr>
          <w:sz w:val="24"/>
        </w:rPr>
        <w:t xml:space="preserve">. </w:t>
      </w:r>
      <w:r w:rsidR="00507D7B">
        <w:rPr>
          <w:sz w:val="24"/>
        </w:rPr>
        <w:t>Existe la obligación para los</w:t>
      </w:r>
      <w:r w:rsidR="00507D7B" w:rsidRPr="00EC3482">
        <w:rPr>
          <w:sz w:val="24"/>
        </w:rPr>
        <w:t xml:space="preserve"> OG </w:t>
      </w:r>
      <w:r w:rsidR="00507D7B">
        <w:rPr>
          <w:sz w:val="24"/>
        </w:rPr>
        <w:t xml:space="preserve">de </w:t>
      </w:r>
      <w:r w:rsidRPr="00EC3482">
        <w:rPr>
          <w:iCs/>
          <w:sz w:val="24"/>
        </w:rPr>
        <w:t xml:space="preserve">proponer contenidos </w:t>
      </w:r>
      <w:r w:rsidR="00507D7B">
        <w:rPr>
          <w:iCs/>
          <w:sz w:val="24"/>
        </w:rPr>
        <w:t xml:space="preserve">relacionados a la </w:t>
      </w:r>
      <w:r w:rsidRPr="00EC3482">
        <w:rPr>
          <w:iCs/>
          <w:sz w:val="24"/>
        </w:rPr>
        <w:t>transparencia y acceso a la información en la educación formal.</w:t>
      </w:r>
    </w:p>
    <w:p w14:paraId="0B47E9D0" w14:textId="61344C65" w:rsidR="00EC3482" w:rsidRPr="00EC3482" w:rsidRDefault="0088532C" w:rsidP="00FC0ABC">
      <w:pPr>
        <w:pStyle w:val="Ttulo1"/>
      </w:pPr>
      <w:r>
        <w:t>Criterio 104</w:t>
      </w:r>
      <w:r w:rsidR="00EC3482" w:rsidRPr="00EC3482">
        <w:t>. Promover acciones de capacitación y actualización de los sujetos obligados</w:t>
      </w:r>
    </w:p>
    <w:p w14:paraId="60E17AF8" w14:textId="02022FFF" w:rsidR="00EC3482" w:rsidRPr="00EC3482" w:rsidRDefault="00EC3482" w:rsidP="00EC3482">
      <w:pPr>
        <w:jc w:val="both"/>
        <w:rPr>
          <w:sz w:val="24"/>
        </w:rPr>
      </w:pPr>
      <w:r w:rsidRPr="00EC3482">
        <w:rPr>
          <w:b/>
          <w:sz w:val="24"/>
        </w:rPr>
        <w:t xml:space="preserve">Descripción. </w:t>
      </w:r>
      <w:r w:rsidRPr="00EC3482">
        <w:rPr>
          <w:sz w:val="24"/>
        </w:rPr>
        <w:t>En cumplimiento de la obligación internacional de promoción del derecho de acceso a la información, los órganos garantes deben tener la</w:t>
      </w:r>
      <w:r w:rsidR="00FC570D">
        <w:rPr>
          <w:sz w:val="24"/>
        </w:rPr>
        <w:t xml:space="preserve"> </w:t>
      </w:r>
      <w:r w:rsidRPr="00EC3482">
        <w:rPr>
          <w:sz w:val="24"/>
        </w:rPr>
        <w:t>facultad y obligación de proveer a las y los servidores públicos de capacitación y actualización en el manejo eficiente de archivos públicos y la generación y sistematización de la información pública. Los constantes cambios en la administración pública obligan a que ést</w:t>
      </w:r>
      <w:r w:rsidR="005F21B7">
        <w:rPr>
          <w:sz w:val="24"/>
        </w:rPr>
        <w:t>e</w:t>
      </w:r>
      <w:r w:rsidRPr="00EC3482">
        <w:rPr>
          <w:sz w:val="24"/>
        </w:rPr>
        <w:t xml:space="preserve"> sea un proceso de educación continua.</w:t>
      </w:r>
    </w:p>
    <w:p w14:paraId="453774F4" w14:textId="4CE9D0E2" w:rsidR="00EC3482" w:rsidRPr="00EC3482" w:rsidRDefault="00EC3482" w:rsidP="006E61EA">
      <w:pPr>
        <w:pBdr>
          <w:bottom w:val="single" w:sz="4" w:space="1" w:color="auto"/>
        </w:pBdr>
        <w:jc w:val="both"/>
        <w:rPr>
          <w:sz w:val="24"/>
        </w:rPr>
      </w:pPr>
      <w:r w:rsidRPr="00EC3482">
        <w:rPr>
          <w:b/>
          <w:sz w:val="24"/>
        </w:rPr>
        <w:t>Calificación</w:t>
      </w:r>
      <w:r w:rsidRPr="00EC3482">
        <w:rPr>
          <w:sz w:val="24"/>
        </w:rPr>
        <w:t xml:space="preserve">. </w:t>
      </w:r>
      <w:r w:rsidR="005F21B7">
        <w:rPr>
          <w:sz w:val="24"/>
        </w:rPr>
        <w:t>Existe la obligación para los</w:t>
      </w:r>
      <w:r w:rsidR="005F21B7" w:rsidRPr="00EC3482">
        <w:rPr>
          <w:sz w:val="24"/>
        </w:rPr>
        <w:t xml:space="preserve"> OG </w:t>
      </w:r>
      <w:r w:rsidR="005F21B7">
        <w:rPr>
          <w:sz w:val="24"/>
        </w:rPr>
        <w:t xml:space="preserve">de </w:t>
      </w:r>
      <w:r w:rsidRPr="00EC3482">
        <w:rPr>
          <w:sz w:val="24"/>
        </w:rPr>
        <w:t xml:space="preserve">proponer planes de capacitación y actualización </w:t>
      </w:r>
      <w:r w:rsidR="00F4441F">
        <w:rPr>
          <w:sz w:val="24"/>
        </w:rPr>
        <w:t>para</w:t>
      </w:r>
      <w:r w:rsidR="00F4441F" w:rsidRPr="00EC3482">
        <w:rPr>
          <w:sz w:val="24"/>
        </w:rPr>
        <w:t xml:space="preserve"> </w:t>
      </w:r>
      <w:r w:rsidRPr="00EC3482">
        <w:rPr>
          <w:sz w:val="24"/>
        </w:rPr>
        <w:t>los sujetos obligados</w:t>
      </w:r>
      <w:r w:rsidRPr="00EC3482">
        <w:rPr>
          <w:iCs/>
          <w:sz w:val="24"/>
        </w:rPr>
        <w:t>.</w:t>
      </w:r>
    </w:p>
    <w:p w14:paraId="3AEEC4FB" w14:textId="72D2E5E4" w:rsidR="0088532C" w:rsidRPr="00EC3482" w:rsidRDefault="0088532C" w:rsidP="0088532C">
      <w:pPr>
        <w:pStyle w:val="Ttulo1"/>
      </w:pPr>
      <w:r>
        <w:t>Criterio 105</w:t>
      </w:r>
      <w:r w:rsidRPr="00EC3482">
        <w:t>. Expedir los lineamientos generales y específicos para archivos y régimen de excepción</w:t>
      </w:r>
    </w:p>
    <w:p w14:paraId="750794C4" w14:textId="77777777" w:rsidR="0088532C" w:rsidRPr="00EC3482" w:rsidRDefault="0088532C" w:rsidP="0088532C">
      <w:pPr>
        <w:jc w:val="both"/>
        <w:rPr>
          <w:sz w:val="24"/>
        </w:rPr>
      </w:pPr>
      <w:r w:rsidRPr="00EC3482">
        <w:rPr>
          <w:b/>
          <w:sz w:val="24"/>
        </w:rPr>
        <w:t xml:space="preserve">Descripción. </w:t>
      </w:r>
      <w:r w:rsidRPr="00EC3482">
        <w:rPr>
          <w:sz w:val="24"/>
        </w:rPr>
        <w:t xml:space="preserve">La correcta aplicación de la Ley y su reglamento es siempre </w:t>
      </w:r>
      <w:r>
        <w:rPr>
          <w:sz w:val="24"/>
        </w:rPr>
        <w:t xml:space="preserve">un hecho </w:t>
      </w:r>
      <w:r w:rsidRPr="00EC3482">
        <w:rPr>
          <w:sz w:val="24"/>
        </w:rPr>
        <w:t>dinámico debido a los cambios generales en el país y nuevas formas de comprensión de la transparencia que obligan al órgano garante a emitir lineamientos generales que fortalezcan el ámbito de protección efectivo del DAI.</w:t>
      </w:r>
    </w:p>
    <w:p w14:paraId="3EE31D43" w14:textId="77777777" w:rsidR="0088532C" w:rsidRPr="00EC3482" w:rsidRDefault="0088532C" w:rsidP="0088532C">
      <w:pPr>
        <w:jc w:val="both"/>
        <w:rPr>
          <w:sz w:val="24"/>
        </w:rPr>
      </w:pPr>
      <w:r w:rsidRPr="00EC3482">
        <w:rPr>
          <w:sz w:val="24"/>
        </w:rPr>
        <w:t xml:space="preserve">Los lineamientos generales fortalecen la aplicación de criterios de garantía del DAI </w:t>
      </w:r>
      <w:r>
        <w:rPr>
          <w:sz w:val="24"/>
        </w:rPr>
        <w:t>y aportan soluciones</w:t>
      </w:r>
      <w:r w:rsidRPr="00EC3482">
        <w:rPr>
          <w:sz w:val="24"/>
        </w:rPr>
        <w:t xml:space="preserve"> en diferencias sustantivas en la interpretación de las leyes y reglamentos entre los sujetos </w:t>
      </w:r>
      <w:r w:rsidRPr="00EC3482">
        <w:rPr>
          <w:sz w:val="24"/>
        </w:rPr>
        <w:lastRenderedPageBreak/>
        <w:t xml:space="preserve">obligados ante </w:t>
      </w:r>
      <w:r>
        <w:rPr>
          <w:sz w:val="24"/>
        </w:rPr>
        <w:t xml:space="preserve">las </w:t>
      </w:r>
      <w:r w:rsidRPr="00EC3482">
        <w:rPr>
          <w:sz w:val="24"/>
        </w:rPr>
        <w:t>nuevas situaciones presentadas por los usuarios del sistema.</w:t>
      </w:r>
    </w:p>
    <w:p w14:paraId="0F0B2DF5" w14:textId="4B941C07" w:rsidR="0088532C" w:rsidRPr="00FE5A34" w:rsidRDefault="0088532C" w:rsidP="00FE5A34">
      <w:pPr>
        <w:pBdr>
          <w:bottom w:val="single" w:sz="4" w:space="1" w:color="auto"/>
        </w:pBdr>
        <w:jc w:val="both"/>
        <w:rPr>
          <w:sz w:val="24"/>
        </w:rPr>
      </w:pPr>
      <w:r w:rsidRPr="00EC3482">
        <w:rPr>
          <w:b/>
          <w:sz w:val="24"/>
        </w:rPr>
        <w:t>Calificación</w:t>
      </w:r>
      <w:r w:rsidRPr="00EC3482">
        <w:rPr>
          <w:sz w:val="24"/>
        </w:rPr>
        <w:t xml:space="preserve">. </w:t>
      </w:r>
      <w:r>
        <w:rPr>
          <w:sz w:val="24"/>
        </w:rPr>
        <w:t>Se explicita la o</w:t>
      </w:r>
      <w:r w:rsidRPr="00EC3482">
        <w:rPr>
          <w:sz w:val="24"/>
        </w:rPr>
        <w:t>bligación del OG de emitir lineamientos generales y específicos</w:t>
      </w:r>
      <w:r w:rsidR="00FE5A34">
        <w:rPr>
          <w:sz w:val="24"/>
        </w:rPr>
        <w:t xml:space="preserve"> tanto para archivos como para el régimen de excepción al acceso a la información</w:t>
      </w:r>
      <w:r w:rsidRPr="00EC3482">
        <w:rPr>
          <w:iCs/>
          <w:sz w:val="24"/>
        </w:rPr>
        <w:t>.</w:t>
      </w:r>
    </w:p>
    <w:p w14:paraId="7B8E8DF4" w14:textId="4D3BD7D8" w:rsidR="00EC3482" w:rsidRPr="00EC3482" w:rsidRDefault="00EC3482" w:rsidP="00FC0ABC">
      <w:pPr>
        <w:pStyle w:val="Ttulo1"/>
      </w:pPr>
      <w:r w:rsidRPr="00EC3482">
        <w:t>C</w:t>
      </w:r>
      <w:r w:rsidR="0065668E">
        <w:t>riterio 106</w:t>
      </w:r>
      <w:r w:rsidRPr="00EC3482">
        <w:t>. Previsión para establecer un sistema de archivos</w:t>
      </w:r>
    </w:p>
    <w:p w14:paraId="26E8B743" w14:textId="77777777" w:rsidR="00EC3482" w:rsidRPr="00EC3482" w:rsidRDefault="00EC3482" w:rsidP="00EC3482">
      <w:pPr>
        <w:jc w:val="both"/>
        <w:rPr>
          <w:sz w:val="24"/>
        </w:rPr>
      </w:pPr>
      <w:r w:rsidRPr="00EC3482">
        <w:rPr>
          <w:b/>
          <w:sz w:val="24"/>
        </w:rPr>
        <w:t xml:space="preserve">Descripción. </w:t>
      </w:r>
      <w:r w:rsidRPr="00EC3482">
        <w:rPr>
          <w:sz w:val="24"/>
        </w:rPr>
        <w:t>Un sistema de archivos se refiere al establecimiento de una forma de ordenar y manejar documentos que contienen “información registrada, producida o recibida en el marco de la implementación, realización y alcance de una actividad institucional o personal que engloba el contenido, el contexto y la estructura, permitiendo probar la existencia de la actividad que lo generó”.</w:t>
      </w:r>
      <w:r w:rsidRPr="00EC3482">
        <w:rPr>
          <w:sz w:val="24"/>
          <w:vertAlign w:val="superscript"/>
        </w:rPr>
        <w:footnoteReference w:id="38"/>
      </w:r>
    </w:p>
    <w:p w14:paraId="48CB554A" w14:textId="30576D55" w:rsidR="00EC3482" w:rsidRPr="00EC3482" w:rsidRDefault="00806109" w:rsidP="00EC3482">
      <w:pPr>
        <w:jc w:val="both"/>
        <w:rPr>
          <w:sz w:val="24"/>
        </w:rPr>
      </w:pPr>
      <w:r>
        <w:rPr>
          <w:sz w:val="24"/>
        </w:rPr>
        <w:t>S</w:t>
      </w:r>
      <w:r w:rsidR="00EC3482" w:rsidRPr="00EC3482">
        <w:rPr>
          <w:sz w:val="24"/>
        </w:rPr>
        <w:t>istematizar y ordenar los documentos de una institución da cuenta de sus actividades</w:t>
      </w:r>
      <w:r w:rsidR="00E95AB8">
        <w:rPr>
          <w:sz w:val="24"/>
        </w:rPr>
        <w:t>,</w:t>
      </w:r>
      <w:r w:rsidR="00EC3482" w:rsidRPr="00EC3482">
        <w:rPr>
          <w:sz w:val="24"/>
        </w:rPr>
        <w:t xml:space="preserve"> ofrece evidencia para la toma de decisiones y </w:t>
      </w:r>
      <w:r w:rsidR="00496352">
        <w:rPr>
          <w:sz w:val="24"/>
        </w:rPr>
        <w:t>posibilita la eficiencia</w:t>
      </w:r>
      <w:r w:rsidR="00496352" w:rsidRPr="00EC3482">
        <w:rPr>
          <w:sz w:val="24"/>
        </w:rPr>
        <w:t xml:space="preserve"> </w:t>
      </w:r>
      <w:r w:rsidR="00496352">
        <w:rPr>
          <w:sz w:val="24"/>
        </w:rPr>
        <w:t xml:space="preserve">en </w:t>
      </w:r>
      <w:r w:rsidR="00EC3482" w:rsidRPr="00EC3482">
        <w:rPr>
          <w:sz w:val="24"/>
        </w:rPr>
        <w:t>el desempeño institucional.</w:t>
      </w:r>
    </w:p>
    <w:p w14:paraId="3B93CA74" w14:textId="13795026" w:rsidR="00EC3482" w:rsidRPr="00EC3482" w:rsidRDefault="00EC3482" w:rsidP="0065668E">
      <w:pPr>
        <w:pBdr>
          <w:bottom w:val="single" w:sz="4" w:space="1" w:color="auto"/>
        </w:pBdr>
        <w:jc w:val="both"/>
        <w:rPr>
          <w:sz w:val="24"/>
        </w:rPr>
      </w:pPr>
      <w:r w:rsidRPr="00EC3482">
        <w:rPr>
          <w:b/>
          <w:sz w:val="24"/>
        </w:rPr>
        <w:t>Calificación</w:t>
      </w:r>
      <w:r w:rsidRPr="00EC3482">
        <w:rPr>
          <w:sz w:val="24"/>
        </w:rPr>
        <w:t xml:space="preserve">. </w:t>
      </w:r>
      <w:r w:rsidR="00806109">
        <w:rPr>
          <w:sz w:val="24"/>
        </w:rPr>
        <w:t>Existe la obligación para los</w:t>
      </w:r>
      <w:r w:rsidR="00806109" w:rsidRPr="00EC3482">
        <w:rPr>
          <w:sz w:val="24"/>
        </w:rPr>
        <w:t xml:space="preserve"> OG </w:t>
      </w:r>
      <w:r w:rsidR="00806109">
        <w:rPr>
          <w:sz w:val="24"/>
        </w:rPr>
        <w:t>de</w:t>
      </w:r>
      <w:r w:rsidR="00806109" w:rsidRPr="00EC3482">
        <w:rPr>
          <w:sz w:val="24"/>
        </w:rPr>
        <w:t xml:space="preserve"> </w:t>
      </w:r>
      <w:r w:rsidRPr="00EC3482">
        <w:rPr>
          <w:sz w:val="24"/>
        </w:rPr>
        <w:t xml:space="preserve">generar acciones para establecer </w:t>
      </w:r>
      <w:r w:rsidR="00806109">
        <w:rPr>
          <w:sz w:val="24"/>
        </w:rPr>
        <w:t xml:space="preserve">estándares en los </w:t>
      </w:r>
      <w:r w:rsidRPr="00EC3482">
        <w:rPr>
          <w:sz w:val="24"/>
        </w:rPr>
        <w:t>sistema</w:t>
      </w:r>
      <w:r w:rsidR="00806109">
        <w:rPr>
          <w:sz w:val="24"/>
        </w:rPr>
        <w:t>s</w:t>
      </w:r>
      <w:r w:rsidRPr="00EC3482">
        <w:rPr>
          <w:sz w:val="24"/>
        </w:rPr>
        <w:t xml:space="preserve"> de archivos de los sujetos obligados</w:t>
      </w:r>
      <w:r w:rsidRPr="00EC3482">
        <w:rPr>
          <w:iCs/>
          <w:sz w:val="24"/>
        </w:rPr>
        <w:t>.</w:t>
      </w:r>
    </w:p>
    <w:p w14:paraId="40B3D5F4" w14:textId="734F04B1" w:rsidR="0088532C" w:rsidRPr="00EC3482" w:rsidRDefault="0088532C" w:rsidP="0088532C">
      <w:pPr>
        <w:pStyle w:val="Ttulo1"/>
      </w:pPr>
      <w:r w:rsidRPr="00EC3482">
        <w:t>C</w:t>
      </w:r>
      <w:r w:rsidR="00B11373">
        <w:t>riterio 107</w:t>
      </w:r>
      <w:r w:rsidRPr="00EC3482">
        <w:t xml:space="preserve">. Facultad de </w:t>
      </w:r>
      <w:r w:rsidR="0063547E">
        <w:t>obligar</w:t>
      </w:r>
      <w:r w:rsidRPr="00EC3482">
        <w:t xml:space="preserve"> al sujeto obligado a generar </w:t>
      </w:r>
      <w:r>
        <w:t xml:space="preserve">la </w:t>
      </w:r>
      <w:r w:rsidRPr="00EC3482">
        <w:t xml:space="preserve">información que por sus facultades y atribuciones debe </w:t>
      </w:r>
      <w:r w:rsidR="0063547E">
        <w:t>generar</w:t>
      </w:r>
    </w:p>
    <w:p w14:paraId="4E23C051" w14:textId="77777777" w:rsidR="0088532C" w:rsidRPr="00EC3482" w:rsidRDefault="0088532C" w:rsidP="0088532C">
      <w:pPr>
        <w:jc w:val="both"/>
        <w:rPr>
          <w:sz w:val="24"/>
        </w:rPr>
      </w:pPr>
      <w:r w:rsidRPr="00EC3482">
        <w:rPr>
          <w:b/>
          <w:sz w:val="24"/>
        </w:rPr>
        <w:t xml:space="preserve">Descripción. </w:t>
      </w:r>
      <w:r w:rsidRPr="00EC3482">
        <w:rPr>
          <w:sz w:val="24"/>
        </w:rPr>
        <w:t xml:space="preserve">Garantizar un derecho debe respaldarse por un diseño institucional </w:t>
      </w:r>
      <w:r>
        <w:rPr>
          <w:sz w:val="24"/>
        </w:rPr>
        <w:t>que</w:t>
      </w:r>
      <w:r w:rsidRPr="00EC3482">
        <w:rPr>
          <w:sz w:val="24"/>
        </w:rPr>
        <w:t xml:space="preserve"> facilite la implementación. </w:t>
      </w:r>
      <w:r>
        <w:rPr>
          <w:sz w:val="24"/>
        </w:rPr>
        <w:t>Esto</w:t>
      </w:r>
      <w:r w:rsidRPr="00EC3482">
        <w:rPr>
          <w:sz w:val="24"/>
        </w:rPr>
        <w:t xml:space="preserve"> se refiere a la posibilidad de dotar a los OG de </w:t>
      </w:r>
      <w:r>
        <w:rPr>
          <w:sz w:val="24"/>
        </w:rPr>
        <w:t xml:space="preserve">la facultad de </w:t>
      </w:r>
      <w:r w:rsidRPr="00EC3482">
        <w:rPr>
          <w:sz w:val="24"/>
        </w:rPr>
        <w:t xml:space="preserve">obligar a la generación de información </w:t>
      </w:r>
      <w:r>
        <w:rPr>
          <w:sz w:val="24"/>
        </w:rPr>
        <w:t>por parte de</w:t>
      </w:r>
      <w:r w:rsidRPr="00EC3482">
        <w:rPr>
          <w:sz w:val="24"/>
        </w:rPr>
        <w:t xml:space="preserve"> los sujetos obligado</w:t>
      </w:r>
      <w:r>
        <w:rPr>
          <w:sz w:val="24"/>
        </w:rPr>
        <w:t>s</w:t>
      </w:r>
      <w:r w:rsidRPr="00EC3482">
        <w:rPr>
          <w:sz w:val="24"/>
        </w:rPr>
        <w:t xml:space="preserve"> y, en su caso, </w:t>
      </w:r>
      <w:r>
        <w:rPr>
          <w:sz w:val="24"/>
        </w:rPr>
        <w:t xml:space="preserve">a </w:t>
      </w:r>
      <w:r w:rsidRPr="00EC3482">
        <w:rPr>
          <w:sz w:val="24"/>
        </w:rPr>
        <w:t xml:space="preserve">reponer o localizar la información que por ley les corresponde resguardar. </w:t>
      </w:r>
    </w:p>
    <w:p w14:paraId="4C95B2A0" w14:textId="77777777" w:rsidR="0088532C" w:rsidRPr="00EC3482" w:rsidRDefault="0088532C" w:rsidP="0088532C">
      <w:pPr>
        <w:jc w:val="both"/>
        <w:rPr>
          <w:sz w:val="24"/>
        </w:rPr>
      </w:pPr>
      <w:r w:rsidRPr="00EC3482">
        <w:rPr>
          <w:sz w:val="24"/>
        </w:rPr>
        <w:t xml:space="preserve">Este criterio apoya el principio de progresividad, se vuelve relevante para crear círculos virtuosos a favor del DAI y cambios en las prácticas institucionales sobre negación o declaraciones de </w:t>
      </w:r>
      <w:r w:rsidRPr="00EC3482">
        <w:rPr>
          <w:sz w:val="24"/>
        </w:rPr>
        <w:lastRenderedPageBreak/>
        <w:t xml:space="preserve">inexistencias que </w:t>
      </w:r>
      <w:r>
        <w:rPr>
          <w:sz w:val="24"/>
        </w:rPr>
        <w:t>son referidas</w:t>
      </w:r>
      <w:r w:rsidRPr="00EC3482">
        <w:rPr>
          <w:sz w:val="24"/>
        </w:rPr>
        <w:t xml:space="preserve"> como respuestas habituales y distorsionan el genuino interés de la ley.</w:t>
      </w:r>
    </w:p>
    <w:p w14:paraId="2E63AB6A" w14:textId="6B49C9BE" w:rsidR="0088532C" w:rsidRPr="00E54031" w:rsidRDefault="0088532C" w:rsidP="00E54031">
      <w:pPr>
        <w:pBdr>
          <w:bottom w:val="single" w:sz="4" w:space="1" w:color="auto"/>
        </w:pBdr>
        <w:jc w:val="both"/>
        <w:rPr>
          <w:sz w:val="24"/>
        </w:rPr>
      </w:pPr>
      <w:r w:rsidRPr="00EC3482">
        <w:rPr>
          <w:b/>
          <w:sz w:val="24"/>
        </w:rPr>
        <w:t>Calificación</w:t>
      </w:r>
      <w:r w:rsidRPr="00EC3482">
        <w:rPr>
          <w:sz w:val="24"/>
        </w:rPr>
        <w:t xml:space="preserve">. </w:t>
      </w:r>
      <w:r>
        <w:rPr>
          <w:sz w:val="24"/>
        </w:rPr>
        <w:t>Existe la a</w:t>
      </w:r>
      <w:r w:rsidRPr="00EC3482">
        <w:rPr>
          <w:sz w:val="24"/>
        </w:rPr>
        <w:t>tribución otorgada al OG para</w:t>
      </w:r>
      <w:r w:rsidR="00B11373">
        <w:rPr>
          <w:sz w:val="24"/>
        </w:rPr>
        <w:t xml:space="preserve"> obligar al sujeto obligado a</w:t>
      </w:r>
      <w:r w:rsidRPr="00EC3482">
        <w:rPr>
          <w:sz w:val="24"/>
        </w:rPr>
        <w:t xml:space="preserve"> generar información</w:t>
      </w:r>
      <w:r w:rsidR="00B11373">
        <w:rPr>
          <w:sz w:val="24"/>
        </w:rPr>
        <w:t xml:space="preserve"> cuando sea declarada como inexistente</w:t>
      </w:r>
      <w:r w:rsidRPr="00EC3482">
        <w:rPr>
          <w:iCs/>
          <w:sz w:val="24"/>
        </w:rPr>
        <w:t>.</w:t>
      </w:r>
    </w:p>
    <w:p w14:paraId="0B391384" w14:textId="62CF030B" w:rsidR="00E54031" w:rsidRPr="00EC3482" w:rsidRDefault="00E54031" w:rsidP="00E54031">
      <w:pPr>
        <w:pStyle w:val="Ttulo1"/>
      </w:pPr>
      <w:r>
        <w:t>Criterio 108</w:t>
      </w:r>
      <w:r w:rsidRPr="00EC3482">
        <w:t>. Evaluar la actuación de los sujetos obligados</w:t>
      </w:r>
    </w:p>
    <w:p w14:paraId="27AE54B8" w14:textId="77777777" w:rsidR="00E54031" w:rsidRPr="00EC3482" w:rsidRDefault="00E54031" w:rsidP="00E54031">
      <w:pPr>
        <w:jc w:val="both"/>
        <w:rPr>
          <w:sz w:val="24"/>
        </w:rPr>
      </w:pPr>
      <w:r w:rsidRPr="00EC3482">
        <w:rPr>
          <w:b/>
          <w:sz w:val="24"/>
        </w:rPr>
        <w:t>Descripción.</w:t>
      </w:r>
      <w:r w:rsidRPr="00EC3482">
        <w:rPr>
          <w:sz w:val="24"/>
        </w:rPr>
        <w:t xml:space="preserve"> El OG debe contar entre sus facultades la implementaci</w:t>
      </w:r>
      <w:r>
        <w:rPr>
          <w:sz w:val="24"/>
        </w:rPr>
        <w:t>ó</w:t>
      </w:r>
      <w:r w:rsidRPr="00EC3482">
        <w:rPr>
          <w:sz w:val="24"/>
        </w:rPr>
        <w:t xml:space="preserve">n de procesos de evaluación de la actuación de los sujetos obligados y </w:t>
      </w:r>
      <w:r>
        <w:rPr>
          <w:sz w:val="24"/>
        </w:rPr>
        <w:t xml:space="preserve">de </w:t>
      </w:r>
      <w:r w:rsidRPr="00EC3482">
        <w:rPr>
          <w:sz w:val="24"/>
        </w:rPr>
        <w:t>hacer públicos dichos resultados.</w:t>
      </w:r>
    </w:p>
    <w:p w14:paraId="65F4DF4C" w14:textId="77777777" w:rsidR="00E54031" w:rsidRPr="00EC3482" w:rsidRDefault="00E54031" w:rsidP="00E54031">
      <w:pPr>
        <w:jc w:val="both"/>
        <w:rPr>
          <w:sz w:val="24"/>
        </w:rPr>
      </w:pPr>
      <w:r w:rsidRPr="00EC3482">
        <w:rPr>
          <w:sz w:val="24"/>
        </w:rPr>
        <w:t xml:space="preserve">Lo anterior debe </w:t>
      </w:r>
      <w:r>
        <w:rPr>
          <w:sz w:val="24"/>
        </w:rPr>
        <w:t>considerar</w:t>
      </w:r>
      <w:r w:rsidRPr="00EC3482">
        <w:rPr>
          <w:sz w:val="24"/>
        </w:rPr>
        <w:t>, entre otros fines, la exigencia de cumplir con el marco legal en el extremo de la</w:t>
      </w:r>
      <w:r>
        <w:rPr>
          <w:sz w:val="24"/>
        </w:rPr>
        <w:t>s</w:t>
      </w:r>
      <w:r w:rsidRPr="00EC3482">
        <w:rPr>
          <w:sz w:val="24"/>
        </w:rPr>
        <w:t xml:space="preserve"> posibilidades e incentivar permanentemente a las autoridades a cumplir con su mandato en materia de transparencia y acceso a la información.</w:t>
      </w:r>
    </w:p>
    <w:p w14:paraId="7E27593F" w14:textId="77777777" w:rsidR="00E54031" w:rsidRPr="00EC3482" w:rsidRDefault="00E54031" w:rsidP="000235F8">
      <w:pPr>
        <w:pBdr>
          <w:bottom w:val="single" w:sz="4" w:space="1" w:color="auto"/>
        </w:pBdr>
        <w:jc w:val="both"/>
        <w:rPr>
          <w:sz w:val="24"/>
        </w:rPr>
      </w:pPr>
      <w:r w:rsidRPr="00EC3482">
        <w:rPr>
          <w:b/>
          <w:sz w:val="24"/>
        </w:rPr>
        <w:t>Calificación</w:t>
      </w:r>
      <w:r w:rsidRPr="00EC3482">
        <w:rPr>
          <w:sz w:val="24"/>
        </w:rPr>
        <w:t xml:space="preserve">. </w:t>
      </w:r>
      <w:r>
        <w:rPr>
          <w:sz w:val="24"/>
        </w:rPr>
        <w:t>Se otorga a</w:t>
      </w:r>
      <w:r w:rsidRPr="00EC3482">
        <w:rPr>
          <w:sz w:val="24"/>
        </w:rPr>
        <w:t xml:space="preserve">tribución </w:t>
      </w:r>
      <w:r>
        <w:rPr>
          <w:sz w:val="24"/>
        </w:rPr>
        <w:t>a</w:t>
      </w:r>
      <w:r w:rsidRPr="00EC3482">
        <w:rPr>
          <w:sz w:val="24"/>
        </w:rPr>
        <w:t>l OG para implementar procesos de evaluación a los sujetos obligados</w:t>
      </w:r>
      <w:r w:rsidRPr="00EC3482">
        <w:rPr>
          <w:iCs/>
          <w:sz w:val="24"/>
        </w:rPr>
        <w:t>.</w:t>
      </w:r>
    </w:p>
    <w:p w14:paraId="4697C2A4" w14:textId="7BB8CBB7" w:rsidR="00E54031" w:rsidRPr="00EC3482" w:rsidRDefault="000235F8" w:rsidP="00E54031">
      <w:pPr>
        <w:pStyle w:val="Ttulo1"/>
      </w:pPr>
      <w:r>
        <w:t>Criterio 109</w:t>
      </w:r>
      <w:r w:rsidR="00E54031" w:rsidRPr="00EC3482">
        <w:t>. Verificar el cumplimiento de la publicación de las obligaciones de transparencia</w:t>
      </w:r>
    </w:p>
    <w:p w14:paraId="4712F80D" w14:textId="77777777" w:rsidR="00E54031" w:rsidRPr="00EC3482" w:rsidRDefault="00E54031" w:rsidP="00E54031">
      <w:pPr>
        <w:jc w:val="both"/>
        <w:rPr>
          <w:sz w:val="24"/>
        </w:rPr>
      </w:pPr>
      <w:r w:rsidRPr="00EC3482">
        <w:rPr>
          <w:b/>
          <w:sz w:val="24"/>
        </w:rPr>
        <w:t xml:space="preserve">Descripción. </w:t>
      </w:r>
      <w:r w:rsidRPr="00EC3482">
        <w:rPr>
          <w:sz w:val="24"/>
        </w:rPr>
        <w:t xml:space="preserve">En consonancia con la facultad para verificar el cumplimiento de las obligaciones de DAI para los sujetos obligados, es fundamental que el órgano garante pueda supervisar la publicidad de estos procesos, es decir, observar el cumplimiento de las obligaciones, vigilar su publicación en </w:t>
      </w:r>
      <w:r>
        <w:rPr>
          <w:sz w:val="24"/>
        </w:rPr>
        <w:t xml:space="preserve">los </w:t>
      </w:r>
      <w:r w:rsidRPr="00EC3482">
        <w:rPr>
          <w:sz w:val="24"/>
        </w:rPr>
        <w:t xml:space="preserve">términos exigidos por </w:t>
      </w:r>
      <w:r>
        <w:rPr>
          <w:sz w:val="24"/>
        </w:rPr>
        <w:t xml:space="preserve">la </w:t>
      </w:r>
      <w:r w:rsidRPr="00EC3482">
        <w:rPr>
          <w:sz w:val="24"/>
        </w:rPr>
        <w:t xml:space="preserve">ley y garantizar a los usuarios que los sujetos obligados cumplan </w:t>
      </w:r>
      <w:r>
        <w:rPr>
          <w:sz w:val="24"/>
        </w:rPr>
        <w:t xml:space="preserve">en </w:t>
      </w:r>
      <w:r w:rsidRPr="00EC3482">
        <w:rPr>
          <w:sz w:val="24"/>
        </w:rPr>
        <w:t>tiempo y forma con la publicidad de la Información de Oficio.</w:t>
      </w:r>
    </w:p>
    <w:p w14:paraId="3DC2E8D5" w14:textId="77777777" w:rsidR="00E54031" w:rsidRPr="00EC3482" w:rsidRDefault="00E54031" w:rsidP="000235F8">
      <w:pPr>
        <w:pBdr>
          <w:bottom w:val="single" w:sz="4" w:space="1" w:color="auto"/>
        </w:pBdr>
        <w:jc w:val="both"/>
        <w:rPr>
          <w:sz w:val="24"/>
        </w:rPr>
      </w:pPr>
      <w:r w:rsidRPr="00EC3482">
        <w:rPr>
          <w:b/>
          <w:sz w:val="24"/>
        </w:rPr>
        <w:t>Calificación</w:t>
      </w:r>
      <w:r w:rsidRPr="00EC3482">
        <w:rPr>
          <w:sz w:val="24"/>
        </w:rPr>
        <w:t xml:space="preserve">. </w:t>
      </w:r>
      <w:r>
        <w:rPr>
          <w:sz w:val="24"/>
        </w:rPr>
        <w:t>Existe la o</w:t>
      </w:r>
      <w:r w:rsidRPr="00EC3482">
        <w:rPr>
          <w:sz w:val="24"/>
        </w:rPr>
        <w:t xml:space="preserve">bligación del OG </w:t>
      </w:r>
      <w:r>
        <w:rPr>
          <w:sz w:val="24"/>
        </w:rPr>
        <w:t xml:space="preserve">de </w:t>
      </w:r>
      <w:r w:rsidRPr="00EC3482">
        <w:rPr>
          <w:sz w:val="24"/>
        </w:rPr>
        <w:t>verificar la publicación de las obligaciones de transparencia</w:t>
      </w:r>
      <w:r w:rsidRPr="00EC3482">
        <w:rPr>
          <w:iCs/>
          <w:sz w:val="24"/>
        </w:rPr>
        <w:t>.</w:t>
      </w:r>
    </w:p>
    <w:p w14:paraId="796B129C" w14:textId="7F47D0BB" w:rsidR="00E54031" w:rsidRPr="00EC3482" w:rsidRDefault="00E54031" w:rsidP="00E54031">
      <w:pPr>
        <w:pStyle w:val="Ttulo1"/>
      </w:pPr>
      <w:r>
        <w:t xml:space="preserve">Criterio </w:t>
      </w:r>
      <w:r w:rsidR="000235F8">
        <w:t>110</w:t>
      </w:r>
      <w:r w:rsidRPr="00EC3482">
        <w:t>. Vigilar el cumplimiento de sus resoluciones</w:t>
      </w:r>
    </w:p>
    <w:p w14:paraId="1BB5E5B5" w14:textId="77777777" w:rsidR="00E54031" w:rsidRPr="00EC3482" w:rsidRDefault="00E54031" w:rsidP="00E54031">
      <w:pPr>
        <w:jc w:val="both"/>
        <w:rPr>
          <w:sz w:val="24"/>
        </w:rPr>
      </w:pPr>
      <w:r w:rsidRPr="00EC3482">
        <w:rPr>
          <w:b/>
          <w:sz w:val="24"/>
        </w:rPr>
        <w:t xml:space="preserve">Descripción. </w:t>
      </w:r>
      <w:r w:rsidRPr="00EC3482">
        <w:rPr>
          <w:sz w:val="24"/>
        </w:rPr>
        <w:t>La satisfacción plena del DAI se ejerce cuando la</w:t>
      </w:r>
      <w:r>
        <w:rPr>
          <w:sz w:val="24"/>
        </w:rPr>
        <w:t xml:space="preserve"> </w:t>
      </w:r>
      <w:r w:rsidRPr="00EC3482">
        <w:rPr>
          <w:sz w:val="24"/>
        </w:rPr>
        <w:t>información, materia de recurso de revisión, es liberada. El órgano garante debe</w:t>
      </w:r>
      <w:r>
        <w:rPr>
          <w:sz w:val="24"/>
        </w:rPr>
        <w:t xml:space="preserve"> entonces</w:t>
      </w:r>
      <w:r w:rsidRPr="00EC3482">
        <w:rPr>
          <w:sz w:val="24"/>
        </w:rPr>
        <w:t xml:space="preserve"> implementar medidas que aseguren que </w:t>
      </w:r>
      <w:r>
        <w:rPr>
          <w:sz w:val="24"/>
        </w:rPr>
        <w:lastRenderedPageBreak/>
        <w:t xml:space="preserve">dicha liberación </w:t>
      </w:r>
      <w:r w:rsidRPr="00EC3482">
        <w:rPr>
          <w:sz w:val="24"/>
        </w:rPr>
        <w:t>se realiza y cumple con las características acordadas por el órgano.</w:t>
      </w:r>
    </w:p>
    <w:p w14:paraId="2C3A0E1F" w14:textId="77777777" w:rsidR="00E54031" w:rsidRPr="00EC3482" w:rsidRDefault="00E54031" w:rsidP="00860424">
      <w:pPr>
        <w:pBdr>
          <w:bottom w:val="single" w:sz="4" w:space="1" w:color="auto"/>
        </w:pBdr>
        <w:jc w:val="both"/>
        <w:rPr>
          <w:sz w:val="24"/>
        </w:rPr>
      </w:pPr>
      <w:r w:rsidRPr="00EC3482">
        <w:rPr>
          <w:b/>
          <w:sz w:val="24"/>
        </w:rPr>
        <w:t>Calificación</w:t>
      </w:r>
      <w:r w:rsidRPr="00EC3482">
        <w:rPr>
          <w:sz w:val="24"/>
        </w:rPr>
        <w:t xml:space="preserve">. </w:t>
      </w:r>
      <w:r>
        <w:rPr>
          <w:sz w:val="24"/>
        </w:rPr>
        <w:t>Existe la o</w:t>
      </w:r>
      <w:r w:rsidRPr="00EC3482">
        <w:rPr>
          <w:sz w:val="24"/>
        </w:rPr>
        <w:t>bligación del OG de implementar procesos de seguimiento para el cumplimiento de las resoluciones</w:t>
      </w:r>
      <w:r w:rsidRPr="00EC3482">
        <w:rPr>
          <w:iCs/>
          <w:sz w:val="24"/>
        </w:rPr>
        <w:t>.</w:t>
      </w:r>
    </w:p>
    <w:p w14:paraId="4A3C8C09" w14:textId="0C1AF9B0" w:rsidR="00E54031" w:rsidRPr="00917F81" w:rsidRDefault="00E54031" w:rsidP="00E54031">
      <w:pPr>
        <w:pStyle w:val="Ttulo1"/>
      </w:pPr>
      <w:r>
        <w:t xml:space="preserve">Criterio </w:t>
      </w:r>
      <w:r w:rsidRPr="00EC3482">
        <w:t>11</w:t>
      </w:r>
      <w:r w:rsidR="00916D56">
        <w:t>1</w:t>
      </w:r>
      <w:r w:rsidRPr="00EC3482">
        <w:t>. Recibir y conocer los hechos que sean o pudieran ser constitutivos de infracciones a la Ley de Acceso a la Información</w:t>
      </w:r>
    </w:p>
    <w:p w14:paraId="0FD507C5" w14:textId="77777777" w:rsidR="00E54031" w:rsidRPr="00EC3482" w:rsidRDefault="00E54031" w:rsidP="00E54031">
      <w:pPr>
        <w:jc w:val="both"/>
        <w:rPr>
          <w:sz w:val="24"/>
        </w:rPr>
      </w:pPr>
      <w:r w:rsidRPr="00EC3482">
        <w:rPr>
          <w:b/>
          <w:sz w:val="24"/>
        </w:rPr>
        <w:t xml:space="preserve">Descripción. </w:t>
      </w:r>
      <w:r w:rsidRPr="00EC3482">
        <w:rPr>
          <w:sz w:val="24"/>
        </w:rPr>
        <w:t>Los órganos garantes del DAI deben tener la facultad de recibir y conocer los hechos que pudieran ser constitutivos de infracciones a la LFTAIPG o sus hom</w:t>
      </w:r>
      <w:r>
        <w:rPr>
          <w:sz w:val="24"/>
        </w:rPr>
        <w:t>ó</w:t>
      </w:r>
      <w:r w:rsidRPr="00EC3482">
        <w:rPr>
          <w:sz w:val="24"/>
        </w:rPr>
        <w:t>logas.</w:t>
      </w:r>
    </w:p>
    <w:p w14:paraId="7A97C384" w14:textId="67DC2A1D" w:rsidR="00E54031" w:rsidRPr="00EC3482" w:rsidRDefault="00E54031" w:rsidP="00916D56">
      <w:pPr>
        <w:pBdr>
          <w:bottom w:val="single" w:sz="4" w:space="1" w:color="auto"/>
        </w:pBdr>
        <w:jc w:val="both"/>
        <w:rPr>
          <w:sz w:val="24"/>
        </w:rPr>
      </w:pPr>
      <w:r w:rsidRPr="00EC3482">
        <w:rPr>
          <w:b/>
          <w:sz w:val="24"/>
        </w:rPr>
        <w:t>Calificación</w:t>
      </w:r>
      <w:r w:rsidRPr="00EC3482">
        <w:rPr>
          <w:sz w:val="24"/>
        </w:rPr>
        <w:t xml:space="preserve">. Atribución del OG de recibir y conocer de hechos constitutivos de </w:t>
      </w:r>
      <w:r w:rsidR="00916D56">
        <w:rPr>
          <w:sz w:val="24"/>
        </w:rPr>
        <w:t>violaciones a ley de acceso a la información</w:t>
      </w:r>
      <w:r w:rsidRPr="00EC3482">
        <w:rPr>
          <w:iCs/>
          <w:sz w:val="24"/>
        </w:rPr>
        <w:t>.</w:t>
      </w:r>
    </w:p>
    <w:p w14:paraId="2B348C93" w14:textId="204AC49D" w:rsidR="00E54031" w:rsidRPr="00EC3482" w:rsidRDefault="00E54031" w:rsidP="00E54031">
      <w:pPr>
        <w:pStyle w:val="Ttulo1"/>
      </w:pPr>
      <w:r>
        <w:t xml:space="preserve">Criterio </w:t>
      </w:r>
      <w:r w:rsidR="00002A42">
        <w:t>112</w:t>
      </w:r>
      <w:r w:rsidRPr="00EC3482">
        <w:t>. Denunciar a la autoridad competente las infracciones en la materia o aplicar directamente sanciones</w:t>
      </w:r>
    </w:p>
    <w:p w14:paraId="1A01B35A" w14:textId="77777777" w:rsidR="00E54031" w:rsidRPr="00EC3482" w:rsidRDefault="00E54031" w:rsidP="00E54031">
      <w:pPr>
        <w:jc w:val="both"/>
        <w:rPr>
          <w:sz w:val="24"/>
        </w:rPr>
      </w:pPr>
      <w:r w:rsidRPr="00EC3482">
        <w:rPr>
          <w:b/>
          <w:sz w:val="24"/>
        </w:rPr>
        <w:t xml:space="preserve">Descripción. </w:t>
      </w:r>
      <w:r w:rsidRPr="00EC3482">
        <w:rPr>
          <w:sz w:val="24"/>
        </w:rPr>
        <w:t>El órgano garante</w:t>
      </w:r>
      <w:r>
        <w:rPr>
          <w:sz w:val="24"/>
        </w:rPr>
        <w:t>,</w:t>
      </w:r>
      <w:r w:rsidRPr="00EC3482">
        <w:rPr>
          <w:sz w:val="24"/>
        </w:rPr>
        <w:t xml:space="preserve"> para cumplir a cabalidad con su función, requiere que la ley prevea supuestos para imponer sanciones de manera directa cuando se cometan infracciones a la ley y/o denunciar dichas infracciones ante las autoridades competentes cuando sean constitutivas de delitos. </w:t>
      </w:r>
    </w:p>
    <w:p w14:paraId="4E4A5644" w14:textId="77777777" w:rsidR="00E54031" w:rsidRPr="00EC3482" w:rsidRDefault="00E54031" w:rsidP="00002A42">
      <w:pPr>
        <w:pBdr>
          <w:bottom w:val="single" w:sz="4" w:space="1" w:color="auto"/>
        </w:pBdr>
        <w:jc w:val="both"/>
        <w:rPr>
          <w:sz w:val="24"/>
        </w:rPr>
      </w:pPr>
      <w:r w:rsidRPr="00EC3482">
        <w:rPr>
          <w:b/>
          <w:sz w:val="24"/>
        </w:rPr>
        <w:t>Calificación</w:t>
      </w:r>
      <w:r w:rsidRPr="00EC3482">
        <w:rPr>
          <w:sz w:val="24"/>
        </w:rPr>
        <w:t xml:space="preserve">. </w:t>
      </w:r>
      <w:r>
        <w:rPr>
          <w:sz w:val="24"/>
        </w:rPr>
        <w:t>Existe la a</w:t>
      </w:r>
      <w:r w:rsidRPr="00EC3482">
        <w:rPr>
          <w:sz w:val="24"/>
        </w:rPr>
        <w:t xml:space="preserve">tribución del OG para aplicar sanciones o denunciar ante autoridad </w:t>
      </w:r>
      <w:r>
        <w:rPr>
          <w:sz w:val="24"/>
        </w:rPr>
        <w:t>competente las</w:t>
      </w:r>
      <w:r w:rsidRPr="00EC3482">
        <w:rPr>
          <w:sz w:val="24"/>
        </w:rPr>
        <w:t xml:space="preserve"> infracciones a la ley de transparencia</w:t>
      </w:r>
      <w:r w:rsidRPr="00EC3482">
        <w:rPr>
          <w:iCs/>
          <w:sz w:val="24"/>
        </w:rPr>
        <w:t>.</w:t>
      </w:r>
    </w:p>
    <w:p w14:paraId="52290887" w14:textId="77777777" w:rsidR="00E54031" w:rsidRDefault="00E54031" w:rsidP="00FC0ABC">
      <w:pPr>
        <w:pStyle w:val="Ttulo1"/>
      </w:pPr>
    </w:p>
    <w:p w14:paraId="72EF4B81" w14:textId="636F7436" w:rsidR="00745C94" w:rsidRPr="00EC3482" w:rsidRDefault="001E23FC" w:rsidP="00745C94">
      <w:pPr>
        <w:pStyle w:val="Ttulo1"/>
      </w:pPr>
      <w:r>
        <w:t>Criterio 113</w:t>
      </w:r>
      <w:r w:rsidR="00745C94" w:rsidRPr="00EC3482">
        <w:t>. Sesiones públicas de los órganos garantes</w:t>
      </w:r>
    </w:p>
    <w:p w14:paraId="61309843" w14:textId="77777777" w:rsidR="00745C94" w:rsidRPr="00EC3482" w:rsidRDefault="00745C94" w:rsidP="00745C94">
      <w:pPr>
        <w:jc w:val="both"/>
        <w:rPr>
          <w:sz w:val="24"/>
        </w:rPr>
      </w:pPr>
      <w:r w:rsidRPr="00EC3482">
        <w:rPr>
          <w:b/>
          <w:sz w:val="24"/>
        </w:rPr>
        <w:t xml:space="preserve">Descripción. </w:t>
      </w:r>
      <w:r w:rsidRPr="00EC3482">
        <w:rPr>
          <w:sz w:val="24"/>
        </w:rPr>
        <w:t xml:space="preserve">Dado que las sesiones del pleno de los órganos garantes de la transparencia representan el espacio en donde se toman las decisiones de alto nivel en relación a la protección del DAI, el conocimiento de su contenido es fundamental para comprender los parámetros interpretativos de la legislación en la materia. La publicidad de estas sesiones </w:t>
      </w:r>
      <w:r>
        <w:rPr>
          <w:sz w:val="24"/>
        </w:rPr>
        <w:t>evidencia la</w:t>
      </w:r>
      <w:r w:rsidRPr="00EC3482">
        <w:rPr>
          <w:sz w:val="24"/>
        </w:rPr>
        <w:t xml:space="preserve"> relevancia del </w:t>
      </w:r>
      <w:r>
        <w:rPr>
          <w:sz w:val="24"/>
        </w:rPr>
        <w:t xml:space="preserve">trabajo del </w:t>
      </w:r>
      <w:r w:rsidRPr="00EC3482">
        <w:rPr>
          <w:sz w:val="24"/>
        </w:rPr>
        <w:t>DAI en la gestión pública.</w:t>
      </w:r>
    </w:p>
    <w:p w14:paraId="7700C0BF" w14:textId="59F659DB" w:rsidR="00745C94" w:rsidRPr="00745C94" w:rsidRDefault="00745C94" w:rsidP="00640700">
      <w:pPr>
        <w:pBdr>
          <w:bottom w:val="single" w:sz="4" w:space="1" w:color="auto"/>
        </w:pBdr>
        <w:jc w:val="both"/>
        <w:rPr>
          <w:sz w:val="24"/>
        </w:rPr>
      </w:pPr>
      <w:r w:rsidRPr="00EC3482">
        <w:rPr>
          <w:b/>
          <w:sz w:val="24"/>
        </w:rPr>
        <w:t>Calificación</w:t>
      </w:r>
      <w:r w:rsidRPr="00EC3482">
        <w:rPr>
          <w:sz w:val="24"/>
        </w:rPr>
        <w:t xml:space="preserve">. </w:t>
      </w:r>
      <w:r>
        <w:rPr>
          <w:sz w:val="24"/>
        </w:rPr>
        <w:t>Se explicita la o</w:t>
      </w:r>
      <w:r w:rsidRPr="00EC3482">
        <w:rPr>
          <w:sz w:val="24"/>
        </w:rPr>
        <w:t>bligación del OG d</w:t>
      </w:r>
      <w:r w:rsidR="00640700">
        <w:rPr>
          <w:sz w:val="24"/>
        </w:rPr>
        <w:t>e realizar sesiones públicas de su consejo.</w:t>
      </w:r>
    </w:p>
    <w:p w14:paraId="7DCB3D60" w14:textId="45BDB486" w:rsidR="0011134B" w:rsidRPr="00EC3482" w:rsidRDefault="0045132A" w:rsidP="0011134B">
      <w:pPr>
        <w:pStyle w:val="Ttulo1"/>
      </w:pPr>
      <w:r>
        <w:lastRenderedPageBreak/>
        <w:t>C</w:t>
      </w:r>
      <w:r w:rsidR="0011134B">
        <w:t>riterio 114</w:t>
      </w:r>
      <w:r w:rsidR="0011134B" w:rsidRPr="00EC3482">
        <w:t>. Publicación de las resoluciones de los recursos de revisión</w:t>
      </w:r>
    </w:p>
    <w:p w14:paraId="78FE779E" w14:textId="77777777" w:rsidR="0011134B" w:rsidRPr="00EC3482" w:rsidRDefault="0011134B" w:rsidP="0011134B">
      <w:pPr>
        <w:jc w:val="both"/>
        <w:rPr>
          <w:sz w:val="24"/>
        </w:rPr>
      </w:pPr>
      <w:r w:rsidRPr="00EC3482">
        <w:rPr>
          <w:b/>
          <w:sz w:val="24"/>
        </w:rPr>
        <w:t>Descripción</w:t>
      </w:r>
      <w:r w:rsidRPr="00EC3482">
        <w:rPr>
          <w:sz w:val="24"/>
        </w:rPr>
        <w:t xml:space="preserve">. La publicidad de la información y </w:t>
      </w:r>
      <w:r>
        <w:rPr>
          <w:sz w:val="24"/>
        </w:rPr>
        <w:t xml:space="preserve">de </w:t>
      </w:r>
      <w:r w:rsidRPr="00EC3482">
        <w:rPr>
          <w:sz w:val="24"/>
        </w:rPr>
        <w:t xml:space="preserve">los procedimientos para acceder a ella, amplía las bases interpretativas de los alcances y limitantes del DAI y </w:t>
      </w:r>
      <w:r>
        <w:rPr>
          <w:sz w:val="24"/>
        </w:rPr>
        <w:t xml:space="preserve">por su medio </w:t>
      </w:r>
      <w:r w:rsidRPr="00EC3482">
        <w:rPr>
          <w:sz w:val="24"/>
        </w:rPr>
        <w:t>se dan a conocer facultades para garantizar el pleno ejercicio de este derecho</w:t>
      </w:r>
      <w:r>
        <w:rPr>
          <w:sz w:val="24"/>
        </w:rPr>
        <w:t>;</w:t>
      </w:r>
      <w:r w:rsidRPr="00EC3482">
        <w:rPr>
          <w:sz w:val="24"/>
        </w:rPr>
        <w:t xml:space="preserve"> es decir, en la misma tarea se realizan acciones pedagógicas para toda la población y los propios sujetos obligados.</w:t>
      </w:r>
    </w:p>
    <w:p w14:paraId="553FF064" w14:textId="77777777" w:rsidR="0011134B" w:rsidRPr="00EC3482" w:rsidRDefault="0011134B" w:rsidP="0011134B">
      <w:pPr>
        <w:jc w:val="both"/>
        <w:rPr>
          <w:sz w:val="24"/>
        </w:rPr>
      </w:pPr>
      <w:r w:rsidRPr="00EC3482">
        <w:rPr>
          <w:sz w:val="24"/>
        </w:rPr>
        <w:t>Además, las resoluciones de recursos de revisión, por el simple hecho de dar cuenta de actividades de la autoridad, en este caso del órgano garante de la transparencia, deben ser contempladas como información pública la cual tiene que difundirse</w:t>
      </w:r>
      <w:r w:rsidRPr="008B74BB">
        <w:rPr>
          <w:sz w:val="24"/>
        </w:rPr>
        <w:t xml:space="preserve"> </w:t>
      </w:r>
      <w:r w:rsidRPr="00EC3482">
        <w:rPr>
          <w:sz w:val="24"/>
        </w:rPr>
        <w:t>de manera proactiva.</w:t>
      </w:r>
    </w:p>
    <w:p w14:paraId="0F8F0BFA" w14:textId="572EA0A2" w:rsidR="0011134B" w:rsidRPr="00B55FFA" w:rsidRDefault="0011134B" w:rsidP="00B55FFA">
      <w:pPr>
        <w:pBdr>
          <w:bottom w:val="single" w:sz="4" w:space="1" w:color="auto"/>
        </w:pBdr>
        <w:jc w:val="both"/>
        <w:rPr>
          <w:sz w:val="24"/>
        </w:rPr>
      </w:pPr>
      <w:r w:rsidRPr="00EC3482">
        <w:rPr>
          <w:b/>
          <w:sz w:val="24"/>
        </w:rPr>
        <w:t>Calificación</w:t>
      </w:r>
      <w:r w:rsidRPr="00EC3482">
        <w:rPr>
          <w:sz w:val="24"/>
        </w:rPr>
        <w:t xml:space="preserve">. </w:t>
      </w:r>
      <w:r>
        <w:rPr>
          <w:sz w:val="24"/>
        </w:rPr>
        <w:t>Se explicita la o</w:t>
      </w:r>
      <w:r w:rsidRPr="00EC3482">
        <w:rPr>
          <w:sz w:val="24"/>
        </w:rPr>
        <w:t>bligación del OG de publicar los recursos de revisión y sus resultados</w:t>
      </w:r>
      <w:r w:rsidR="0045132A">
        <w:rPr>
          <w:sz w:val="24"/>
        </w:rPr>
        <w:t xml:space="preserve"> de manera proactiva</w:t>
      </w:r>
      <w:r w:rsidRPr="00EC3482">
        <w:rPr>
          <w:iCs/>
          <w:sz w:val="24"/>
        </w:rPr>
        <w:t>.</w:t>
      </w:r>
    </w:p>
    <w:p w14:paraId="2FCAA46D" w14:textId="3A61B500" w:rsidR="00EC3482" w:rsidRPr="00EC3482" w:rsidRDefault="00EC3482" w:rsidP="00FC0ABC">
      <w:pPr>
        <w:pStyle w:val="Ttulo1"/>
      </w:pPr>
      <w:r w:rsidRPr="00EC3482">
        <w:t>C</w:t>
      </w:r>
      <w:r w:rsidR="00B55FFA">
        <w:t>riterio 115</w:t>
      </w:r>
      <w:r w:rsidRPr="00EC3482">
        <w:t>. Emitir y publicar un informe anual</w:t>
      </w:r>
    </w:p>
    <w:p w14:paraId="0C12ACBD" w14:textId="77777777" w:rsidR="00EC3482" w:rsidRPr="00EC3482" w:rsidRDefault="00EC3482" w:rsidP="00EC3482">
      <w:pPr>
        <w:jc w:val="both"/>
        <w:rPr>
          <w:sz w:val="24"/>
        </w:rPr>
      </w:pPr>
      <w:r w:rsidRPr="00EC3482">
        <w:rPr>
          <w:b/>
          <w:sz w:val="24"/>
        </w:rPr>
        <w:t xml:space="preserve">Descripción. </w:t>
      </w:r>
      <w:r w:rsidRPr="00EC3482">
        <w:rPr>
          <w:sz w:val="24"/>
        </w:rPr>
        <w:t xml:space="preserve">La relevancia del mandato de los órganos garantes no es menor, vigilan el cumplimiento de las obligaciones de las autoridades públicas en la garantía de un derecho, el DAI. Por ello, resulta imprescindible que el órgano garante genere un reporte sobre las acciones cometidas hacia la protección del DAI. </w:t>
      </w:r>
    </w:p>
    <w:p w14:paraId="4379788C" w14:textId="77777777" w:rsidR="00EC3482" w:rsidRPr="00EC3482" w:rsidRDefault="00EC3482" w:rsidP="00EC3482">
      <w:pPr>
        <w:jc w:val="both"/>
        <w:rPr>
          <w:sz w:val="24"/>
        </w:rPr>
      </w:pPr>
      <w:r w:rsidRPr="00EC3482">
        <w:rPr>
          <w:sz w:val="24"/>
        </w:rPr>
        <w:t>Además, favorece la rendición de cuentas de forma sistematizada y facilita el monitoreo de la información sobre el cumplimiento de su mandato.</w:t>
      </w:r>
    </w:p>
    <w:p w14:paraId="26125AF1" w14:textId="03A83FF4" w:rsidR="00EC3482" w:rsidRPr="00EC3482" w:rsidRDefault="00EC3482" w:rsidP="00CA4A4C">
      <w:pPr>
        <w:pBdr>
          <w:bottom w:val="single" w:sz="4" w:space="1" w:color="auto"/>
        </w:pBdr>
        <w:jc w:val="both"/>
        <w:rPr>
          <w:sz w:val="24"/>
        </w:rPr>
      </w:pPr>
      <w:r w:rsidRPr="00EC3482">
        <w:rPr>
          <w:b/>
          <w:sz w:val="24"/>
        </w:rPr>
        <w:t>Calificación</w:t>
      </w:r>
      <w:r w:rsidRPr="00EC3482">
        <w:rPr>
          <w:sz w:val="24"/>
        </w:rPr>
        <w:t xml:space="preserve">. </w:t>
      </w:r>
      <w:r w:rsidR="00F424DC">
        <w:rPr>
          <w:sz w:val="24"/>
        </w:rPr>
        <w:t>Se explicita la o</w:t>
      </w:r>
      <w:r w:rsidRPr="00EC3482">
        <w:rPr>
          <w:sz w:val="24"/>
        </w:rPr>
        <w:t xml:space="preserve">bligación del OG </w:t>
      </w:r>
      <w:r w:rsidR="00F424DC">
        <w:rPr>
          <w:sz w:val="24"/>
        </w:rPr>
        <w:t>de</w:t>
      </w:r>
      <w:r w:rsidR="00F424DC" w:rsidRPr="00EC3482">
        <w:rPr>
          <w:sz w:val="24"/>
        </w:rPr>
        <w:t xml:space="preserve"> </w:t>
      </w:r>
      <w:r w:rsidRPr="00EC3482">
        <w:rPr>
          <w:sz w:val="24"/>
        </w:rPr>
        <w:t xml:space="preserve">emitir </w:t>
      </w:r>
      <w:r w:rsidR="00F424DC">
        <w:rPr>
          <w:sz w:val="24"/>
        </w:rPr>
        <w:t xml:space="preserve">un </w:t>
      </w:r>
      <w:r w:rsidRPr="00EC3482">
        <w:rPr>
          <w:sz w:val="24"/>
        </w:rPr>
        <w:t>informe anual</w:t>
      </w:r>
      <w:r w:rsidRPr="00EC3482">
        <w:rPr>
          <w:iCs/>
          <w:sz w:val="24"/>
        </w:rPr>
        <w:t>.</w:t>
      </w:r>
    </w:p>
    <w:p w14:paraId="54926AEA" w14:textId="04B5A206" w:rsidR="00EC3482" w:rsidRPr="00EC3482" w:rsidRDefault="00CA4A4C" w:rsidP="00FC0ABC">
      <w:pPr>
        <w:pStyle w:val="Ttulo1"/>
      </w:pPr>
      <w:r>
        <w:t>Criterio 116</w:t>
      </w:r>
      <w:r w:rsidR="00EC3482" w:rsidRPr="00EC3482">
        <w:t>. Comparecencias ante el Poder Legislativo</w:t>
      </w:r>
    </w:p>
    <w:p w14:paraId="101C6369" w14:textId="140EFA39" w:rsidR="00EC3482" w:rsidRPr="00EC3482" w:rsidRDefault="00EC3482" w:rsidP="00EC3482">
      <w:pPr>
        <w:jc w:val="both"/>
        <w:rPr>
          <w:sz w:val="24"/>
        </w:rPr>
      </w:pPr>
      <w:r w:rsidRPr="00EC3482">
        <w:rPr>
          <w:b/>
          <w:sz w:val="24"/>
        </w:rPr>
        <w:t xml:space="preserve">Descripción. </w:t>
      </w:r>
      <w:r w:rsidRPr="00EC3482">
        <w:rPr>
          <w:sz w:val="24"/>
        </w:rPr>
        <w:t>El mecanismo de rendición de cuentas horizontal, es parte del sistema de contrapesos políticos que favorece el flujo de comunicación entre los órganos garante</w:t>
      </w:r>
      <w:r w:rsidR="00BC43BE">
        <w:rPr>
          <w:sz w:val="24"/>
        </w:rPr>
        <w:t>s</w:t>
      </w:r>
      <w:r w:rsidRPr="00EC3482">
        <w:rPr>
          <w:sz w:val="24"/>
        </w:rPr>
        <w:t xml:space="preserve"> y el poder legislativo. La vigilancia de un poder sobre otro o sobre un organismo público evita la discrecionalidad en el ejercicio de sus facultades y evita la cooptación de la institución.</w:t>
      </w:r>
    </w:p>
    <w:p w14:paraId="53CA7A5D" w14:textId="493D49AB" w:rsidR="00EC3482" w:rsidRPr="00EC3482" w:rsidRDefault="00EC3482" w:rsidP="00AA0343">
      <w:pPr>
        <w:pBdr>
          <w:bottom w:val="single" w:sz="4" w:space="1" w:color="auto"/>
        </w:pBdr>
        <w:jc w:val="both"/>
        <w:rPr>
          <w:sz w:val="24"/>
        </w:rPr>
      </w:pPr>
      <w:r w:rsidRPr="00EC3482">
        <w:rPr>
          <w:b/>
          <w:sz w:val="24"/>
        </w:rPr>
        <w:lastRenderedPageBreak/>
        <w:t>Calificación</w:t>
      </w:r>
      <w:r w:rsidRPr="00EC3482">
        <w:rPr>
          <w:sz w:val="24"/>
        </w:rPr>
        <w:t xml:space="preserve">. </w:t>
      </w:r>
      <w:r w:rsidR="00BC43BE">
        <w:rPr>
          <w:sz w:val="24"/>
        </w:rPr>
        <w:t>Se explicita la o</w:t>
      </w:r>
      <w:r w:rsidRPr="00EC3482">
        <w:rPr>
          <w:sz w:val="24"/>
        </w:rPr>
        <w:t xml:space="preserve">bligación del OG </w:t>
      </w:r>
      <w:r w:rsidR="00BC43BE">
        <w:rPr>
          <w:sz w:val="24"/>
        </w:rPr>
        <w:t xml:space="preserve">de </w:t>
      </w:r>
      <w:r w:rsidRPr="00EC3482">
        <w:rPr>
          <w:sz w:val="24"/>
        </w:rPr>
        <w:t>asistir a comparecencias ante e</w:t>
      </w:r>
      <w:r w:rsidR="007776CD">
        <w:rPr>
          <w:sz w:val="24"/>
        </w:rPr>
        <w:t>l</w:t>
      </w:r>
      <w:r w:rsidRPr="00EC3482">
        <w:rPr>
          <w:sz w:val="24"/>
        </w:rPr>
        <w:t xml:space="preserve"> poder legislativo</w:t>
      </w:r>
      <w:r w:rsidR="003C6F1F">
        <w:rPr>
          <w:sz w:val="24"/>
        </w:rPr>
        <w:t xml:space="preserve"> anualmente, como mínimo</w:t>
      </w:r>
      <w:r w:rsidRPr="00EC3482">
        <w:rPr>
          <w:sz w:val="24"/>
        </w:rPr>
        <w:t>.</w:t>
      </w:r>
    </w:p>
    <w:p w14:paraId="42244E20" w14:textId="4D9C6F48" w:rsidR="00EC3482" w:rsidRPr="00EC3482" w:rsidRDefault="00C07B3B" w:rsidP="00C03729">
      <w:pPr>
        <w:pStyle w:val="Ttulo1"/>
        <w:numPr>
          <w:ilvl w:val="0"/>
          <w:numId w:val="19"/>
        </w:numPr>
      </w:pPr>
      <w:bookmarkStart w:id="15" w:name="_Modalidades_para_presentar"/>
      <w:bookmarkEnd w:id="15"/>
      <w:r>
        <w:t xml:space="preserve"> </w:t>
      </w:r>
      <w:r w:rsidR="00EC3482" w:rsidRPr="00EC3482">
        <w:t>Modalidades para presentar solicitudes de acceso a la información</w:t>
      </w:r>
    </w:p>
    <w:p w14:paraId="05D5EE35" w14:textId="7F38DD01" w:rsidR="00EC3482" w:rsidRPr="00EC3482" w:rsidRDefault="00EC3482" w:rsidP="00EC3482">
      <w:pPr>
        <w:jc w:val="both"/>
        <w:rPr>
          <w:sz w:val="24"/>
        </w:rPr>
      </w:pPr>
      <w:r w:rsidRPr="00EC3482">
        <w:rPr>
          <w:sz w:val="24"/>
        </w:rPr>
        <w:t xml:space="preserve">El Estado tiene la obligación de realizar las acciones necesarias para que la información esté efectivamente al alcance de la sociedad. Dicha obligación debe atender los procedimientos, las herramientas y medios materiales para que la población pueda realizar solicitudes. Además, </w:t>
      </w:r>
      <w:r w:rsidR="00163393">
        <w:rPr>
          <w:sz w:val="24"/>
        </w:rPr>
        <w:t xml:space="preserve">debe </w:t>
      </w:r>
      <w:r w:rsidRPr="00EC3482">
        <w:rPr>
          <w:sz w:val="24"/>
        </w:rPr>
        <w:t>ser sensible a la diversidad de personas que puedan acceder al sistema</w:t>
      </w:r>
      <w:r w:rsidR="00163393">
        <w:rPr>
          <w:sz w:val="24"/>
        </w:rPr>
        <w:t>, considerando las diferencias</w:t>
      </w:r>
      <w:r w:rsidRPr="00EC3482">
        <w:rPr>
          <w:sz w:val="24"/>
        </w:rPr>
        <w:t xml:space="preserve"> físicas, lingüísticas, geográficas, entre otras.</w:t>
      </w:r>
    </w:p>
    <w:p w14:paraId="7B200CCA" w14:textId="3E4B3328" w:rsidR="00EC3482" w:rsidRPr="00EC3482" w:rsidRDefault="00BA0DD9" w:rsidP="00EC3482">
      <w:pPr>
        <w:jc w:val="both"/>
        <w:rPr>
          <w:sz w:val="24"/>
        </w:rPr>
      </w:pPr>
      <w:r>
        <w:rPr>
          <w:sz w:val="24"/>
        </w:rPr>
        <w:t>Esta sensibilidad ante las diferencias debe emplearse t</w:t>
      </w:r>
      <w:r w:rsidR="00EC3482" w:rsidRPr="00EC3482">
        <w:rPr>
          <w:sz w:val="24"/>
        </w:rPr>
        <w:t>ambién en la implementación de mecanismos de acceso a la información que funcionen de forma complementaria y no excluyente (vías electrónicas, módulos móviles, oficinas de tramitación de solicitudes, recepción en formatos libres, promotores, etcétera).</w:t>
      </w:r>
    </w:p>
    <w:p w14:paraId="1797A1AA" w14:textId="65F6691C" w:rsidR="00EC3482" w:rsidRPr="00EC3482" w:rsidRDefault="00EC3482" w:rsidP="00EC3482">
      <w:pPr>
        <w:jc w:val="both"/>
        <w:rPr>
          <w:sz w:val="24"/>
        </w:rPr>
      </w:pPr>
      <w:r w:rsidRPr="00EC3482">
        <w:rPr>
          <w:sz w:val="24"/>
        </w:rPr>
        <w:t>Por medio de este indicador se evalúa si existe suficiente diversidad de medios para presentar solicitudes de información que incentiven el ejercicio del derecho</w:t>
      </w:r>
      <w:r w:rsidR="00BA0DD9">
        <w:rPr>
          <w:sz w:val="24"/>
        </w:rPr>
        <w:t>;</w:t>
      </w:r>
      <w:r w:rsidRPr="00EC3482">
        <w:rPr>
          <w:sz w:val="24"/>
        </w:rPr>
        <w:t xml:space="preserve"> asimismo</w:t>
      </w:r>
      <w:r w:rsidR="00BA0DD9">
        <w:rPr>
          <w:sz w:val="24"/>
        </w:rPr>
        <w:t>,</w:t>
      </w:r>
      <w:r w:rsidRPr="00EC3482">
        <w:rPr>
          <w:sz w:val="24"/>
        </w:rPr>
        <w:t xml:space="preserve"> se revisa el cumplimiento de la previsión constitucional de introducir sistemas electrónicos.</w:t>
      </w:r>
    </w:p>
    <w:p w14:paraId="2F21A909" w14:textId="4C8F833E" w:rsidR="00EC3482" w:rsidRPr="00EC3482" w:rsidRDefault="00F763E4" w:rsidP="00FC0ABC">
      <w:pPr>
        <w:pStyle w:val="Ttulo1"/>
      </w:pPr>
      <w:r>
        <w:t>Criterio 1</w:t>
      </w:r>
      <w:r w:rsidR="00EC3482" w:rsidRPr="00EC3482">
        <w:t>1</w:t>
      </w:r>
      <w:r>
        <w:t>7</w:t>
      </w:r>
      <w:r w:rsidR="00EC3482" w:rsidRPr="00EC3482">
        <w:t>. Personalmente en la ventanilla de las dependencias</w:t>
      </w:r>
    </w:p>
    <w:p w14:paraId="395E938A" w14:textId="0AEAF90D" w:rsidR="00EC3482" w:rsidRPr="00917F81" w:rsidRDefault="00F763E4" w:rsidP="00FC0ABC">
      <w:pPr>
        <w:pStyle w:val="Ttulo1"/>
      </w:pPr>
      <w:r>
        <w:t>Criterio 118</w:t>
      </w:r>
      <w:r w:rsidR="00EC3482" w:rsidRPr="00EC3482">
        <w:t>. Correo postal o telégrafo</w:t>
      </w:r>
    </w:p>
    <w:p w14:paraId="7C4EE3BB" w14:textId="727F411D" w:rsidR="00EC3482" w:rsidRPr="00917F81" w:rsidRDefault="00F763E4" w:rsidP="00FC0ABC">
      <w:pPr>
        <w:pStyle w:val="Ttulo1"/>
      </w:pPr>
      <w:r>
        <w:t>Criterio 119</w:t>
      </w:r>
      <w:r w:rsidR="00EC3482" w:rsidRPr="00917F81">
        <w:t>. Teléfono</w:t>
      </w:r>
    </w:p>
    <w:p w14:paraId="79836B86" w14:textId="5B89E41D" w:rsidR="00EC3482" w:rsidRPr="00917F81" w:rsidRDefault="00F763E4" w:rsidP="00FC0ABC">
      <w:pPr>
        <w:pStyle w:val="Ttulo1"/>
      </w:pPr>
      <w:r>
        <w:t>Criterio 120</w:t>
      </w:r>
      <w:r w:rsidR="00EC3482" w:rsidRPr="00917F81">
        <w:t>. Fax</w:t>
      </w:r>
    </w:p>
    <w:p w14:paraId="41C0F7C7" w14:textId="46EB3C36" w:rsidR="00EC3482" w:rsidRPr="00917F81" w:rsidRDefault="00F763E4" w:rsidP="00FC0ABC">
      <w:pPr>
        <w:pStyle w:val="Ttulo1"/>
      </w:pPr>
      <w:r>
        <w:t>Criterio 121</w:t>
      </w:r>
      <w:r w:rsidR="00EC3482" w:rsidRPr="00917F81">
        <w:t>. Representante legal</w:t>
      </w:r>
    </w:p>
    <w:p w14:paraId="22EE7020" w14:textId="29E8B56A" w:rsidR="00EC3482" w:rsidRPr="00917F81" w:rsidRDefault="00F763E4" w:rsidP="00FC0ABC">
      <w:pPr>
        <w:pStyle w:val="Ttulo1"/>
      </w:pPr>
      <w:r>
        <w:t>Criterio 122</w:t>
      </w:r>
      <w:r w:rsidR="00EC3482" w:rsidRPr="00917F81">
        <w:t>. Correo electrónico</w:t>
      </w:r>
    </w:p>
    <w:p w14:paraId="30504581" w14:textId="73D02A4B" w:rsidR="00EC3482" w:rsidRPr="00917F81" w:rsidRDefault="00F763E4" w:rsidP="00FC0ABC">
      <w:pPr>
        <w:pStyle w:val="Ttulo1"/>
      </w:pPr>
      <w:r>
        <w:t>Criterio 123</w:t>
      </w:r>
      <w:r w:rsidR="00EC3482" w:rsidRPr="00917F81">
        <w:t xml:space="preserve">. </w:t>
      </w:r>
      <w:r w:rsidR="00BA0DD9">
        <w:t>S</w:t>
      </w:r>
      <w:r w:rsidR="00EC3482" w:rsidRPr="00917F81">
        <w:t>istemas electrónicos</w:t>
      </w:r>
    </w:p>
    <w:p w14:paraId="12874374" w14:textId="77777777" w:rsidR="00EC3482" w:rsidRPr="00EC3482" w:rsidRDefault="00EC3482" w:rsidP="00EC3482">
      <w:pPr>
        <w:jc w:val="both"/>
        <w:rPr>
          <w:sz w:val="24"/>
        </w:rPr>
      </w:pPr>
      <w:r w:rsidRPr="00EC3482">
        <w:rPr>
          <w:b/>
          <w:sz w:val="24"/>
        </w:rPr>
        <w:t xml:space="preserve">Descripción. </w:t>
      </w:r>
      <w:r w:rsidRPr="00EC3482">
        <w:rPr>
          <w:sz w:val="24"/>
        </w:rPr>
        <w:t>En síntesis, se considera que la inclusión taxativa de todas las modalidades de acceso a la información mencionadas en los criterios 121 al 127 es necesaria debido a las condiciones de desarrollo desigual del país.</w:t>
      </w:r>
    </w:p>
    <w:p w14:paraId="6A336798" w14:textId="77777777" w:rsidR="00EC3482" w:rsidRPr="00EC3482" w:rsidRDefault="00EC3482" w:rsidP="00EC3482">
      <w:pPr>
        <w:jc w:val="both"/>
        <w:rPr>
          <w:sz w:val="24"/>
        </w:rPr>
      </w:pPr>
      <w:r w:rsidRPr="00EC3482">
        <w:rPr>
          <w:sz w:val="24"/>
        </w:rPr>
        <w:t xml:space="preserve">De igual forma, la inclusión del listado de mecanismos en la Ley es necesaria para prever que las dependencias cuenten con una </w:t>
      </w:r>
      <w:r w:rsidRPr="00EC3482">
        <w:rPr>
          <w:sz w:val="24"/>
        </w:rPr>
        <w:lastRenderedPageBreak/>
        <w:t>planeación estratégica, presupuestaria y de personal para la implementación de las mismas.</w:t>
      </w:r>
    </w:p>
    <w:p w14:paraId="511A23BC" w14:textId="7CB2C899" w:rsidR="00EC3482" w:rsidRPr="00EC3482" w:rsidRDefault="00EC3482" w:rsidP="00F763E4">
      <w:pPr>
        <w:pBdr>
          <w:bottom w:val="single" w:sz="4" w:space="1" w:color="auto"/>
        </w:pBdr>
        <w:jc w:val="both"/>
        <w:rPr>
          <w:sz w:val="24"/>
        </w:rPr>
      </w:pPr>
      <w:r w:rsidRPr="00EC3482">
        <w:rPr>
          <w:b/>
          <w:sz w:val="24"/>
        </w:rPr>
        <w:t>Calificación</w:t>
      </w:r>
      <w:r w:rsidRPr="00EC3482">
        <w:rPr>
          <w:sz w:val="24"/>
        </w:rPr>
        <w:t xml:space="preserve">. </w:t>
      </w:r>
      <w:r w:rsidR="00BA0DD9">
        <w:rPr>
          <w:sz w:val="24"/>
        </w:rPr>
        <w:t>Es explícita la o</w:t>
      </w:r>
      <w:r w:rsidRPr="00EC3482">
        <w:rPr>
          <w:sz w:val="24"/>
        </w:rPr>
        <w:t xml:space="preserve">bligación del OG </w:t>
      </w:r>
      <w:r w:rsidR="00BA0DD9">
        <w:rPr>
          <w:sz w:val="24"/>
        </w:rPr>
        <w:t xml:space="preserve">de </w:t>
      </w:r>
      <w:r w:rsidRPr="00EC3482">
        <w:rPr>
          <w:sz w:val="24"/>
        </w:rPr>
        <w:t>establecer los medios necesarios y adecuados a las necesidades de las personas que recurren al sistema de información pública</w:t>
      </w:r>
      <w:r w:rsidRPr="00EC3482">
        <w:rPr>
          <w:iCs/>
          <w:sz w:val="24"/>
        </w:rPr>
        <w:t>.</w:t>
      </w:r>
    </w:p>
    <w:p w14:paraId="5A607A26" w14:textId="0C2DECE2" w:rsidR="00931374" w:rsidRPr="00EC3482" w:rsidRDefault="003249E5" w:rsidP="00931374">
      <w:pPr>
        <w:pStyle w:val="Ttulo1"/>
        <w:numPr>
          <w:ilvl w:val="0"/>
          <w:numId w:val="19"/>
        </w:numPr>
      </w:pPr>
      <w:bookmarkStart w:id="16" w:name="_Requisitos_para_solicitar"/>
      <w:bookmarkEnd w:id="16"/>
      <w:r>
        <w:t>R</w:t>
      </w:r>
      <w:r w:rsidR="00931374">
        <w:t>equisitos para solicitar información</w:t>
      </w:r>
    </w:p>
    <w:p w14:paraId="274ACD1A" w14:textId="71C68453" w:rsidR="00EC3482" w:rsidRPr="00EC3482" w:rsidRDefault="00EC3482" w:rsidP="00EC3482">
      <w:pPr>
        <w:jc w:val="both"/>
        <w:rPr>
          <w:sz w:val="24"/>
        </w:rPr>
      </w:pPr>
      <w:r w:rsidRPr="00EC3482">
        <w:rPr>
          <w:sz w:val="24"/>
        </w:rPr>
        <w:t>Este indicador es una medida complementaria sobre la conceptualización del derecho de acceso a la información. Mide si las legislaciones cumplen con el principio de interés simple que se refiere a que cualquier persona puede solicitar información sin necesidad de justificar las razones por las cuales la requier</w:t>
      </w:r>
      <w:r w:rsidR="00F709B3">
        <w:rPr>
          <w:sz w:val="24"/>
        </w:rPr>
        <w:t>e</w:t>
      </w:r>
      <w:r w:rsidRPr="00EC3482">
        <w:rPr>
          <w:sz w:val="24"/>
        </w:rPr>
        <w:t xml:space="preserve">. </w:t>
      </w:r>
    </w:p>
    <w:p w14:paraId="7BAB300A" w14:textId="4BD37C1E" w:rsidR="00EC3482" w:rsidRPr="00EC3482" w:rsidRDefault="00EC3482" w:rsidP="00EC3482">
      <w:pPr>
        <w:jc w:val="both"/>
        <w:rPr>
          <w:sz w:val="24"/>
        </w:rPr>
      </w:pPr>
      <w:r w:rsidRPr="00EC3482">
        <w:rPr>
          <w:sz w:val="24"/>
        </w:rPr>
        <w:t>Lo anterior se suscribe en la concepción universal de los derechos humanos. Dicha perspectiva obliga a revisar las limitantes directas o indirectas para acceder al goce y disfrute de los derechos, a menudo basados en criterios prohibidos de discriminación,</w:t>
      </w:r>
      <w:r w:rsidR="00FC570D">
        <w:rPr>
          <w:sz w:val="24"/>
        </w:rPr>
        <w:t xml:space="preserve"> </w:t>
      </w:r>
      <w:r w:rsidRPr="00EC3482">
        <w:rPr>
          <w:sz w:val="24"/>
        </w:rPr>
        <w:t>tales como posición social, residencia, estado civil, interés jurídico, estatus civil, edad, personalidad jurídica o nacionalidad.</w:t>
      </w:r>
    </w:p>
    <w:p w14:paraId="773C9FFB" w14:textId="5A0682C0" w:rsidR="002A0F6A" w:rsidRPr="00EC3482" w:rsidRDefault="002A0F6A" w:rsidP="002A0F6A">
      <w:pPr>
        <w:pStyle w:val="Ttulo1"/>
      </w:pPr>
      <w:r w:rsidRPr="00E35717">
        <w:t xml:space="preserve">Criterio 124. Cualquier persona puede acceder a la información (la ley no contempla </w:t>
      </w:r>
      <w:r w:rsidR="00A95C9C" w:rsidRPr="00E35717">
        <w:t>excepciones</w:t>
      </w:r>
      <w:r w:rsidRPr="00E35717">
        <w:t>)</w:t>
      </w:r>
    </w:p>
    <w:p w14:paraId="03AEA61D" w14:textId="77777777" w:rsidR="00E35717" w:rsidRPr="00DE3FE7" w:rsidRDefault="00E35717" w:rsidP="00E35717">
      <w:pPr>
        <w:jc w:val="both"/>
        <w:rPr>
          <w:sz w:val="24"/>
        </w:rPr>
      </w:pPr>
      <w:r w:rsidRPr="00DE3FE7">
        <w:rPr>
          <w:b/>
          <w:sz w:val="24"/>
        </w:rPr>
        <w:t>Descripción.</w:t>
      </w:r>
      <w:r w:rsidRPr="00DE3FE7">
        <w:rPr>
          <w:sz w:val="24"/>
        </w:rPr>
        <w:t xml:space="preserve"> Los avances en la armonización de los estándares internacionales con el marco nacional pueden verse obstaculizadas, no por una política de discriminación activa del Estado sino a partir de</w:t>
      </w:r>
      <w:r>
        <w:rPr>
          <w:sz w:val="24"/>
        </w:rPr>
        <w:t xml:space="preserve"> </w:t>
      </w:r>
      <w:r w:rsidRPr="00DE3FE7">
        <w:rPr>
          <w:sz w:val="24"/>
        </w:rPr>
        <w:t>deficiencias en el diseño de la política pública, lo que lleva materialmente a discriminaciones sustantivas a través de formas indirectas.</w:t>
      </w:r>
    </w:p>
    <w:p w14:paraId="5E276BFE" w14:textId="77777777" w:rsidR="00E35717" w:rsidRPr="00DE3FE7" w:rsidRDefault="00E35717" w:rsidP="00E35717">
      <w:pPr>
        <w:jc w:val="both"/>
        <w:rPr>
          <w:sz w:val="24"/>
        </w:rPr>
      </w:pPr>
      <w:r w:rsidRPr="00DE3FE7">
        <w:rPr>
          <w:sz w:val="24"/>
        </w:rPr>
        <w:t>En ese sentido, al momento de ejercer el derecho a la información pública, interponer recursos o recibir la documentación solicitada</w:t>
      </w:r>
      <w:r>
        <w:rPr>
          <w:sz w:val="24"/>
        </w:rPr>
        <w:t>,</w:t>
      </w:r>
      <w:r w:rsidRPr="00DE3FE7">
        <w:rPr>
          <w:sz w:val="24"/>
        </w:rPr>
        <w:t xml:space="preserve"> se pueden establecer requisitos que </w:t>
      </w:r>
      <w:r>
        <w:rPr>
          <w:sz w:val="24"/>
        </w:rPr>
        <w:t>parezcan</w:t>
      </w:r>
      <w:r w:rsidRPr="00DE3FE7">
        <w:rPr>
          <w:sz w:val="24"/>
        </w:rPr>
        <w:t xml:space="preserve"> neutr</w:t>
      </w:r>
      <w:r>
        <w:rPr>
          <w:sz w:val="24"/>
        </w:rPr>
        <w:t>o</w:t>
      </w:r>
      <w:r w:rsidRPr="00DE3FE7">
        <w:rPr>
          <w:sz w:val="24"/>
        </w:rPr>
        <w:t xml:space="preserve">s, </w:t>
      </w:r>
      <w:r>
        <w:rPr>
          <w:sz w:val="24"/>
        </w:rPr>
        <w:t xml:space="preserve">pero </w:t>
      </w:r>
      <w:r w:rsidRPr="00DE3FE7">
        <w:rPr>
          <w:sz w:val="24"/>
        </w:rPr>
        <w:t>sin embargo influ</w:t>
      </w:r>
      <w:r>
        <w:rPr>
          <w:sz w:val="24"/>
        </w:rPr>
        <w:t>yan</w:t>
      </w:r>
      <w:r w:rsidRPr="00DE3FE7">
        <w:rPr>
          <w:sz w:val="24"/>
        </w:rPr>
        <w:t xml:space="preserve"> de forma desproporcionada en el ejercicio del DAI, especialmente </w:t>
      </w:r>
      <w:r>
        <w:rPr>
          <w:sz w:val="24"/>
        </w:rPr>
        <w:t>frente a</w:t>
      </w:r>
      <w:r w:rsidRPr="00DE3FE7">
        <w:rPr>
          <w:sz w:val="24"/>
        </w:rPr>
        <w:t xml:space="preserve"> poblaciones </w:t>
      </w:r>
      <w:r w:rsidRPr="00DE3FE7">
        <w:rPr>
          <w:sz w:val="24"/>
        </w:rPr>
        <w:lastRenderedPageBreak/>
        <w:t xml:space="preserve">tradicionalmente discriminadas, </w:t>
      </w:r>
      <w:r>
        <w:rPr>
          <w:sz w:val="24"/>
        </w:rPr>
        <w:t xml:space="preserve">para </w:t>
      </w:r>
      <w:r w:rsidRPr="00DE3FE7">
        <w:rPr>
          <w:sz w:val="24"/>
        </w:rPr>
        <w:t>qu</w:t>
      </w:r>
      <w:r>
        <w:rPr>
          <w:sz w:val="24"/>
        </w:rPr>
        <w:t>i</w:t>
      </w:r>
      <w:r w:rsidRPr="00DE3FE7">
        <w:rPr>
          <w:sz w:val="24"/>
        </w:rPr>
        <w:t>e</w:t>
      </w:r>
      <w:r>
        <w:rPr>
          <w:sz w:val="24"/>
        </w:rPr>
        <w:t>nes</w:t>
      </w:r>
      <w:r w:rsidRPr="00DE3FE7">
        <w:rPr>
          <w:sz w:val="24"/>
        </w:rPr>
        <w:t xml:space="preserve"> en la práctica </w:t>
      </w:r>
      <w:r>
        <w:rPr>
          <w:sz w:val="24"/>
        </w:rPr>
        <w:t>s</w:t>
      </w:r>
      <w:r w:rsidRPr="00DE3FE7">
        <w:rPr>
          <w:sz w:val="24"/>
        </w:rPr>
        <w:t>e reeditarían los motivos de la discriminación.</w:t>
      </w:r>
      <w:r w:rsidRPr="00DE3FE7">
        <w:rPr>
          <w:rStyle w:val="Refdenotaalpie"/>
          <w:sz w:val="24"/>
        </w:rPr>
        <w:footnoteReference w:id="39"/>
      </w:r>
    </w:p>
    <w:p w14:paraId="012B04CD" w14:textId="50324D67" w:rsidR="002A0F6A" w:rsidRPr="00E35717" w:rsidRDefault="00E35717" w:rsidP="00E35717">
      <w:pPr>
        <w:pBdr>
          <w:bottom w:val="single" w:sz="4" w:space="1" w:color="auto"/>
        </w:pBdr>
        <w:jc w:val="both"/>
        <w:rPr>
          <w:sz w:val="24"/>
        </w:rPr>
      </w:pPr>
      <w:r w:rsidRPr="00DE3FE7">
        <w:rPr>
          <w:b/>
          <w:sz w:val="24"/>
        </w:rPr>
        <w:t xml:space="preserve">Calificación. </w:t>
      </w:r>
      <w:r w:rsidRPr="00DE3FE7">
        <w:rPr>
          <w:sz w:val="24"/>
        </w:rPr>
        <w:t xml:space="preserve">Los requisitos </w:t>
      </w:r>
      <w:r>
        <w:rPr>
          <w:sz w:val="24"/>
        </w:rPr>
        <w:t xml:space="preserve">para acceder a la información </w:t>
      </w:r>
      <w:r w:rsidRPr="00DE3FE7">
        <w:rPr>
          <w:sz w:val="24"/>
        </w:rPr>
        <w:t>se establecen armonizando las obligaciones internacionales,</w:t>
      </w:r>
      <w:r>
        <w:rPr>
          <w:sz w:val="24"/>
        </w:rPr>
        <w:t xml:space="preserve"> el</w:t>
      </w:r>
      <w:r w:rsidRPr="00DE3FE7">
        <w:rPr>
          <w:sz w:val="24"/>
        </w:rPr>
        <w:t xml:space="preserve"> marco constitucional y</w:t>
      </w:r>
      <w:r>
        <w:rPr>
          <w:sz w:val="24"/>
        </w:rPr>
        <w:t xml:space="preserve"> las</w:t>
      </w:r>
      <w:r w:rsidRPr="00DE3FE7">
        <w:rPr>
          <w:sz w:val="24"/>
        </w:rPr>
        <w:t xml:space="preserve"> leyes secundarias.</w:t>
      </w:r>
    </w:p>
    <w:p w14:paraId="715EE86A" w14:textId="6AB92437" w:rsidR="00EC3482" w:rsidRPr="00EC3482" w:rsidRDefault="00AB129D" w:rsidP="00FC0ABC">
      <w:pPr>
        <w:pStyle w:val="Ttulo1"/>
      </w:pPr>
      <w:r>
        <w:t>Criterio 125</w:t>
      </w:r>
      <w:r w:rsidR="00EC3482" w:rsidRPr="00EC3482">
        <w:t>. No se requiere acreditar identidad</w:t>
      </w:r>
    </w:p>
    <w:p w14:paraId="61072337" w14:textId="30E551F1" w:rsidR="00EC3482" w:rsidRPr="00EC3482" w:rsidRDefault="00EC3482" w:rsidP="00EC3482">
      <w:pPr>
        <w:jc w:val="both"/>
        <w:rPr>
          <w:sz w:val="24"/>
        </w:rPr>
      </w:pPr>
      <w:r w:rsidRPr="00EC3482">
        <w:rPr>
          <w:b/>
          <w:sz w:val="24"/>
        </w:rPr>
        <w:t xml:space="preserve">Descripción. </w:t>
      </w:r>
      <w:r w:rsidRPr="00EC3482">
        <w:rPr>
          <w:sz w:val="24"/>
        </w:rPr>
        <w:t>La ley debe asegurar que los requisitos para la solicitud de información no contengan elementos que inhiban a las personas a presentar una solicitud. Por esta razón, es positivo que la ley no considere necesari</w:t>
      </w:r>
      <w:r w:rsidR="00F709B3">
        <w:rPr>
          <w:sz w:val="24"/>
        </w:rPr>
        <w:t>a</w:t>
      </w:r>
      <w:r w:rsidRPr="00EC3482">
        <w:rPr>
          <w:sz w:val="24"/>
        </w:rPr>
        <w:t xml:space="preserve"> la presentación de algún tipo de identificación para hacer ejercicio del derecho.</w:t>
      </w:r>
    </w:p>
    <w:p w14:paraId="69DEE6CB" w14:textId="7BE54E76" w:rsidR="00EC3482" w:rsidRPr="00EC3482" w:rsidRDefault="00EC3482" w:rsidP="00AB129D">
      <w:pPr>
        <w:pBdr>
          <w:bottom w:val="single" w:sz="4" w:space="1" w:color="auto"/>
        </w:pBdr>
        <w:jc w:val="both"/>
        <w:rPr>
          <w:sz w:val="24"/>
        </w:rPr>
      </w:pPr>
      <w:r w:rsidRPr="00EC3482">
        <w:rPr>
          <w:b/>
          <w:sz w:val="24"/>
        </w:rPr>
        <w:t>Calificación</w:t>
      </w:r>
      <w:r w:rsidRPr="00EC3482">
        <w:rPr>
          <w:sz w:val="24"/>
        </w:rPr>
        <w:t xml:space="preserve">. </w:t>
      </w:r>
      <w:r w:rsidR="00AB129D">
        <w:rPr>
          <w:sz w:val="24"/>
        </w:rPr>
        <w:t>La ley no menciona la acreditación de la identidad como requisito al acceso a la información.</w:t>
      </w:r>
    </w:p>
    <w:p w14:paraId="2748F694" w14:textId="53CC7849" w:rsidR="00EC3482" w:rsidRPr="00EC3482" w:rsidRDefault="00D04A94" w:rsidP="00FC0ABC">
      <w:pPr>
        <w:pStyle w:val="Ttulo1"/>
      </w:pPr>
      <w:r>
        <w:t>Criterio 126</w:t>
      </w:r>
      <w:r w:rsidR="00EC3482" w:rsidRPr="00EC3482">
        <w:t>. No obliga a justificar</w:t>
      </w:r>
      <w:r w:rsidR="00FC570D">
        <w:t xml:space="preserve"> </w:t>
      </w:r>
      <w:r w:rsidR="00EC3482" w:rsidRPr="00EC3482">
        <w:t>interés y/o utilización de la información pública solicitada</w:t>
      </w:r>
    </w:p>
    <w:p w14:paraId="352856C5" w14:textId="205B4481" w:rsidR="00EC3482" w:rsidRPr="00EC3482" w:rsidRDefault="00EC3482" w:rsidP="00EC3482">
      <w:pPr>
        <w:jc w:val="both"/>
        <w:rPr>
          <w:sz w:val="24"/>
        </w:rPr>
      </w:pPr>
      <w:r w:rsidRPr="00EC3482">
        <w:rPr>
          <w:b/>
          <w:sz w:val="24"/>
        </w:rPr>
        <w:t xml:space="preserve">Descripción. </w:t>
      </w:r>
      <w:r w:rsidRPr="00EC3482">
        <w:rPr>
          <w:sz w:val="24"/>
        </w:rPr>
        <w:t>Las solicitudes de información no deben justificar su uso o destino final</w:t>
      </w:r>
      <w:r w:rsidR="00656C96">
        <w:rPr>
          <w:sz w:val="24"/>
        </w:rPr>
        <w:t xml:space="preserve"> porque ello</w:t>
      </w:r>
      <w:r w:rsidRPr="00EC3482">
        <w:rPr>
          <w:sz w:val="24"/>
        </w:rPr>
        <w:t xml:space="preserve"> representa una restricción injustificada de la garantía de un derecho fundamental.</w:t>
      </w:r>
    </w:p>
    <w:p w14:paraId="67959696" w14:textId="3EC00523" w:rsidR="00EC3482" w:rsidRPr="00EC3482" w:rsidRDefault="00EC3482" w:rsidP="00D04A94">
      <w:pPr>
        <w:pBdr>
          <w:bottom w:val="single" w:sz="4" w:space="1" w:color="auto"/>
        </w:pBdr>
        <w:jc w:val="both"/>
        <w:rPr>
          <w:sz w:val="24"/>
        </w:rPr>
      </w:pPr>
      <w:r w:rsidRPr="00EC3482">
        <w:rPr>
          <w:b/>
          <w:sz w:val="24"/>
        </w:rPr>
        <w:t>Calificación</w:t>
      </w:r>
      <w:r w:rsidRPr="00EC3482">
        <w:rPr>
          <w:sz w:val="24"/>
        </w:rPr>
        <w:t xml:space="preserve">. </w:t>
      </w:r>
      <w:r w:rsidR="003D6FDE">
        <w:rPr>
          <w:sz w:val="24"/>
        </w:rPr>
        <w:t>Es explícita la p</w:t>
      </w:r>
      <w:r w:rsidRPr="00EC3482">
        <w:rPr>
          <w:sz w:val="24"/>
        </w:rPr>
        <w:t xml:space="preserve">rohibición </w:t>
      </w:r>
      <w:r w:rsidR="004F0D02">
        <w:rPr>
          <w:sz w:val="24"/>
        </w:rPr>
        <w:t>d</w:t>
      </w:r>
      <w:r w:rsidRPr="00EC3482">
        <w:rPr>
          <w:sz w:val="24"/>
        </w:rPr>
        <w:t xml:space="preserve">el condicionamiento de la entrega de la información a partir de requisitos sustentados en justificaciones sobre </w:t>
      </w:r>
      <w:r w:rsidR="00593732">
        <w:rPr>
          <w:sz w:val="24"/>
        </w:rPr>
        <w:t xml:space="preserve">la </w:t>
      </w:r>
      <w:r w:rsidRPr="00EC3482">
        <w:rPr>
          <w:sz w:val="24"/>
        </w:rPr>
        <w:t>utilización o destino de la misma.</w:t>
      </w:r>
    </w:p>
    <w:p w14:paraId="70BEDC38" w14:textId="7847A377" w:rsidR="00EC3482" w:rsidRPr="00EC3482" w:rsidRDefault="00B330A9" w:rsidP="00FC0ABC">
      <w:pPr>
        <w:pStyle w:val="Ttulo1"/>
      </w:pPr>
      <w:r>
        <w:t>Criterio 127</w:t>
      </w:r>
      <w:r w:rsidR="00EC3482" w:rsidRPr="00EC3482">
        <w:t>. Basta con la descripción clara de la información que se solicita</w:t>
      </w:r>
    </w:p>
    <w:p w14:paraId="6513477A" w14:textId="7793CD3D" w:rsidR="00EC3482" w:rsidRPr="00EC3482" w:rsidRDefault="00EC3482" w:rsidP="00EC3482">
      <w:pPr>
        <w:jc w:val="both"/>
        <w:rPr>
          <w:sz w:val="24"/>
        </w:rPr>
      </w:pPr>
      <w:r w:rsidRPr="00EC3482">
        <w:rPr>
          <w:b/>
          <w:sz w:val="24"/>
        </w:rPr>
        <w:t xml:space="preserve">Descripción. </w:t>
      </w:r>
      <w:r w:rsidRPr="00EC3482">
        <w:rPr>
          <w:sz w:val="24"/>
        </w:rPr>
        <w:t xml:space="preserve">El ejercicio de un derecho fundamental como el DAI debe de estar formulado en la ley a fin de que cualquier persona acceda al mismo incluso si no se conocen las especificaciones </w:t>
      </w:r>
      <w:r w:rsidR="00B17366" w:rsidRPr="00EC3482">
        <w:rPr>
          <w:sz w:val="24"/>
        </w:rPr>
        <w:t>de la información</w:t>
      </w:r>
      <w:r w:rsidR="00B17366">
        <w:rPr>
          <w:rFonts w:ascii="Cambria" w:hAnsi="Cambria"/>
          <w:sz w:val="24"/>
        </w:rPr>
        <w:t xml:space="preserve"> —qué </w:t>
      </w:r>
      <w:r w:rsidRPr="00EC3482">
        <w:rPr>
          <w:sz w:val="24"/>
        </w:rPr>
        <w:t>sujeto obligado la posee</w:t>
      </w:r>
      <w:r w:rsidR="00B17366">
        <w:rPr>
          <w:sz w:val="24"/>
        </w:rPr>
        <w:t>,</w:t>
      </w:r>
      <w:r w:rsidRPr="00EC3482">
        <w:rPr>
          <w:sz w:val="24"/>
        </w:rPr>
        <w:t xml:space="preserve"> </w:t>
      </w:r>
      <w:r w:rsidR="00B17366">
        <w:rPr>
          <w:sz w:val="24"/>
        </w:rPr>
        <w:t xml:space="preserve">a dónde fue </w:t>
      </w:r>
      <w:r w:rsidRPr="00EC3482">
        <w:rPr>
          <w:sz w:val="24"/>
        </w:rPr>
        <w:lastRenderedPageBreak/>
        <w:t xml:space="preserve">dirigida, </w:t>
      </w:r>
      <w:r w:rsidR="00B17366">
        <w:rPr>
          <w:sz w:val="24"/>
        </w:rPr>
        <w:t xml:space="preserve">cuál sería su </w:t>
      </w:r>
      <w:r w:rsidRPr="00EC3482">
        <w:rPr>
          <w:sz w:val="24"/>
        </w:rPr>
        <w:t xml:space="preserve">destino o </w:t>
      </w:r>
      <w:r w:rsidR="00B17366">
        <w:rPr>
          <w:sz w:val="24"/>
        </w:rPr>
        <w:t xml:space="preserve">la </w:t>
      </w:r>
      <w:r w:rsidRPr="00EC3482">
        <w:rPr>
          <w:sz w:val="24"/>
        </w:rPr>
        <w:t>persona que la suscribe</w:t>
      </w:r>
      <w:r w:rsidR="00B17366">
        <w:rPr>
          <w:rFonts w:ascii="Cambria" w:hAnsi="Cambria"/>
          <w:sz w:val="24"/>
        </w:rPr>
        <w:t>—</w:t>
      </w:r>
      <w:r w:rsidRPr="00EC3482">
        <w:rPr>
          <w:sz w:val="24"/>
        </w:rPr>
        <w:t>. La ley debe especificar como requisito único que la descripción sea descrita con claridad.</w:t>
      </w:r>
    </w:p>
    <w:p w14:paraId="2FAA0C55" w14:textId="24A137F0" w:rsidR="00EC3482" w:rsidRPr="00EC3482" w:rsidRDefault="00EC3482" w:rsidP="00B330A9">
      <w:pPr>
        <w:pBdr>
          <w:bottom w:val="single" w:sz="4" w:space="1" w:color="auto"/>
        </w:pBdr>
        <w:jc w:val="both"/>
        <w:rPr>
          <w:sz w:val="24"/>
        </w:rPr>
      </w:pPr>
      <w:r w:rsidRPr="00EC3482">
        <w:rPr>
          <w:b/>
          <w:sz w:val="24"/>
        </w:rPr>
        <w:t>Calificación</w:t>
      </w:r>
      <w:r w:rsidRPr="00EC3482">
        <w:rPr>
          <w:sz w:val="24"/>
        </w:rPr>
        <w:t xml:space="preserve">. </w:t>
      </w:r>
      <w:r w:rsidR="00B17366">
        <w:rPr>
          <w:sz w:val="24"/>
        </w:rPr>
        <w:t>Se establece como ú</w:t>
      </w:r>
      <w:r w:rsidRPr="00EC3482">
        <w:rPr>
          <w:sz w:val="24"/>
        </w:rPr>
        <w:t>nico requisito describir con claridad la información pública solicitada</w:t>
      </w:r>
      <w:r w:rsidRPr="00EC3482">
        <w:rPr>
          <w:iCs/>
          <w:sz w:val="24"/>
        </w:rPr>
        <w:t>.</w:t>
      </w:r>
      <w:r w:rsidR="00B330A9">
        <w:rPr>
          <w:iCs/>
          <w:sz w:val="24"/>
        </w:rPr>
        <w:t xml:space="preserve"> Cualquier énfasis en la necesidad de que la solicitud sea precisa es considerado negativo.</w:t>
      </w:r>
    </w:p>
    <w:p w14:paraId="29A7D9C5" w14:textId="61B2BE95" w:rsidR="00EC3482" w:rsidRPr="00EC3482" w:rsidRDefault="00657F63" w:rsidP="00FC0ABC">
      <w:pPr>
        <w:pStyle w:val="Ttulo1"/>
      </w:pPr>
      <w:r>
        <w:t>Criterio 128</w:t>
      </w:r>
      <w:r w:rsidR="00EC3482" w:rsidRPr="00EC3482">
        <w:t>. El lugar o medio para recibir la información o notificaciones</w:t>
      </w:r>
    </w:p>
    <w:p w14:paraId="275A1995" w14:textId="77777777" w:rsidR="00EC3482" w:rsidRPr="00EC3482" w:rsidRDefault="00EC3482" w:rsidP="00EC3482">
      <w:pPr>
        <w:jc w:val="both"/>
        <w:rPr>
          <w:sz w:val="24"/>
        </w:rPr>
      </w:pPr>
      <w:r w:rsidRPr="00EC3482">
        <w:rPr>
          <w:b/>
          <w:sz w:val="24"/>
        </w:rPr>
        <w:t xml:space="preserve">Descripción. </w:t>
      </w:r>
      <w:r w:rsidRPr="00EC3482">
        <w:rPr>
          <w:sz w:val="24"/>
        </w:rPr>
        <w:t>La satisfacción del DAI es completa cuando el sujeto interesado obtiene efectivamente la información que ha solicitado, por esta razón la ley debe facilitar a los usuarios del DAI la posibilidad elegir los medios para recibir la información solicitada, así como dar seguimiento a su trámite en caso de que este no se desahogue únicamente mediante la mera solicitud.</w:t>
      </w:r>
    </w:p>
    <w:p w14:paraId="469439C0" w14:textId="60890031" w:rsidR="00EC3482" w:rsidRPr="00EC3482" w:rsidRDefault="00EC3482" w:rsidP="00C1713F">
      <w:pPr>
        <w:pBdr>
          <w:bottom w:val="single" w:sz="4" w:space="1" w:color="auto"/>
        </w:pBdr>
        <w:jc w:val="both"/>
        <w:rPr>
          <w:sz w:val="24"/>
        </w:rPr>
      </w:pPr>
      <w:r w:rsidRPr="00EC3482">
        <w:rPr>
          <w:b/>
          <w:sz w:val="24"/>
        </w:rPr>
        <w:t>Calificación</w:t>
      </w:r>
      <w:r w:rsidRPr="00EC3482">
        <w:rPr>
          <w:sz w:val="24"/>
        </w:rPr>
        <w:t xml:space="preserve">. </w:t>
      </w:r>
      <w:r w:rsidR="00D26E6A">
        <w:rPr>
          <w:sz w:val="24"/>
        </w:rPr>
        <w:t xml:space="preserve">Se </w:t>
      </w:r>
      <w:r w:rsidR="00C5349D">
        <w:rPr>
          <w:sz w:val="24"/>
        </w:rPr>
        <w:t xml:space="preserve">establece la </w:t>
      </w:r>
      <w:r w:rsidRPr="00EC3482">
        <w:rPr>
          <w:sz w:val="24"/>
        </w:rPr>
        <w:t>posibilida</w:t>
      </w:r>
      <w:r w:rsidR="00C5349D">
        <w:rPr>
          <w:sz w:val="24"/>
        </w:rPr>
        <w:t>d</w:t>
      </w:r>
      <w:r w:rsidRPr="00EC3482">
        <w:rPr>
          <w:sz w:val="24"/>
        </w:rPr>
        <w:t xml:space="preserve"> de </w:t>
      </w:r>
      <w:r w:rsidR="002864DD">
        <w:rPr>
          <w:sz w:val="24"/>
        </w:rPr>
        <w:t>que el solicitante</w:t>
      </w:r>
      <w:r w:rsidR="002864DD" w:rsidRPr="00EC3482">
        <w:rPr>
          <w:sz w:val="24"/>
        </w:rPr>
        <w:t xml:space="preserve"> </w:t>
      </w:r>
      <w:r w:rsidR="002864DD">
        <w:rPr>
          <w:sz w:val="24"/>
        </w:rPr>
        <w:t>elija</w:t>
      </w:r>
      <w:r w:rsidR="002864DD" w:rsidRPr="00EC3482">
        <w:rPr>
          <w:sz w:val="24"/>
        </w:rPr>
        <w:t xml:space="preserve"> </w:t>
      </w:r>
      <w:r w:rsidRPr="00EC3482">
        <w:rPr>
          <w:sz w:val="24"/>
        </w:rPr>
        <w:t>el medio para recibir la información</w:t>
      </w:r>
      <w:r w:rsidRPr="00EC3482">
        <w:rPr>
          <w:iCs/>
          <w:sz w:val="24"/>
        </w:rPr>
        <w:t>.</w:t>
      </w:r>
    </w:p>
    <w:p w14:paraId="3F7865AC" w14:textId="5EF79E0D" w:rsidR="00EC3482" w:rsidRPr="00EC3482" w:rsidRDefault="00C1713F" w:rsidP="00FC0ABC">
      <w:pPr>
        <w:pStyle w:val="Ttulo1"/>
      </w:pPr>
      <w:r>
        <w:t>Criterio 129</w:t>
      </w:r>
      <w:r w:rsidR="00EC3482" w:rsidRPr="00EC3482">
        <w:t>. Establece alternativas y modalidades para otorgar el acceso a la información</w:t>
      </w:r>
    </w:p>
    <w:p w14:paraId="08E1590B" w14:textId="77777777" w:rsidR="00EC3482" w:rsidRPr="00EC3482" w:rsidRDefault="00EC3482" w:rsidP="00EC3482">
      <w:pPr>
        <w:jc w:val="both"/>
        <w:rPr>
          <w:sz w:val="24"/>
        </w:rPr>
      </w:pPr>
      <w:r w:rsidRPr="00EC3482">
        <w:rPr>
          <w:b/>
          <w:sz w:val="24"/>
        </w:rPr>
        <w:t>Descripción.</w:t>
      </w:r>
      <w:r w:rsidRPr="00EC3482">
        <w:rPr>
          <w:sz w:val="24"/>
        </w:rPr>
        <w:t xml:space="preserve"> Las buenas prácticas consideran que el DAI no puede estar sujeto a restricciones geográficas o cuestiones económicas, por eso la LFTAIPG debe contener disposiciones que permitan hacer uso de diversas alternativas para satisfacer el derecho.</w:t>
      </w:r>
    </w:p>
    <w:p w14:paraId="4821C181" w14:textId="627D24CC" w:rsidR="00EC3482" w:rsidRPr="00EC3482" w:rsidRDefault="00EC3482" w:rsidP="00C1713F">
      <w:pPr>
        <w:pBdr>
          <w:bottom w:val="single" w:sz="4" w:space="1" w:color="auto"/>
        </w:pBdr>
        <w:jc w:val="both"/>
        <w:rPr>
          <w:sz w:val="24"/>
        </w:rPr>
      </w:pPr>
      <w:r w:rsidRPr="00EC3482">
        <w:rPr>
          <w:b/>
          <w:sz w:val="24"/>
        </w:rPr>
        <w:t>Calificación</w:t>
      </w:r>
      <w:r w:rsidRPr="00EC3482">
        <w:rPr>
          <w:sz w:val="24"/>
        </w:rPr>
        <w:t>. Se establece</w:t>
      </w:r>
      <w:r w:rsidR="00F30F9D">
        <w:rPr>
          <w:sz w:val="24"/>
        </w:rPr>
        <w:t xml:space="preserve"> una</w:t>
      </w:r>
      <w:r w:rsidRPr="00EC3482">
        <w:rPr>
          <w:sz w:val="24"/>
        </w:rPr>
        <w:t xml:space="preserve"> diversidad de alternativas y medios para acceder a la información pública</w:t>
      </w:r>
      <w:r w:rsidRPr="00EC3482">
        <w:rPr>
          <w:iCs/>
          <w:sz w:val="24"/>
        </w:rPr>
        <w:t>.</w:t>
      </w:r>
    </w:p>
    <w:p w14:paraId="520948C8" w14:textId="23FA1E70" w:rsidR="00EC3482" w:rsidRPr="00EC3482" w:rsidRDefault="0072024D" w:rsidP="00FC0ABC">
      <w:pPr>
        <w:pStyle w:val="Ttulo1"/>
      </w:pPr>
      <w:r>
        <w:t>Criterio 130</w:t>
      </w:r>
      <w:r w:rsidR="00EC3482" w:rsidRPr="00EC3482">
        <w:t>. Permite realizar solicitudes de información en forma anónima</w:t>
      </w:r>
    </w:p>
    <w:p w14:paraId="4939EF1B" w14:textId="045FFFE6" w:rsidR="00EC3482" w:rsidRPr="00EC3482" w:rsidRDefault="00EC3482" w:rsidP="00EC3482">
      <w:pPr>
        <w:jc w:val="both"/>
        <w:rPr>
          <w:sz w:val="24"/>
        </w:rPr>
      </w:pPr>
      <w:r w:rsidRPr="00EC3482">
        <w:rPr>
          <w:b/>
          <w:sz w:val="24"/>
        </w:rPr>
        <w:t xml:space="preserve">Descripción. </w:t>
      </w:r>
      <w:r w:rsidRPr="00EC3482">
        <w:rPr>
          <w:sz w:val="24"/>
        </w:rPr>
        <w:t xml:space="preserve">Establecer por ley que el acceso a la información no requiere de acreditar la personalidad jurídica, es una práctica progresiva en atención a lo referido en la Ley Modelo de la Organización de Estados Americanos. Su estipulación es una buena práctica que garantiza una protección frente a medidas </w:t>
      </w:r>
      <w:r w:rsidRPr="00EC3482">
        <w:rPr>
          <w:sz w:val="24"/>
        </w:rPr>
        <w:lastRenderedPageBreak/>
        <w:t>intimidatorias que pretendan obstaculizar el acceso a información sensible en posesión de las autoridades.</w:t>
      </w:r>
      <w:r w:rsidR="00FC570D">
        <w:rPr>
          <w:sz w:val="24"/>
        </w:rPr>
        <w:t xml:space="preserve"> </w:t>
      </w:r>
    </w:p>
    <w:p w14:paraId="4E96BF77" w14:textId="32F66534" w:rsidR="00EC3482" w:rsidRPr="00EC3482" w:rsidRDefault="00EC3482" w:rsidP="0072024D">
      <w:pPr>
        <w:pBdr>
          <w:bottom w:val="single" w:sz="4" w:space="1" w:color="auto"/>
        </w:pBdr>
        <w:jc w:val="both"/>
        <w:rPr>
          <w:sz w:val="24"/>
        </w:rPr>
      </w:pPr>
      <w:r w:rsidRPr="00EC3482">
        <w:rPr>
          <w:b/>
          <w:sz w:val="24"/>
        </w:rPr>
        <w:t>Calificación</w:t>
      </w:r>
      <w:r w:rsidRPr="00EC3482">
        <w:rPr>
          <w:sz w:val="24"/>
        </w:rPr>
        <w:t xml:space="preserve">. </w:t>
      </w:r>
      <w:r w:rsidR="003B568D">
        <w:rPr>
          <w:sz w:val="24"/>
        </w:rPr>
        <w:t xml:space="preserve">Se </w:t>
      </w:r>
      <w:r w:rsidR="0072024D">
        <w:rPr>
          <w:sz w:val="24"/>
        </w:rPr>
        <w:t>establece de manera explícita en ley la posibilidad de solicitar información de manera anónima</w:t>
      </w:r>
      <w:r w:rsidRPr="00EC3482">
        <w:rPr>
          <w:iCs/>
          <w:sz w:val="24"/>
        </w:rPr>
        <w:t>.</w:t>
      </w:r>
    </w:p>
    <w:p w14:paraId="094BA45B" w14:textId="5DCCACB8" w:rsidR="000A275B" w:rsidRPr="00EC3482" w:rsidRDefault="000A275B" w:rsidP="000A275B">
      <w:pPr>
        <w:pStyle w:val="Ttulo1"/>
        <w:numPr>
          <w:ilvl w:val="0"/>
          <w:numId w:val="19"/>
        </w:numPr>
      </w:pPr>
      <w:bookmarkStart w:id="17" w:name="_Regulación_de_las"/>
      <w:bookmarkEnd w:id="17"/>
      <w:r>
        <w:t>Regulación de las respuestas de las autoridades públicas de las autoridades públicas a las solicitudes de acceso a la información</w:t>
      </w:r>
    </w:p>
    <w:p w14:paraId="055FB944" w14:textId="60364A06" w:rsidR="00EC3482" w:rsidRPr="00EC3482" w:rsidRDefault="00EC3482" w:rsidP="00EC3482">
      <w:pPr>
        <w:jc w:val="both"/>
        <w:rPr>
          <w:sz w:val="24"/>
        </w:rPr>
      </w:pPr>
      <w:r w:rsidRPr="00EC3482">
        <w:rPr>
          <w:sz w:val="24"/>
        </w:rPr>
        <w:t>Entre los elementos que destacan en el funcionamiento del modelo de acceso a la información, es</w:t>
      </w:r>
      <w:r w:rsidR="00B4292C">
        <w:rPr>
          <w:sz w:val="24"/>
        </w:rPr>
        <w:t>tá</w:t>
      </w:r>
      <w:r w:rsidRPr="00EC3482">
        <w:rPr>
          <w:sz w:val="24"/>
        </w:rPr>
        <w:t xml:space="preserve"> la adecuada regulación de las respuestas de las autoridades públicas. Una correcta regulación </w:t>
      </w:r>
      <w:r w:rsidR="00B4292C" w:rsidRPr="00EC3482">
        <w:rPr>
          <w:sz w:val="24"/>
        </w:rPr>
        <w:t>previene</w:t>
      </w:r>
      <w:r w:rsidRPr="00EC3482">
        <w:rPr>
          <w:sz w:val="24"/>
        </w:rPr>
        <w:t xml:space="preserve"> situaciones de seguridad jurídica </w:t>
      </w:r>
      <w:r w:rsidR="00B4292C">
        <w:rPr>
          <w:sz w:val="24"/>
        </w:rPr>
        <w:t xml:space="preserve">y, </w:t>
      </w:r>
      <w:r w:rsidRPr="00EC3482">
        <w:rPr>
          <w:sz w:val="24"/>
        </w:rPr>
        <w:t>tanto para el peticionario como para las autoridades, garantiza un buen ejercicio de acceso a la información.</w:t>
      </w:r>
    </w:p>
    <w:p w14:paraId="4453094B" w14:textId="7D15B9EC" w:rsidR="00EC3482" w:rsidRPr="00EC3482" w:rsidRDefault="00AE3FD2" w:rsidP="00FC0ABC">
      <w:pPr>
        <w:pStyle w:val="Ttulo1"/>
      </w:pPr>
      <w:r>
        <w:t>Criterio 131</w:t>
      </w:r>
      <w:r w:rsidR="00EC3482" w:rsidRPr="00EC3482">
        <w:t>. procedimiento de acceso está completo y no remite a otra ley</w:t>
      </w:r>
    </w:p>
    <w:p w14:paraId="409866CD" w14:textId="6FB32E88" w:rsidR="00EC3482" w:rsidRPr="00EC3482" w:rsidRDefault="00EC3482" w:rsidP="00EC3482">
      <w:pPr>
        <w:jc w:val="both"/>
        <w:rPr>
          <w:sz w:val="24"/>
        </w:rPr>
      </w:pPr>
      <w:r w:rsidRPr="00EC3482">
        <w:rPr>
          <w:b/>
          <w:sz w:val="24"/>
        </w:rPr>
        <w:t xml:space="preserve">Descripción. </w:t>
      </w:r>
      <w:r w:rsidRPr="00EC3482">
        <w:rPr>
          <w:sz w:val="24"/>
        </w:rPr>
        <w:t xml:space="preserve">El procedimiento de acceso debe quedar claramente establecido en la Ley de Transparencia con el objeto de que las personas cuenten con una guía para acceder a la información que requieran y las y los servidores públicos sepan cuáles son sus obligaciones y </w:t>
      </w:r>
      <w:r w:rsidR="00B4292C">
        <w:rPr>
          <w:sz w:val="24"/>
        </w:rPr>
        <w:t xml:space="preserve">los </w:t>
      </w:r>
      <w:r w:rsidRPr="00EC3482">
        <w:rPr>
          <w:sz w:val="24"/>
        </w:rPr>
        <w:t>mecanismos para dar acceso a dicha información. La remisión a otra ley complica innecesariamente realizar una solicitud de información y procesar la misma.</w:t>
      </w:r>
    </w:p>
    <w:p w14:paraId="31AC972C" w14:textId="480CFE82" w:rsidR="00EC3482" w:rsidRPr="00EC3482" w:rsidRDefault="00EC3482" w:rsidP="00AE3FD2">
      <w:pPr>
        <w:pBdr>
          <w:bottom w:val="single" w:sz="4" w:space="1" w:color="auto"/>
        </w:pBdr>
        <w:jc w:val="both"/>
        <w:rPr>
          <w:sz w:val="24"/>
        </w:rPr>
      </w:pPr>
      <w:r w:rsidRPr="00EC3482">
        <w:rPr>
          <w:b/>
          <w:sz w:val="24"/>
        </w:rPr>
        <w:t>Calificación</w:t>
      </w:r>
      <w:r w:rsidRPr="00EC3482">
        <w:rPr>
          <w:sz w:val="24"/>
        </w:rPr>
        <w:t xml:space="preserve">. La solicitud de información se realiza dentro del procedimiento de ley y no deriva a otros ordenamientos ni </w:t>
      </w:r>
      <w:r w:rsidR="00B4292C">
        <w:rPr>
          <w:sz w:val="24"/>
        </w:rPr>
        <w:t xml:space="preserve">a </w:t>
      </w:r>
      <w:r w:rsidRPr="00EC3482">
        <w:rPr>
          <w:sz w:val="24"/>
        </w:rPr>
        <w:t>cumplir con otros procedimientos</w:t>
      </w:r>
      <w:r w:rsidRPr="00EC3482">
        <w:rPr>
          <w:iCs/>
          <w:sz w:val="24"/>
        </w:rPr>
        <w:t>.</w:t>
      </w:r>
    </w:p>
    <w:p w14:paraId="45303E83" w14:textId="6F1A1F9B" w:rsidR="00EC3482" w:rsidRPr="00EC3482" w:rsidRDefault="00AE3FD2" w:rsidP="00FC0ABC">
      <w:pPr>
        <w:pStyle w:val="Ttulo1"/>
      </w:pPr>
      <w:r>
        <w:t>Criterio 132</w:t>
      </w:r>
      <w:r w:rsidR="00EC3482" w:rsidRPr="00EC3482">
        <w:t>. Plazo máximo de respuesta hasta de 20 días, incluye la ampliación del plazo</w:t>
      </w:r>
    </w:p>
    <w:p w14:paraId="66DB0506" w14:textId="77777777" w:rsidR="00EC3482" w:rsidRPr="00EC3482" w:rsidRDefault="00EC3482" w:rsidP="00EC3482">
      <w:pPr>
        <w:jc w:val="both"/>
        <w:rPr>
          <w:sz w:val="24"/>
        </w:rPr>
      </w:pPr>
      <w:r w:rsidRPr="00EC3482">
        <w:rPr>
          <w:b/>
          <w:sz w:val="24"/>
        </w:rPr>
        <w:t xml:space="preserve">Descripción. </w:t>
      </w:r>
      <w:r w:rsidRPr="00EC3482">
        <w:rPr>
          <w:sz w:val="24"/>
        </w:rPr>
        <w:t>El ejercicio efectivo del derecho de acceso a la información implica que las personas accedan a la información de manera oportuna. Esto incluye que la información solicitada se encuentre en posesión del solicitante a la brevedad posible.</w:t>
      </w:r>
    </w:p>
    <w:p w14:paraId="7B5CA46C" w14:textId="580B2758" w:rsidR="00EC3482" w:rsidRPr="00EC3482" w:rsidRDefault="00EC3482" w:rsidP="00EC3482">
      <w:pPr>
        <w:jc w:val="both"/>
        <w:rPr>
          <w:sz w:val="24"/>
        </w:rPr>
      </w:pPr>
      <w:r w:rsidRPr="00EC3482">
        <w:rPr>
          <w:sz w:val="24"/>
        </w:rPr>
        <w:t xml:space="preserve"> Sin embargo, </w:t>
      </w:r>
      <w:r w:rsidR="00966C89">
        <w:rPr>
          <w:sz w:val="24"/>
        </w:rPr>
        <w:t xml:space="preserve">en la temporalidad </w:t>
      </w:r>
      <w:r w:rsidRPr="00EC3482">
        <w:rPr>
          <w:sz w:val="24"/>
        </w:rPr>
        <w:t xml:space="preserve">se debe considerar el procesamiento de la solicitud, </w:t>
      </w:r>
      <w:r w:rsidR="00966C89">
        <w:rPr>
          <w:sz w:val="24"/>
        </w:rPr>
        <w:t xml:space="preserve">la </w:t>
      </w:r>
      <w:r w:rsidRPr="00EC3482">
        <w:rPr>
          <w:sz w:val="24"/>
        </w:rPr>
        <w:t xml:space="preserve">carga de trabajo, </w:t>
      </w:r>
      <w:r w:rsidR="00966C89">
        <w:rPr>
          <w:sz w:val="24"/>
        </w:rPr>
        <w:t xml:space="preserve">la </w:t>
      </w:r>
      <w:r w:rsidRPr="00EC3482">
        <w:rPr>
          <w:sz w:val="24"/>
        </w:rPr>
        <w:t xml:space="preserve">recopilación de la información y </w:t>
      </w:r>
      <w:r w:rsidR="00966C89">
        <w:rPr>
          <w:sz w:val="24"/>
        </w:rPr>
        <w:t>su</w:t>
      </w:r>
      <w:r w:rsidR="00966C89" w:rsidRPr="00EC3482">
        <w:rPr>
          <w:sz w:val="24"/>
        </w:rPr>
        <w:t xml:space="preserve"> </w:t>
      </w:r>
      <w:r w:rsidRPr="00EC3482">
        <w:rPr>
          <w:sz w:val="24"/>
        </w:rPr>
        <w:t xml:space="preserve">envío. La experiencia demuestra que </w:t>
      </w:r>
      <w:r w:rsidR="00966C89">
        <w:rPr>
          <w:sz w:val="24"/>
        </w:rPr>
        <w:t xml:space="preserve">el de </w:t>
      </w:r>
      <w:r w:rsidRPr="00EC3482">
        <w:rPr>
          <w:sz w:val="24"/>
        </w:rPr>
        <w:lastRenderedPageBreak/>
        <w:t xml:space="preserve">20 días es un plazo máximo razonable para que los sujetos obligados </w:t>
      </w:r>
      <w:r w:rsidR="00DD6D8B">
        <w:rPr>
          <w:sz w:val="24"/>
        </w:rPr>
        <w:t>cumplan</w:t>
      </w:r>
      <w:r w:rsidR="00DD6D8B" w:rsidRPr="00EC3482">
        <w:rPr>
          <w:sz w:val="24"/>
        </w:rPr>
        <w:t xml:space="preserve"> </w:t>
      </w:r>
      <w:r w:rsidRPr="00EC3482">
        <w:rPr>
          <w:sz w:val="24"/>
        </w:rPr>
        <w:t>su obligación.</w:t>
      </w:r>
    </w:p>
    <w:p w14:paraId="2C1CBCFF" w14:textId="774EB2AC" w:rsidR="00EC3482" w:rsidRPr="00EC3482" w:rsidRDefault="00EC3482" w:rsidP="00AE3FD2">
      <w:pPr>
        <w:pBdr>
          <w:bottom w:val="single" w:sz="4" w:space="1" w:color="auto"/>
        </w:pBdr>
        <w:jc w:val="both"/>
        <w:rPr>
          <w:sz w:val="24"/>
        </w:rPr>
      </w:pPr>
      <w:r w:rsidRPr="00EC3482">
        <w:rPr>
          <w:b/>
          <w:sz w:val="24"/>
        </w:rPr>
        <w:t>Calificación</w:t>
      </w:r>
      <w:r w:rsidRPr="00EC3482">
        <w:rPr>
          <w:sz w:val="24"/>
        </w:rPr>
        <w:t>. Se establece</w:t>
      </w:r>
      <w:r w:rsidR="00DD6D8B">
        <w:rPr>
          <w:sz w:val="24"/>
        </w:rPr>
        <w:t xml:space="preserve"> un</w:t>
      </w:r>
      <w:r w:rsidRPr="00EC3482">
        <w:rPr>
          <w:sz w:val="24"/>
        </w:rPr>
        <w:t xml:space="preserve"> plazo máximo de 20 días para responder a la</w:t>
      </w:r>
      <w:r w:rsidR="00AE3FD2">
        <w:rPr>
          <w:sz w:val="24"/>
        </w:rPr>
        <w:t>s</w:t>
      </w:r>
      <w:r w:rsidRPr="00EC3482">
        <w:rPr>
          <w:sz w:val="24"/>
        </w:rPr>
        <w:t xml:space="preserve"> solicitudes de información</w:t>
      </w:r>
      <w:r w:rsidR="00AE3FD2">
        <w:rPr>
          <w:sz w:val="24"/>
        </w:rPr>
        <w:t>, incluyendo la posibilidad de prórroga</w:t>
      </w:r>
      <w:r w:rsidRPr="00EC3482">
        <w:rPr>
          <w:iCs/>
          <w:sz w:val="24"/>
        </w:rPr>
        <w:t>.</w:t>
      </w:r>
    </w:p>
    <w:p w14:paraId="658B3C8E" w14:textId="5116FBA9" w:rsidR="00EC3482" w:rsidRPr="00EC3482" w:rsidRDefault="00EC3482" w:rsidP="00FC0ABC">
      <w:pPr>
        <w:pStyle w:val="Ttulo1"/>
      </w:pPr>
      <w:r w:rsidRPr="00EC3482">
        <w:t>13</w:t>
      </w:r>
      <w:r w:rsidR="005D5861">
        <w:t>3</w:t>
      </w:r>
      <w:r w:rsidRPr="00EC3482">
        <w:t xml:space="preserve">. En el supuesto que la información solicitada no </w:t>
      </w:r>
      <w:r w:rsidR="00814919">
        <w:t>sea</w:t>
      </w:r>
      <w:r w:rsidR="00814919" w:rsidRPr="00EC3482">
        <w:t xml:space="preserve"> </w:t>
      </w:r>
      <w:r w:rsidRPr="00EC3482">
        <w:t>competencia del sujeto obligado, la oficina de información deberá remitir la solicitud al sujeto obligado que corresponda en un plazo no mayor a cinco días</w:t>
      </w:r>
    </w:p>
    <w:p w14:paraId="299EFD16" w14:textId="68D0602E" w:rsidR="00EC3482" w:rsidRPr="00EC3482" w:rsidRDefault="00EC3482" w:rsidP="00EC3482">
      <w:pPr>
        <w:jc w:val="both"/>
        <w:rPr>
          <w:sz w:val="24"/>
        </w:rPr>
      </w:pPr>
      <w:r w:rsidRPr="00EC3482">
        <w:rPr>
          <w:b/>
          <w:sz w:val="24"/>
        </w:rPr>
        <w:t>Descripción.</w:t>
      </w:r>
      <w:r w:rsidRPr="00EC3482">
        <w:rPr>
          <w:sz w:val="24"/>
        </w:rPr>
        <w:t xml:space="preserve"> La ley de</w:t>
      </w:r>
      <w:r w:rsidR="00814919">
        <w:rPr>
          <w:sz w:val="24"/>
        </w:rPr>
        <w:t>be</w:t>
      </w:r>
      <w:r w:rsidRPr="00EC3482">
        <w:rPr>
          <w:sz w:val="24"/>
        </w:rPr>
        <w:t xml:space="preserve"> obligar a los sujetos </w:t>
      </w:r>
      <w:r w:rsidR="00814919">
        <w:rPr>
          <w:sz w:val="24"/>
        </w:rPr>
        <w:t>a</w:t>
      </w:r>
      <w:r w:rsidR="00814919" w:rsidRPr="00EC3482">
        <w:rPr>
          <w:sz w:val="24"/>
        </w:rPr>
        <w:t xml:space="preserve"> </w:t>
      </w:r>
      <w:r w:rsidRPr="00EC3482">
        <w:rPr>
          <w:sz w:val="24"/>
        </w:rPr>
        <w:t>transferir las solicitudes de información a las autoridades competentes cuando sean presentadas ante una instancia distinta a la que detenta la información en un plazo no mayor a cinco días hábiles.</w:t>
      </w:r>
    </w:p>
    <w:p w14:paraId="5360053D" w14:textId="74C3745A" w:rsidR="00EC3482" w:rsidRPr="00EC3482" w:rsidRDefault="00814919" w:rsidP="00EC3482">
      <w:pPr>
        <w:jc w:val="both"/>
        <w:rPr>
          <w:sz w:val="24"/>
        </w:rPr>
      </w:pPr>
      <w:r>
        <w:rPr>
          <w:sz w:val="24"/>
        </w:rPr>
        <w:t>Esta es una m</w:t>
      </w:r>
      <w:r w:rsidR="00EC3482" w:rsidRPr="00EC3482">
        <w:rPr>
          <w:sz w:val="24"/>
        </w:rPr>
        <w:t xml:space="preserve">edida que funciona en beneficio de las personas y disminuye los tiempos de acceso, </w:t>
      </w:r>
      <w:r w:rsidR="007B0F9A">
        <w:rPr>
          <w:sz w:val="24"/>
        </w:rPr>
        <w:t>salvando las</w:t>
      </w:r>
      <w:r w:rsidR="00EC3482" w:rsidRPr="00EC3482">
        <w:rPr>
          <w:sz w:val="24"/>
        </w:rPr>
        <w:t xml:space="preserve"> asimetrías en el conocimiento de funci</w:t>
      </w:r>
      <w:r w:rsidR="007B0F9A">
        <w:rPr>
          <w:sz w:val="24"/>
        </w:rPr>
        <w:t>ones públicas</w:t>
      </w:r>
      <w:r w:rsidR="00EC3482" w:rsidRPr="00EC3482">
        <w:rPr>
          <w:sz w:val="24"/>
        </w:rPr>
        <w:t xml:space="preserve"> que</w:t>
      </w:r>
      <w:r w:rsidR="007B0F9A">
        <w:rPr>
          <w:sz w:val="24"/>
        </w:rPr>
        <w:t>,</w:t>
      </w:r>
      <w:r w:rsidR="00EC3482" w:rsidRPr="00EC3482">
        <w:rPr>
          <w:sz w:val="24"/>
        </w:rPr>
        <w:t xml:space="preserve"> por su complejidad</w:t>
      </w:r>
      <w:r w:rsidR="007B0F9A">
        <w:rPr>
          <w:sz w:val="24"/>
        </w:rPr>
        <w:t>,</w:t>
      </w:r>
      <w:r w:rsidR="00EC3482" w:rsidRPr="00EC3482">
        <w:rPr>
          <w:sz w:val="24"/>
        </w:rPr>
        <w:t xml:space="preserve"> puede</w:t>
      </w:r>
      <w:r w:rsidR="007B0F9A">
        <w:rPr>
          <w:sz w:val="24"/>
        </w:rPr>
        <w:t>n</w:t>
      </w:r>
      <w:r w:rsidR="00EC3482" w:rsidRPr="00EC3482">
        <w:rPr>
          <w:sz w:val="24"/>
        </w:rPr>
        <w:t xml:space="preserve"> conducir a errores en </w:t>
      </w:r>
      <w:r w:rsidR="007B0F9A">
        <w:rPr>
          <w:sz w:val="24"/>
        </w:rPr>
        <w:t>la determinación d</w:t>
      </w:r>
      <w:r w:rsidR="00EC3482" w:rsidRPr="00EC3482">
        <w:rPr>
          <w:sz w:val="24"/>
        </w:rPr>
        <w:t>el sujeto obligado responsable de la información pública solicitada.</w:t>
      </w:r>
    </w:p>
    <w:p w14:paraId="25B5E39B" w14:textId="2A2008B3" w:rsidR="00EC3482" w:rsidRPr="00EC3482" w:rsidRDefault="00EC3482" w:rsidP="005D5861">
      <w:pPr>
        <w:pBdr>
          <w:bottom w:val="single" w:sz="4" w:space="1" w:color="auto"/>
        </w:pBdr>
        <w:jc w:val="both"/>
        <w:rPr>
          <w:sz w:val="24"/>
        </w:rPr>
      </w:pPr>
      <w:r w:rsidRPr="00EC3482">
        <w:rPr>
          <w:b/>
          <w:sz w:val="24"/>
        </w:rPr>
        <w:t>Calificación</w:t>
      </w:r>
      <w:r w:rsidRPr="00EC3482">
        <w:rPr>
          <w:sz w:val="24"/>
        </w:rPr>
        <w:t>. La</w:t>
      </w:r>
      <w:r w:rsidR="00211C73">
        <w:rPr>
          <w:sz w:val="24"/>
        </w:rPr>
        <w:t xml:space="preserve"> Ley estipula que </w:t>
      </w:r>
      <w:r w:rsidR="005D5861">
        <w:rPr>
          <w:sz w:val="24"/>
        </w:rPr>
        <w:t>ante la no competencia para responder las solicitudes</w:t>
      </w:r>
      <w:r w:rsidR="00211C73">
        <w:rPr>
          <w:sz w:val="24"/>
        </w:rPr>
        <w:t>, la</w:t>
      </w:r>
      <w:r w:rsidRPr="00EC3482">
        <w:rPr>
          <w:sz w:val="24"/>
        </w:rPr>
        <w:t xml:space="preserve"> oficina de información pública</w:t>
      </w:r>
      <w:r w:rsidR="00211C73">
        <w:rPr>
          <w:sz w:val="24"/>
        </w:rPr>
        <w:t xml:space="preserve"> receptora</w:t>
      </w:r>
      <w:r w:rsidRPr="00EC3482">
        <w:rPr>
          <w:sz w:val="24"/>
        </w:rPr>
        <w:t xml:space="preserve"> </w:t>
      </w:r>
      <w:r w:rsidR="00211C73">
        <w:rPr>
          <w:sz w:val="24"/>
        </w:rPr>
        <w:t xml:space="preserve">debe </w:t>
      </w:r>
      <w:r w:rsidRPr="00EC3482">
        <w:rPr>
          <w:sz w:val="24"/>
        </w:rPr>
        <w:t>transfer</w:t>
      </w:r>
      <w:r w:rsidR="00211C73">
        <w:rPr>
          <w:sz w:val="24"/>
        </w:rPr>
        <w:t>irlas</w:t>
      </w:r>
      <w:r w:rsidRPr="00EC3482">
        <w:rPr>
          <w:sz w:val="24"/>
        </w:rPr>
        <w:t xml:space="preserve"> en un plazo </w:t>
      </w:r>
      <w:r w:rsidR="00211C73">
        <w:rPr>
          <w:sz w:val="24"/>
        </w:rPr>
        <w:t xml:space="preserve">no mayor </w:t>
      </w:r>
      <w:r w:rsidRPr="00EC3482">
        <w:rPr>
          <w:sz w:val="24"/>
        </w:rPr>
        <w:t>de 5 días al sujeto obligado</w:t>
      </w:r>
      <w:r w:rsidR="00211C73">
        <w:rPr>
          <w:sz w:val="24"/>
        </w:rPr>
        <w:t xml:space="preserve"> respectivo.</w:t>
      </w:r>
    </w:p>
    <w:p w14:paraId="4DE9811B" w14:textId="73C92BE5" w:rsidR="00EC3482" w:rsidRPr="00EC3482" w:rsidRDefault="00EC3482" w:rsidP="00FC0ABC">
      <w:pPr>
        <w:pStyle w:val="Ttulo1"/>
      </w:pPr>
      <w:r w:rsidRPr="00EC3482">
        <w:t>13</w:t>
      </w:r>
      <w:r w:rsidR="00BE08F0">
        <w:t>4</w:t>
      </w:r>
      <w:r w:rsidRPr="00EC3482">
        <w:t>. Obligación de prestar auxilio y orientación técnica a los particulares</w:t>
      </w:r>
    </w:p>
    <w:p w14:paraId="120AD3CF" w14:textId="77777777" w:rsidR="00EC3482" w:rsidRPr="00EC3482" w:rsidRDefault="00EC3482" w:rsidP="00EC3482">
      <w:pPr>
        <w:jc w:val="both"/>
        <w:rPr>
          <w:sz w:val="24"/>
        </w:rPr>
      </w:pPr>
      <w:r w:rsidRPr="00EC3482">
        <w:rPr>
          <w:b/>
          <w:sz w:val="24"/>
        </w:rPr>
        <w:t xml:space="preserve">Descripción. </w:t>
      </w:r>
      <w:r w:rsidRPr="00EC3482">
        <w:rPr>
          <w:sz w:val="24"/>
        </w:rPr>
        <w:t>La experiencia empírica demuestra que la subutilización del derecho de acceso a la información se debe en buena medida al desconocimiento que tienen los particulares sobre los mecanismos de ejercicio de este derecho.</w:t>
      </w:r>
    </w:p>
    <w:p w14:paraId="446C6E5C" w14:textId="77777777" w:rsidR="00EC3482" w:rsidRPr="00EC3482" w:rsidRDefault="00EC3482" w:rsidP="00EC3482">
      <w:pPr>
        <w:jc w:val="both"/>
        <w:rPr>
          <w:sz w:val="24"/>
        </w:rPr>
      </w:pPr>
      <w:r w:rsidRPr="00EC3482">
        <w:rPr>
          <w:sz w:val="24"/>
        </w:rPr>
        <w:t>La Ley debe contemplar la obligación expresa para las autoridades de brindar auxilio y orientación a las personas acerca de los trámites, requisitos, tiempos y sujetos obligados que resguardan la información pública a solicitar.</w:t>
      </w:r>
    </w:p>
    <w:p w14:paraId="0ED2A82D" w14:textId="61212BDF" w:rsidR="00EC3482" w:rsidRPr="00EC3482" w:rsidRDefault="00EC3482" w:rsidP="00FB7ED2">
      <w:pPr>
        <w:pBdr>
          <w:bottom w:val="single" w:sz="4" w:space="1" w:color="auto"/>
        </w:pBdr>
        <w:jc w:val="both"/>
        <w:rPr>
          <w:sz w:val="24"/>
        </w:rPr>
      </w:pPr>
      <w:r w:rsidRPr="00EC3482">
        <w:rPr>
          <w:b/>
          <w:sz w:val="24"/>
        </w:rPr>
        <w:t>Calificación</w:t>
      </w:r>
      <w:r w:rsidRPr="00EC3482">
        <w:rPr>
          <w:sz w:val="24"/>
        </w:rPr>
        <w:t xml:space="preserve">. </w:t>
      </w:r>
      <w:r w:rsidR="00066378">
        <w:rPr>
          <w:sz w:val="24"/>
        </w:rPr>
        <w:t xml:space="preserve">Existe </w:t>
      </w:r>
      <w:r w:rsidRPr="00EC3482">
        <w:rPr>
          <w:sz w:val="24"/>
        </w:rPr>
        <w:t>obligación</w:t>
      </w:r>
      <w:r w:rsidR="00066378">
        <w:rPr>
          <w:sz w:val="24"/>
        </w:rPr>
        <w:t xml:space="preserve"> explícita</w:t>
      </w:r>
      <w:r w:rsidRPr="00EC3482">
        <w:rPr>
          <w:sz w:val="24"/>
        </w:rPr>
        <w:t xml:space="preserve"> de las instituciones públicas a prestar auxilio y orientación técnica a los usuarios</w:t>
      </w:r>
      <w:r w:rsidRPr="00EC3482">
        <w:rPr>
          <w:iCs/>
          <w:sz w:val="24"/>
        </w:rPr>
        <w:t>.</w:t>
      </w:r>
    </w:p>
    <w:p w14:paraId="28F6ED1A" w14:textId="0F6B6AC6" w:rsidR="006653D1" w:rsidRPr="000E365D" w:rsidRDefault="006653D1" w:rsidP="000E365D">
      <w:pPr>
        <w:pStyle w:val="Ttulo1"/>
        <w:numPr>
          <w:ilvl w:val="0"/>
          <w:numId w:val="19"/>
        </w:numPr>
      </w:pPr>
      <w:bookmarkStart w:id="18" w:name="_Cuota_s_por"/>
      <w:bookmarkEnd w:id="18"/>
      <w:r>
        <w:lastRenderedPageBreak/>
        <w:t>Cuotas por la reproducción de la información solicitada</w:t>
      </w:r>
    </w:p>
    <w:p w14:paraId="550EA9B8" w14:textId="77777777" w:rsidR="00EC3482" w:rsidRPr="00EC3482" w:rsidRDefault="00EC3482" w:rsidP="00EC3482">
      <w:pPr>
        <w:jc w:val="both"/>
        <w:rPr>
          <w:sz w:val="24"/>
        </w:rPr>
      </w:pPr>
      <w:r w:rsidRPr="00EC3482">
        <w:rPr>
          <w:sz w:val="24"/>
        </w:rPr>
        <w:t>Este indicador evalúa que las leyes de acceso a la información reconozcan y garanticen el principio de gratuidad de la información. La información pública pertenece a todas las personas y por tanto no puede exigirse algún costo para su acceso.</w:t>
      </w:r>
    </w:p>
    <w:p w14:paraId="2E91EA43" w14:textId="663557D9" w:rsidR="00EC3482" w:rsidRPr="00EC3482" w:rsidRDefault="00EC3482" w:rsidP="00EC3482">
      <w:pPr>
        <w:jc w:val="both"/>
        <w:rPr>
          <w:sz w:val="24"/>
        </w:rPr>
      </w:pPr>
      <w:r w:rsidRPr="00EC3482">
        <w:rPr>
          <w:sz w:val="24"/>
        </w:rPr>
        <w:t>Se califica de manera positiva la gratuidad explícita de la información, a excepción de los costos de</w:t>
      </w:r>
      <w:r w:rsidR="00FC570D">
        <w:rPr>
          <w:sz w:val="24"/>
        </w:rPr>
        <w:t xml:space="preserve"> </w:t>
      </w:r>
      <w:r w:rsidRPr="00EC3482">
        <w:rPr>
          <w:sz w:val="24"/>
        </w:rPr>
        <w:t xml:space="preserve">reproducción y envío de la información debido a que generan un gasto que debe ser cubierto por el </w:t>
      </w:r>
      <w:r w:rsidR="00066378">
        <w:rPr>
          <w:sz w:val="24"/>
        </w:rPr>
        <w:t>solicitante</w:t>
      </w:r>
      <w:r w:rsidR="00066378" w:rsidRPr="00EC3482">
        <w:rPr>
          <w:sz w:val="24"/>
        </w:rPr>
        <w:t xml:space="preserve"> </w:t>
      </w:r>
      <w:r w:rsidRPr="00EC3482">
        <w:rPr>
          <w:sz w:val="24"/>
        </w:rPr>
        <w:t>de la información y no por la sociedad.</w:t>
      </w:r>
    </w:p>
    <w:p w14:paraId="2ED4CDD4" w14:textId="24F71B4C" w:rsidR="00EC3482" w:rsidRPr="00EC3482" w:rsidRDefault="00EC3482" w:rsidP="00EC3482">
      <w:pPr>
        <w:jc w:val="both"/>
        <w:rPr>
          <w:sz w:val="24"/>
        </w:rPr>
      </w:pPr>
      <w:r w:rsidRPr="00EC3482">
        <w:rPr>
          <w:sz w:val="24"/>
        </w:rPr>
        <w:t xml:space="preserve">Los costos deben basarse en criterios objetivos y que faciliten el acceso al DAI </w:t>
      </w:r>
      <w:r w:rsidR="00066378">
        <w:rPr>
          <w:sz w:val="24"/>
        </w:rPr>
        <w:t>a</w:t>
      </w:r>
      <w:r w:rsidRPr="00EC3482">
        <w:rPr>
          <w:sz w:val="24"/>
        </w:rPr>
        <w:t>l mismo tiempo</w:t>
      </w:r>
      <w:r w:rsidR="00066378">
        <w:rPr>
          <w:sz w:val="24"/>
        </w:rPr>
        <w:t xml:space="preserve"> que se</w:t>
      </w:r>
      <w:r w:rsidRPr="00EC3482">
        <w:rPr>
          <w:sz w:val="24"/>
        </w:rPr>
        <w:t xml:space="preserve"> elimina</w:t>
      </w:r>
      <w:r w:rsidR="00066378">
        <w:rPr>
          <w:sz w:val="24"/>
        </w:rPr>
        <w:t>n</w:t>
      </w:r>
      <w:r w:rsidRPr="00EC3482">
        <w:rPr>
          <w:sz w:val="24"/>
        </w:rPr>
        <w:t xml:space="preserve"> criterios de comercialización o recaudación fiscal.</w:t>
      </w:r>
    </w:p>
    <w:p w14:paraId="34E90E6A" w14:textId="5E0EE6D3" w:rsidR="00EC3482" w:rsidRPr="000449EF" w:rsidRDefault="00021283" w:rsidP="00FC0ABC">
      <w:pPr>
        <w:pStyle w:val="Ttulo1"/>
      </w:pPr>
      <w:r w:rsidRPr="000449EF">
        <w:t>135</w:t>
      </w:r>
      <w:r w:rsidR="00EC3482" w:rsidRPr="000449EF">
        <w:t>. Gratuidad explícita de la información pública</w:t>
      </w:r>
    </w:p>
    <w:p w14:paraId="6BDACE86" w14:textId="072206C0" w:rsidR="00EC3482" w:rsidRPr="000449EF" w:rsidRDefault="00021283" w:rsidP="00FC0ABC">
      <w:pPr>
        <w:pStyle w:val="Ttulo1"/>
        <w:rPr>
          <w:bCs/>
        </w:rPr>
      </w:pPr>
      <w:r w:rsidRPr="000449EF">
        <w:rPr>
          <w:bCs/>
        </w:rPr>
        <w:t>136</w:t>
      </w:r>
      <w:r w:rsidR="00EC3482" w:rsidRPr="000449EF">
        <w:rPr>
          <w:bCs/>
        </w:rPr>
        <w:t>. Garantía de gratuidad para personas que no puedan cubrir los costos de reproducción de la información pública</w:t>
      </w:r>
    </w:p>
    <w:p w14:paraId="4431D899" w14:textId="5585D39E" w:rsidR="00EC3482" w:rsidRPr="000449EF" w:rsidRDefault="00021283" w:rsidP="00FC0ABC">
      <w:pPr>
        <w:pStyle w:val="Ttulo1"/>
        <w:rPr>
          <w:bCs/>
        </w:rPr>
      </w:pPr>
      <w:r w:rsidRPr="000449EF">
        <w:rPr>
          <w:bCs/>
        </w:rPr>
        <w:t>137</w:t>
      </w:r>
      <w:r w:rsidR="00EC3482" w:rsidRPr="000449EF">
        <w:rPr>
          <w:bCs/>
        </w:rPr>
        <w:t>. Obligación de cobros por reproducción y envío físico de la información pública al costo</w:t>
      </w:r>
    </w:p>
    <w:p w14:paraId="474F5167" w14:textId="16AAB95A" w:rsidR="00EC3482" w:rsidRPr="000449EF" w:rsidRDefault="00EC3482" w:rsidP="00EC3482">
      <w:pPr>
        <w:jc w:val="both"/>
        <w:rPr>
          <w:sz w:val="24"/>
        </w:rPr>
      </w:pPr>
      <w:r w:rsidRPr="000449EF">
        <w:rPr>
          <w:b/>
          <w:sz w:val="24"/>
        </w:rPr>
        <w:t xml:space="preserve">Descripción. </w:t>
      </w:r>
      <w:r w:rsidRPr="000449EF">
        <w:rPr>
          <w:sz w:val="24"/>
        </w:rPr>
        <w:t>Las prácticas exitosas documentadas en México califican de manera positiva la gratuidad explícita de la información, asumiendo como costos válidos la reproducción y envío de la información, además l</w:t>
      </w:r>
      <w:r w:rsidR="002A0D24" w:rsidRPr="000449EF">
        <w:rPr>
          <w:sz w:val="24"/>
        </w:rPr>
        <w:t>o</w:t>
      </w:r>
      <w:r w:rsidRPr="000449EF">
        <w:rPr>
          <w:sz w:val="24"/>
        </w:rPr>
        <w:t>s pagos se realizan a través de mecanismos expeditos y ante ventanillas múltiples de atención.</w:t>
      </w:r>
    </w:p>
    <w:p w14:paraId="48F2C4DE" w14:textId="00D13F31" w:rsidR="00EC3482" w:rsidRPr="00EC3482" w:rsidRDefault="00EC3482" w:rsidP="000449EF">
      <w:pPr>
        <w:pBdr>
          <w:top w:val="single" w:sz="4" w:space="1" w:color="auto"/>
          <w:left w:val="single" w:sz="4" w:space="4" w:color="auto"/>
          <w:bottom w:val="single" w:sz="4" w:space="1" w:color="auto"/>
          <w:right w:val="single" w:sz="4" w:space="4" w:color="auto"/>
        </w:pBdr>
        <w:jc w:val="both"/>
        <w:rPr>
          <w:sz w:val="24"/>
        </w:rPr>
      </w:pPr>
      <w:r w:rsidRPr="000449EF">
        <w:rPr>
          <w:b/>
          <w:sz w:val="24"/>
        </w:rPr>
        <w:t>Calificación</w:t>
      </w:r>
      <w:r w:rsidRPr="000449EF">
        <w:rPr>
          <w:sz w:val="24"/>
        </w:rPr>
        <w:t xml:space="preserve">. La ley establece </w:t>
      </w:r>
      <w:r w:rsidR="002A0D24" w:rsidRPr="000449EF">
        <w:rPr>
          <w:sz w:val="24"/>
        </w:rPr>
        <w:t xml:space="preserve">la </w:t>
      </w:r>
      <w:r w:rsidRPr="000449EF">
        <w:rPr>
          <w:sz w:val="24"/>
        </w:rPr>
        <w:t>gratuidad de la información, los cobros son exclusivamente para efectos de reproducción y envío de la información</w:t>
      </w:r>
      <w:r w:rsidRPr="000449EF">
        <w:rPr>
          <w:iCs/>
          <w:sz w:val="24"/>
        </w:rPr>
        <w:t>.</w:t>
      </w:r>
      <w:r w:rsidR="000449EF" w:rsidRPr="000449EF">
        <w:rPr>
          <w:iCs/>
          <w:sz w:val="24"/>
        </w:rPr>
        <w:t xml:space="preserve"> Para el criterio 137 se establece explícitamente la posibilidad de no cobrar por costos de reproducción a personas que no puedan cubrir la cuota.</w:t>
      </w:r>
    </w:p>
    <w:p w14:paraId="0633D29E" w14:textId="67BF9629" w:rsidR="00D416BF" w:rsidRPr="00EC3482" w:rsidRDefault="00D416BF" w:rsidP="00D416BF">
      <w:pPr>
        <w:pStyle w:val="Ttulo1"/>
        <w:numPr>
          <w:ilvl w:val="0"/>
          <w:numId w:val="19"/>
        </w:numPr>
      </w:pPr>
      <w:bookmarkStart w:id="19" w:name="_Requisitos_para_interponer"/>
      <w:bookmarkEnd w:id="19"/>
      <w:r>
        <w:t>Requisitos para interponer recursos de revisión (o equivalentes)</w:t>
      </w:r>
    </w:p>
    <w:p w14:paraId="11D50960" w14:textId="5D2EE02F" w:rsidR="00EC3482" w:rsidRPr="00EC3482" w:rsidRDefault="00EC3482" w:rsidP="00EC3482">
      <w:pPr>
        <w:jc w:val="both"/>
        <w:rPr>
          <w:sz w:val="24"/>
        </w:rPr>
      </w:pPr>
      <w:r w:rsidRPr="00EC3482">
        <w:rPr>
          <w:sz w:val="24"/>
        </w:rPr>
        <w:t>La ley debe contemplar expresamente los requisitos jurídicos y técnicos que deben satisfacer las personas para interponer un procedimiento de revisión, de manera que la garantía secundaria no se inhiba a través</w:t>
      </w:r>
      <w:r w:rsidR="009C09A5">
        <w:rPr>
          <w:sz w:val="24"/>
        </w:rPr>
        <w:t xml:space="preserve"> de</w:t>
      </w:r>
      <w:r w:rsidRPr="00EC3482">
        <w:rPr>
          <w:sz w:val="24"/>
        </w:rPr>
        <w:t xml:space="preserve"> la falta de información respecto de la eventual presentación de este recurso. Además, </w:t>
      </w:r>
      <w:r w:rsidR="009C09A5">
        <w:rPr>
          <w:sz w:val="24"/>
        </w:rPr>
        <w:t xml:space="preserve">el </w:t>
      </w:r>
      <w:r w:rsidRPr="00EC3482">
        <w:rPr>
          <w:sz w:val="24"/>
        </w:rPr>
        <w:t xml:space="preserve">órgano garante debe suplir la presentación del mismo </w:t>
      </w:r>
      <w:r w:rsidR="009C09A5">
        <w:rPr>
          <w:sz w:val="24"/>
        </w:rPr>
        <w:t xml:space="preserve">en caso de incorrección o </w:t>
      </w:r>
      <w:r w:rsidR="00656982">
        <w:rPr>
          <w:sz w:val="24"/>
        </w:rPr>
        <w:t>de no estar completo</w:t>
      </w:r>
      <w:r w:rsidR="009C09A5">
        <w:rPr>
          <w:sz w:val="24"/>
        </w:rPr>
        <w:t>.</w:t>
      </w:r>
      <w:r w:rsidRPr="00EC3482">
        <w:rPr>
          <w:sz w:val="24"/>
        </w:rPr>
        <w:t xml:space="preserve"> </w:t>
      </w:r>
    </w:p>
    <w:p w14:paraId="34D5726E" w14:textId="7D0468E6" w:rsidR="00EC3482" w:rsidRPr="00EC3482" w:rsidRDefault="00EC3482" w:rsidP="00EC3482">
      <w:pPr>
        <w:jc w:val="both"/>
        <w:rPr>
          <w:sz w:val="24"/>
        </w:rPr>
      </w:pPr>
      <w:r w:rsidRPr="00EC3482">
        <w:rPr>
          <w:sz w:val="24"/>
        </w:rPr>
        <w:lastRenderedPageBreak/>
        <w:t>Los recursos deben ser sencillos, de manera tal que permita</w:t>
      </w:r>
      <w:r w:rsidR="009C09A5">
        <w:rPr>
          <w:sz w:val="24"/>
        </w:rPr>
        <w:t>n</w:t>
      </w:r>
      <w:r w:rsidRPr="00EC3482">
        <w:rPr>
          <w:sz w:val="24"/>
        </w:rPr>
        <w:t xml:space="preserve"> que cualquier persona los presente y </w:t>
      </w:r>
      <w:r w:rsidR="009C09A5" w:rsidRPr="00EC3482">
        <w:rPr>
          <w:sz w:val="24"/>
        </w:rPr>
        <w:t xml:space="preserve">ejercer la garantía secundaria </w:t>
      </w:r>
      <w:r w:rsidRPr="00EC3482">
        <w:rPr>
          <w:sz w:val="24"/>
        </w:rPr>
        <w:t>no requiera de conocimientos especializados o pago de asesorías externas.</w:t>
      </w:r>
    </w:p>
    <w:p w14:paraId="172E5902" w14:textId="13C6AE24" w:rsidR="007C264F" w:rsidRPr="00EC3482" w:rsidRDefault="007C264F" w:rsidP="007C264F">
      <w:pPr>
        <w:pStyle w:val="Ttulo1"/>
      </w:pPr>
      <w:r>
        <w:t>Criterio 138</w:t>
      </w:r>
      <w:r w:rsidRPr="00EC3482">
        <w:t xml:space="preserve">. </w:t>
      </w:r>
      <w:r>
        <w:t>El r</w:t>
      </w:r>
      <w:r w:rsidRPr="00EC3482">
        <w:t>ecurso de revisión se presenta ante el órgano garante</w:t>
      </w:r>
    </w:p>
    <w:p w14:paraId="68196A08" w14:textId="77777777" w:rsidR="007C264F" w:rsidRPr="00EC3482" w:rsidRDefault="007C264F" w:rsidP="007C264F">
      <w:pPr>
        <w:jc w:val="both"/>
        <w:rPr>
          <w:sz w:val="24"/>
        </w:rPr>
      </w:pPr>
      <w:r w:rsidRPr="00EC3482">
        <w:rPr>
          <w:b/>
          <w:sz w:val="24"/>
        </w:rPr>
        <w:t xml:space="preserve">Descripción. </w:t>
      </w:r>
      <w:r w:rsidRPr="00EC3482">
        <w:rPr>
          <w:sz w:val="24"/>
        </w:rPr>
        <w:t>El criterio evalúa la capacidad de la autoridad especializada en la materia para admitir los recursos de revisión que se interpongan y de esta forma garantizar el acceso al procedimiento de segunda instancia de forma expedita y con las máximas garantías de atención a la solicitud de información.</w:t>
      </w:r>
    </w:p>
    <w:p w14:paraId="1F06439A" w14:textId="15E3B83B" w:rsidR="007C264F" w:rsidRPr="00191B2C" w:rsidRDefault="007C264F" w:rsidP="00191B2C">
      <w:pPr>
        <w:pBdr>
          <w:bottom w:val="single" w:sz="4" w:space="1" w:color="auto"/>
        </w:pBdr>
        <w:jc w:val="both"/>
        <w:rPr>
          <w:sz w:val="24"/>
        </w:rPr>
      </w:pPr>
      <w:r w:rsidRPr="00EC3482">
        <w:rPr>
          <w:b/>
          <w:sz w:val="24"/>
        </w:rPr>
        <w:t xml:space="preserve">Calificación: </w:t>
      </w:r>
      <w:r w:rsidR="00A7316F">
        <w:rPr>
          <w:sz w:val="24"/>
        </w:rPr>
        <w:t>Se establece en la ley que el recurso de revisión se presenta ante el OG, de presentarlo en otra oficina ésta debe derivarlo al OG.</w:t>
      </w:r>
    </w:p>
    <w:p w14:paraId="766AA5C0" w14:textId="58A9FEAC" w:rsidR="00EC3482" w:rsidRPr="00EC3482" w:rsidRDefault="000701F4" w:rsidP="00FC0ABC">
      <w:pPr>
        <w:pStyle w:val="Ttulo1"/>
      </w:pPr>
      <w:r>
        <w:t>Criterio 139</w:t>
      </w:r>
      <w:r w:rsidR="00EC3482" w:rsidRPr="00EC3482">
        <w:t xml:space="preserve">. </w:t>
      </w:r>
      <w:r w:rsidR="00286755">
        <w:t>El r</w:t>
      </w:r>
      <w:r w:rsidR="00EC3482" w:rsidRPr="00EC3482">
        <w:t>ecurso de revisión se interpone por escrito</w:t>
      </w:r>
    </w:p>
    <w:p w14:paraId="74659BE6" w14:textId="562475B3" w:rsidR="00EC3482" w:rsidRPr="00EC3482" w:rsidRDefault="000701F4" w:rsidP="00FC0ABC">
      <w:pPr>
        <w:pStyle w:val="Ttulo1"/>
      </w:pPr>
      <w:r>
        <w:t>Criterio 140</w:t>
      </w:r>
      <w:r w:rsidR="00EC3482" w:rsidRPr="00EC3482">
        <w:t>.</w:t>
      </w:r>
      <w:r w:rsidR="00286755">
        <w:t>El r</w:t>
      </w:r>
      <w:r w:rsidR="00EC3482" w:rsidRPr="00EC3482">
        <w:t>ecurso de revisión se interpone por medios electrónicos</w:t>
      </w:r>
    </w:p>
    <w:p w14:paraId="791ACF25" w14:textId="5CAD45BE" w:rsidR="00EC3482" w:rsidRPr="00EC3482" w:rsidRDefault="00EC3482" w:rsidP="00EC3482">
      <w:pPr>
        <w:jc w:val="both"/>
        <w:rPr>
          <w:sz w:val="24"/>
        </w:rPr>
      </w:pPr>
      <w:r w:rsidRPr="00EC3482">
        <w:rPr>
          <w:b/>
          <w:sz w:val="24"/>
        </w:rPr>
        <w:t xml:space="preserve">Descripción. </w:t>
      </w:r>
      <w:r w:rsidRPr="00EC3482">
        <w:rPr>
          <w:sz w:val="24"/>
        </w:rPr>
        <w:t xml:space="preserve">Se evalúan los mecanismos con los que cuentan las personas para interponer un recurso de revisión. Se considera </w:t>
      </w:r>
      <w:r w:rsidR="00286755">
        <w:rPr>
          <w:sz w:val="24"/>
        </w:rPr>
        <w:t>posible</w:t>
      </w:r>
      <w:r w:rsidRPr="00EC3482">
        <w:rPr>
          <w:sz w:val="24"/>
        </w:rPr>
        <w:t xml:space="preserve"> interponer el recurso de revisión por escrito y por medios electrónicos, es decir, </w:t>
      </w:r>
      <w:r w:rsidR="00DC5E7E">
        <w:rPr>
          <w:sz w:val="24"/>
        </w:rPr>
        <w:t xml:space="preserve">facilitar </w:t>
      </w:r>
      <w:r w:rsidRPr="00EC3482">
        <w:rPr>
          <w:sz w:val="24"/>
        </w:rPr>
        <w:t>la accesibilidad y cobertura del recurso de revisión.</w:t>
      </w:r>
    </w:p>
    <w:p w14:paraId="1489C3BE" w14:textId="35C9DC2E" w:rsidR="00EC3482" w:rsidRPr="00EC3482" w:rsidRDefault="00EC3482" w:rsidP="000701F4">
      <w:pPr>
        <w:pBdr>
          <w:bottom w:val="single" w:sz="4" w:space="1" w:color="auto"/>
        </w:pBdr>
        <w:jc w:val="both"/>
        <w:rPr>
          <w:sz w:val="24"/>
        </w:rPr>
      </w:pPr>
      <w:r w:rsidRPr="00EC3482">
        <w:rPr>
          <w:b/>
          <w:sz w:val="24"/>
        </w:rPr>
        <w:t xml:space="preserve">Calificación: </w:t>
      </w:r>
      <w:r w:rsidR="00DC5E7E">
        <w:rPr>
          <w:sz w:val="24"/>
        </w:rPr>
        <w:t xml:space="preserve">Se explicita la </w:t>
      </w:r>
      <w:r w:rsidR="000701F4">
        <w:rPr>
          <w:sz w:val="24"/>
        </w:rPr>
        <w:t>posibilidad de interponer el recurso por los medios señalados en los criterios previos.</w:t>
      </w:r>
    </w:p>
    <w:p w14:paraId="042708E6" w14:textId="62D34E27" w:rsidR="00EC3482" w:rsidRPr="00EC3482" w:rsidRDefault="00B1534B" w:rsidP="00FC0ABC">
      <w:pPr>
        <w:pStyle w:val="Ttulo1"/>
      </w:pPr>
      <w:r>
        <w:t>Criterio 141</w:t>
      </w:r>
      <w:r w:rsidR="00EC3482" w:rsidRPr="00EC3482">
        <w:t>. Nombre y domicilio para recibir notificaciones</w:t>
      </w:r>
    </w:p>
    <w:p w14:paraId="688D0DDC" w14:textId="698AEBDF" w:rsidR="00EC3482" w:rsidRPr="00EC3482" w:rsidRDefault="00EC3482" w:rsidP="00EC3482">
      <w:pPr>
        <w:jc w:val="both"/>
        <w:rPr>
          <w:sz w:val="24"/>
        </w:rPr>
      </w:pPr>
      <w:r w:rsidRPr="00EC3482">
        <w:rPr>
          <w:b/>
          <w:sz w:val="24"/>
        </w:rPr>
        <w:t xml:space="preserve">Descripción. </w:t>
      </w:r>
      <w:r w:rsidRPr="00EC3482">
        <w:rPr>
          <w:sz w:val="24"/>
        </w:rPr>
        <w:t>La reducción de formalidades procesales facilita el ejercicio del recurso de revisión, por ello se evalúa</w:t>
      </w:r>
      <w:r w:rsidR="00392F8D">
        <w:rPr>
          <w:sz w:val="24"/>
        </w:rPr>
        <w:t>n</w:t>
      </w:r>
      <w:r w:rsidRPr="00EC3482">
        <w:rPr>
          <w:sz w:val="24"/>
        </w:rPr>
        <w:t xml:space="preserve"> las características y número de los requisitos.</w:t>
      </w:r>
    </w:p>
    <w:p w14:paraId="06599481" w14:textId="263621EE" w:rsidR="00EC3482" w:rsidRPr="00EC3482" w:rsidRDefault="00EC3482" w:rsidP="00B1534B">
      <w:pPr>
        <w:pBdr>
          <w:bottom w:val="single" w:sz="4" w:space="1" w:color="auto"/>
        </w:pBdr>
        <w:jc w:val="both"/>
        <w:rPr>
          <w:sz w:val="24"/>
        </w:rPr>
      </w:pPr>
      <w:r w:rsidRPr="00EC3482">
        <w:rPr>
          <w:b/>
          <w:sz w:val="24"/>
        </w:rPr>
        <w:t xml:space="preserve">Calificación: </w:t>
      </w:r>
      <w:r w:rsidR="00392F8D">
        <w:rPr>
          <w:sz w:val="24"/>
        </w:rPr>
        <w:t>Existe o</w:t>
      </w:r>
      <w:r w:rsidRPr="00EC3482">
        <w:rPr>
          <w:sz w:val="24"/>
        </w:rPr>
        <w:t xml:space="preserve">bligación del OG </w:t>
      </w:r>
      <w:r w:rsidR="00392F8D">
        <w:rPr>
          <w:sz w:val="24"/>
        </w:rPr>
        <w:t xml:space="preserve">de </w:t>
      </w:r>
      <w:r w:rsidRPr="00EC3482">
        <w:rPr>
          <w:sz w:val="24"/>
        </w:rPr>
        <w:t>reducir las formalidades procesales, tales como nombre y dirección</w:t>
      </w:r>
      <w:r w:rsidR="00392F8D">
        <w:rPr>
          <w:sz w:val="24"/>
        </w:rPr>
        <w:t>,</w:t>
      </w:r>
      <w:r w:rsidRPr="00EC3482">
        <w:rPr>
          <w:sz w:val="24"/>
        </w:rPr>
        <w:t xml:space="preserve"> para recibir comunicaciones sobe el recurso de revisión.</w:t>
      </w:r>
    </w:p>
    <w:p w14:paraId="35A2DBB3" w14:textId="1DC02336" w:rsidR="00EC3482" w:rsidRPr="00EC3482" w:rsidRDefault="002C1E75" w:rsidP="00FC0ABC">
      <w:pPr>
        <w:pStyle w:val="Ttulo1"/>
      </w:pPr>
      <w:r>
        <w:lastRenderedPageBreak/>
        <w:t xml:space="preserve">Criterio </w:t>
      </w:r>
      <w:r w:rsidR="0019145F">
        <w:t>142</w:t>
      </w:r>
      <w:r w:rsidR="00EC3482" w:rsidRPr="00EC3482">
        <w:t xml:space="preserve">. </w:t>
      </w:r>
      <w:r w:rsidR="00392F8D">
        <w:t>El r</w:t>
      </w:r>
      <w:r w:rsidR="00EC3482" w:rsidRPr="00EC3482">
        <w:t>ecurso procede ante cualquier inconformidad del recurrente</w:t>
      </w:r>
    </w:p>
    <w:p w14:paraId="19CF03C5" w14:textId="7E7AEB1F" w:rsidR="00EC3482" w:rsidRPr="00EC3482" w:rsidRDefault="00EC3482" w:rsidP="00EC3482">
      <w:pPr>
        <w:jc w:val="both"/>
        <w:rPr>
          <w:sz w:val="24"/>
        </w:rPr>
      </w:pPr>
      <w:r w:rsidRPr="00EC3482">
        <w:rPr>
          <w:b/>
          <w:sz w:val="24"/>
        </w:rPr>
        <w:t>Descripción.</w:t>
      </w:r>
      <w:r w:rsidRPr="00EC3482">
        <w:rPr>
          <w:sz w:val="24"/>
        </w:rPr>
        <w:t xml:space="preserve"> </w:t>
      </w:r>
      <w:r w:rsidR="008F2804">
        <w:rPr>
          <w:sz w:val="24"/>
        </w:rPr>
        <w:t>L</w:t>
      </w:r>
      <w:r w:rsidRPr="00EC3482">
        <w:rPr>
          <w:sz w:val="24"/>
        </w:rPr>
        <w:t>os recursos de inconformidad ante el OG debe</w:t>
      </w:r>
      <w:r w:rsidR="008F2804">
        <w:rPr>
          <w:sz w:val="24"/>
        </w:rPr>
        <w:t>n</w:t>
      </w:r>
      <w:r w:rsidRPr="00EC3482">
        <w:rPr>
          <w:sz w:val="24"/>
        </w:rPr>
        <w:t xml:space="preserve"> proceder de forma automática.</w:t>
      </w:r>
      <w:r w:rsidR="008F2804">
        <w:rPr>
          <w:sz w:val="24"/>
        </w:rPr>
        <w:t xml:space="preserve"> </w:t>
      </w:r>
      <w:r w:rsidRPr="00EC3482">
        <w:rPr>
          <w:sz w:val="24"/>
        </w:rPr>
        <w:t xml:space="preserve">Lo anterior asegura el derecho de solicitar </w:t>
      </w:r>
      <w:r w:rsidR="008F2804">
        <w:rPr>
          <w:sz w:val="24"/>
        </w:rPr>
        <w:t xml:space="preserve">que </w:t>
      </w:r>
      <w:r w:rsidRPr="00EC3482">
        <w:rPr>
          <w:sz w:val="24"/>
        </w:rPr>
        <w:t xml:space="preserve">la revisión de las decisiones de la autoridad no vulnere su derecho de acceso a la información y con ello </w:t>
      </w:r>
      <w:r w:rsidR="008F2804">
        <w:rPr>
          <w:sz w:val="24"/>
        </w:rPr>
        <w:t>se provee</w:t>
      </w:r>
      <w:r w:rsidR="008F2804" w:rsidRPr="00EC3482">
        <w:rPr>
          <w:sz w:val="24"/>
        </w:rPr>
        <w:t xml:space="preserve"> </w:t>
      </w:r>
      <w:r w:rsidRPr="00EC3482">
        <w:rPr>
          <w:sz w:val="24"/>
        </w:rPr>
        <w:t>un nivel más amplio de protección.</w:t>
      </w:r>
    </w:p>
    <w:p w14:paraId="35D06ADE" w14:textId="46898600" w:rsidR="00EC3482" w:rsidRPr="00EC3482" w:rsidRDefault="00EC3482" w:rsidP="0019145F">
      <w:pPr>
        <w:pBdr>
          <w:bottom w:val="single" w:sz="4" w:space="1" w:color="auto"/>
        </w:pBdr>
        <w:jc w:val="both"/>
        <w:rPr>
          <w:b/>
          <w:sz w:val="24"/>
        </w:rPr>
      </w:pPr>
      <w:r w:rsidRPr="00EC3482">
        <w:rPr>
          <w:b/>
          <w:sz w:val="24"/>
        </w:rPr>
        <w:t xml:space="preserve">Calificación: </w:t>
      </w:r>
      <w:r w:rsidRPr="00EC3482">
        <w:rPr>
          <w:sz w:val="24"/>
        </w:rPr>
        <w:t xml:space="preserve">La </w:t>
      </w:r>
      <w:r w:rsidR="008F2804">
        <w:rPr>
          <w:sz w:val="24"/>
        </w:rPr>
        <w:t>norma ordena considerar y privilegiar</w:t>
      </w:r>
      <w:r w:rsidRPr="00EC3482">
        <w:rPr>
          <w:sz w:val="24"/>
        </w:rPr>
        <w:t xml:space="preserve"> las causales expuestas por el usuario y no solamente la negativa, falta</w:t>
      </w:r>
      <w:r w:rsidR="008F2804">
        <w:rPr>
          <w:sz w:val="24"/>
        </w:rPr>
        <w:t>s</w:t>
      </w:r>
      <w:r w:rsidRPr="00EC3482">
        <w:rPr>
          <w:sz w:val="24"/>
        </w:rPr>
        <w:t xml:space="preserve"> en la entrega de información o exce</w:t>
      </w:r>
      <w:r w:rsidR="008F2804">
        <w:rPr>
          <w:sz w:val="24"/>
        </w:rPr>
        <w:t>so</w:t>
      </w:r>
      <w:r w:rsidRPr="00EC3482">
        <w:rPr>
          <w:sz w:val="24"/>
        </w:rPr>
        <w:t xml:space="preserve"> en los plazos.</w:t>
      </w:r>
    </w:p>
    <w:p w14:paraId="3B460A91" w14:textId="0CB2669B" w:rsidR="00701051" w:rsidRPr="00EC3482" w:rsidRDefault="00701051" w:rsidP="00701051">
      <w:pPr>
        <w:pStyle w:val="Ttulo1"/>
        <w:numPr>
          <w:ilvl w:val="0"/>
          <w:numId w:val="19"/>
        </w:numPr>
      </w:pPr>
      <w:bookmarkStart w:id="20" w:name="_Plazos_para_recurso"/>
      <w:bookmarkEnd w:id="20"/>
      <w:r>
        <w:t>Plazos para recurso de revisión</w:t>
      </w:r>
    </w:p>
    <w:p w14:paraId="0728995F" w14:textId="5E1144D7" w:rsidR="00EC3482" w:rsidRPr="00EC3482" w:rsidRDefault="00EC3482" w:rsidP="00EC3482">
      <w:pPr>
        <w:jc w:val="both"/>
        <w:rPr>
          <w:sz w:val="24"/>
        </w:rPr>
      </w:pPr>
      <w:r w:rsidRPr="00EC3482">
        <w:rPr>
          <w:sz w:val="24"/>
        </w:rPr>
        <w:t>Los requisitos que deben contemplarse tienen como objeto garantizar certeza jurídica para las personas y</w:t>
      </w:r>
      <w:r w:rsidR="0051165F">
        <w:rPr>
          <w:sz w:val="24"/>
        </w:rPr>
        <w:t xml:space="preserve"> la</w:t>
      </w:r>
      <w:r w:rsidRPr="00EC3482">
        <w:rPr>
          <w:sz w:val="24"/>
        </w:rPr>
        <w:t xml:space="preserve"> planeación estratégica.</w:t>
      </w:r>
    </w:p>
    <w:p w14:paraId="3B908C68" w14:textId="4C0B8C0C" w:rsidR="00EC3482" w:rsidRPr="00EC3482" w:rsidRDefault="004B7142" w:rsidP="00FC0ABC">
      <w:pPr>
        <w:pStyle w:val="Ttulo1"/>
      </w:pPr>
      <w:r>
        <w:t>143</w:t>
      </w:r>
      <w:r w:rsidR="00EC3482" w:rsidRPr="00EC3482">
        <w:t>. Mínimo 15 días hábiles para interponer recursos de revisión</w:t>
      </w:r>
    </w:p>
    <w:p w14:paraId="336742C8" w14:textId="496F679B" w:rsidR="00EC3482" w:rsidRPr="00EC3482" w:rsidRDefault="004B7142" w:rsidP="00FC0ABC">
      <w:pPr>
        <w:pStyle w:val="Ttulo1"/>
      </w:pPr>
      <w:r>
        <w:t>144</w:t>
      </w:r>
      <w:r w:rsidR="00EC3482" w:rsidRPr="00EC3482">
        <w:t>. Plazo máximo de 60 días para que el órgano garante resuelva el recurso de revisión, incluye la ampliación del plazo</w:t>
      </w:r>
    </w:p>
    <w:p w14:paraId="1B79B3B2" w14:textId="1526C9C5" w:rsidR="00EC3482" w:rsidRPr="00EC3482" w:rsidRDefault="004B7142" w:rsidP="00FC0ABC">
      <w:pPr>
        <w:pStyle w:val="Ttulo1"/>
        <w:rPr>
          <w:bCs/>
        </w:rPr>
      </w:pPr>
      <w:r>
        <w:rPr>
          <w:bCs/>
        </w:rPr>
        <w:t>145</w:t>
      </w:r>
      <w:r w:rsidR="00EC3482" w:rsidRPr="00EC3482">
        <w:rPr>
          <w:bCs/>
        </w:rPr>
        <w:t>. Hasta 10 días hábiles para que el sujeto obligado entregue la información que le obliga el órgano garante</w:t>
      </w:r>
    </w:p>
    <w:p w14:paraId="26EF809E" w14:textId="7382F45B" w:rsidR="00EC3482" w:rsidRPr="00EC3482" w:rsidRDefault="004B7142" w:rsidP="00FC0ABC">
      <w:pPr>
        <w:pStyle w:val="Ttulo1"/>
      </w:pPr>
      <w:r>
        <w:rPr>
          <w:bCs/>
        </w:rPr>
        <w:t>146</w:t>
      </w:r>
      <w:r w:rsidR="00EC3482" w:rsidRPr="00EC3482">
        <w:rPr>
          <w:bCs/>
        </w:rPr>
        <w:t>. Hasta 40 días hábiles para entrega de información que no existía y el órgano garante obliga a generarla</w:t>
      </w:r>
    </w:p>
    <w:p w14:paraId="4D25F5C7" w14:textId="77777777" w:rsidR="00EC3482" w:rsidRPr="00EC3482" w:rsidRDefault="00EC3482" w:rsidP="00EC3482">
      <w:pPr>
        <w:jc w:val="both"/>
        <w:rPr>
          <w:sz w:val="24"/>
        </w:rPr>
      </w:pPr>
      <w:r w:rsidRPr="00EC3482">
        <w:rPr>
          <w:b/>
          <w:sz w:val="24"/>
        </w:rPr>
        <w:t xml:space="preserve">Descripción. </w:t>
      </w:r>
      <w:r w:rsidRPr="00EC3482">
        <w:rPr>
          <w:sz w:val="24"/>
        </w:rPr>
        <w:t>Las mejores prácticas nacionales e internacionales buscan cumplir con el principio de inmediatez para el goce efectivo del DAI. En ese sentido, la ley debe indicar los tiempos precisos para el desahogo de estos recursos dentro del órgano garante, además de los plazos para que las personas interpongan un recurso de revisión.</w:t>
      </w:r>
    </w:p>
    <w:p w14:paraId="4452BEF7" w14:textId="6A6B519E" w:rsidR="00EC3482" w:rsidRPr="00EC3482" w:rsidRDefault="00EC3482" w:rsidP="00EC3482">
      <w:pPr>
        <w:jc w:val="both"/>
        <w:rPr>
          <w:sz w:val="24"/>
        </w:rPr>
      </w:pPr>
      <w:r w:rsidRPr="00EC3482">
        <w:rPr>
          <w:sz w:val="24"/>
        </w:rPr>
        <w:t xml:space="preserve">En ese proceso se deben considerar los plazos del OG para dar solución </w:t>
      </w:r>
      <w:r w:rsidR="0051165F">
        <w:rPr>
          <w:sz w:val="24"/>
        </w:rPr>
        <w:t>así como</w:t>
      </w:r>
      <w:r w:rsidRPr="00EC3482">
        <w:rPr>
          <w:sz w:val="24"/>
        </w:rPr>
        <w:t xml:space="preserve"> los tiempos para dar respuesta </w:t>
      </w:r>
      <w:r w:rsidR="0051165F">
        <w:rPr>
          <w:sz w:val="24"/>
        </w:rPr>
        <w:t>por parte de los</w:t>
      </w:r>
      <w:r w:rsidRPr="00EC3482">
        <w:rPr>
          <w:sz w:val="24"/>
        </w:rPr>
        <w:t xml:space="preserve"> sujetos obligados </w:t>
      </w:r>
      <w:r w:rsidR="0051165F">
        <w:rPr>
          <w:sz w:val="24"/>
        </w:rPr>
        <w:t>a</w:t>
      </w:r>
      <w:r w:rsidRPr="00EC3482">
        <w:rPr>
          <w:sz w:val="24"/>
        </w:rPr>
        <w:t xml:space="preserve"> entregar la información solicitada, incluso considerando la generación de la misma.</w:t>
      </w:r>
    </w:p>
    <w:p w14:paraId="3574E43F" w14:textId="59A2E008" w:rsidR="00EC3482" w:rsidRPr="00EC3482" w:rsidRDefault="00EC3482" w:rsidP="008E5129">
      <w:pPr>
        <w:pBdr>
          <w:top w:val="single" w:sz="4" w:space="1" w:color="auto"/>
          <w:left w:val="single" w:sz="4" w:space="4" w:color="auto"/>
          <w:bottom w:val="single" w:sz="4" w:space="1" w:color="auto"/>
          <w:right w:val="single" w:sz="4" w:space="4" w:color="auto"/>
        </w:pBdr>
        <w:jc w:val="both"/>
        <w:rPr>
          <w:b/>
          <w:sz w:val="24"/>
        </w:rPr>
      </w:pPr>
      <w:r w:rsidRPr="00EC3482">
        <w:rPr>
          <w:b/>
          <w:sz w:val="24"/>
        </w:rPr>
        <w:t xml:space="preserve">Calificación: </w:t>
      </w:r>
      <w:r w:rsidR="008E5129">
        <w:rPr>
          <w:sz w:val="24"/>
        </w:rPr>
        <w:t>Se establecen los plazos como se indica en cada criterio. Para el criterio 143 el mínimo son 15 días, para los criterios restantes se establece el plazo máximo, cualquier plazo menor es considerado positivo.</w:t>
      </w:r>
    </w:p>
    <w:p w14:paraId="2D01A2E1" w14:textId="617871CB" w:rsidR="00787A8C" w:rsidRPr="00EC3482" w:rsidRDefault="00787A8C" w:rsidP="00787A8C">
      <w:pPr>
        <w:pStyle w:val="Ttulo1"/>
        <w:numPr>
          <w:ilvl w:val="0"/>
          <w:numId w:val="19"/>
        </w:numPr>
      </w:pPr>
      <w:bookmarkStart w:id="21" w:name="_Garantías_jurídicas_del"/>
      <w:bookmarkEnd w:id="21"/>
      <w:r>
        <w:lastRenderedPageBreak/>
        <w:t xml:space="preserve">Garantías jurídicas del recurso </w:t>
      </w:r>
    </w:p>
    <w:p w14:paraId="250414C7" w14:textId="213A175C" w:rsidR="00917F81" w:rsidRPr="00917F81" w:rsidRDefault="00917F81" w:rsidP="00917F81">
      <w:pPr>
        <w:jc w:val="both"/>
        <w:rPr>
          <w:sz w:val="24"/>
        </w:rPr>
      </w:pPr>
      <w:r w:rsidRPr="00917F81">
        <w:rPr>
          <w:sz w:val="24"/>
        </w:rPr>
        <w:t>Este indicador evalúa que el procedimiento del recurso de revisión integre las garantías de certeza jurídica, con el propósito de suplir las asimetrías de información y capacidad técnic</w:t>
      </w:r>
      <w:r w:rsidR="0051165F">
        <w:rPr>
          <w:sz w:val="24"/>
        </w:rPr>
        <w:t>o-</w:t>
      </w:r>
      <w:r w:rsidRPr="00917F81">
        <w:rPr>
          <w:sz w:val="24"/>
        </w:rPr>
        <w:t>jurídica de los recurrentes frente a las autoridades, además del cumplimiento en la resolución del recurso de revisión.</w:t>
      </w:r>
    </w:p>
    <w:p w14:paraId="289DCD84" w14:textId="33555872" w:rsidR="00917F81" w:rsidRPr="00917F81" w:rsidRDefault="00917F81" w:rsidP="00917F81">
      <w:pPr>
        <w:pStyle w:val="Ttulo1"/>
      </w:pPr>
      <w:r w:rsidRPr="00917F81">
        <w:rPr>
          <w:bCs/>
        </w:rPr>
        <w:t>Criterio</w:t>
      </w:r>
      <w:r w:rsidR="000419B3">
        <w:t xml:space="preserve"> 147</w:t>
      </w:r>
      <w:r w:rsidRPr="00917F81">
        <w:t>. Establece procedimientos con etapas y plazos para la resolución de los recursos</w:t>
      </w:r>
    </w:p>
    <w:p w14:paraId="48E215C6" w14:textId="093FB104" w:rsidR="00917F81" w:rsidRPr="00917F81" w:rsidRDefault="00917F81" w:rsidP="00917F81">
      <w:pPr>
        <w:jc w:val="both"/>
        <w:rPr>
          <w:sz w:val="24"/>
        </w:rPr>
      </w:pPr>
      <w:r w:rsidRPr="00917F81">
        <w:rPr>
          <w:b/>
          <w:sz w:val="24"/>
        </w:rPr>
        <w:t xml:space="preserve">Descripción. </w:t>
      </w:r>
      <w:r w:rsidRPr="00917F81">
        <w:rPr>
          <w:sz w:val="24"/>
        </w:rPr>
        <w:t>La Ley debe disponer de forma clara procedimiento</w:t>
      </w:r>
      <w:r w:rsidR="0051165F">
        <w:rPr>
          <w:sz w:val="24"/>
        </w:rPr>
        <w:t>s</w:t>
      </w:r>
      <w:r w:rsidRPr="00917F81">
        <w:rPr>
          <w:sz w:val="24"/>
        </w:rPr>
        <w:t xml:space="preserve"> para la resolución de controversias</w:t>
      </w:r>
      <w:r w:rsidR="0051165F">
        <w:rPr>
          <w:sz w:val="24"/>
        </w:rPr>
        <w:t>;</w:t>
      </w:r>
      <w:r w:rsidRPr="00917F81">
        <w:rPr>
          <w:sz w:val="24"/>
        </w:rPr>
        <w:t xml:space="preserve"> </w:t>
      </w:r>
      <w:r w:rsidR="0051165F">
        <w:rPr>
          <w:sz w:val="24"/>
        </w:rPr>
        <w:t xml:space="preserve">ello, </w:t>
      </w:r>
      <w:r w:rsidRPr="00917F81">
        <w:rPr>
          <w:sz w:val="24"/>
        </w:rPr>
        <w:t>además de dar certeza a los recurrentes, disminuye la posibilidad de que los recursos sean resueltos de manera discrecional. Adicionalmente, los procedimientos son una guía para facilitar el trabajo de los órganos garantes.</w:t>
      </w:r>
    </w:p>
    <w:p w14:paraId="246A1816" w14:textId="42913363" w:rsidR="00917F81" w:rsidRPr="00917F81" w:rsidRDefault="00917F81" w:rsidP="00A26AFA">
      <w:pPr>
        <w:pBdr>
          <w:bottom w:val="single" w:sz="4" w:space="1" w:color="auto"/>
        </w:pBdr>
        <w:jc w:val="both"/>
        <w:rPr>
          <w:b/>
          <w:sz w:val="24"/>
        </w:rPr>
      </w:pPr>
      <w:r w:rsidRPr="00917F81">
        <w:rPr>
          <w:b/>
          <w:sz w:val="24"/>
        </w:rPr>
        <w:t xml:space="preserve">Calificación: </w:t>
      </w:r>
      <w:r w:rsidR="0085794F">
        <w:rPr>
          <w:sz w:val="24"/>
        </w:rPr>
        <w:t>Existe un p</w:t>
      </w:r>
      <w:r w:rsidRPr="00917F81">
        <w:rPr>
          <w:sz w:val="24"/>
        </w:rPr>
        <w:t xml:space="preserve">rocedimiento </w:t>
      </w:r>
      <w:r w:rsidR="00222EE0">
        <w:rPr>
          <w:sz w:val="24"/>
        </w:rPr>
        <w:t xml:space="preserve">claro, </w:t>
      </w:r>
      <w:r w:rsidRPr="00917F81">
        <w:rPr>
          <w:sz w:val="24"/>
        </w:rPr>
        <w:t xml:space="preserve">con etapas y plazos para la resolución de los </w:t>
      </w:r>
      <w:r w:rsidR="004C119A">
        <w:rPr>
          <w:sz w:val="24"/>
        </w:rPr>
        <w:t>recursos</w:t>
      </w:r>
      <w:r w:rsidRPr="00917F81">
        <w:rPr>
          <w:sz w:val="24"/>
        </w:rPr>
        <w:t>.</w:t>
      </w:r>
    </w:p>
    <w:p w14:paraId="152ABE97" w14:textId="117652FF" w:rsidR="00917F81" w:rsidRPr="00917F81" w:rsidRDefault="00917F81" w:rsidP="00917F81">
      <w:pPr>
        <w:pStyle w:val="Ttulo1"/>
      </w:pPr>
      <w:r w:rsidRPr="00917F81">
        <w:rPr>
          <w:bCs/>
        </w:rPr>
        <w:t>Criterio</w:t>
      </w:r>
      <w:r w:rsidR="00A26AFA">
        <w:t xml:space="preserve"> 148</w:t>
      </w:r>
      <w:r w:rsidRPr="00917F81">
        <w:t>. Establece explícitamente plazos para prevenciones de la autoridad</w:t>
      </w:r>
    </w:p>
    <w:p w14:paraId="23DE5BFB" w14:textId="31DA291C" w:rsidR="00917F81" w:rsidRPr="00917F81" w:rsidRDefault="00917F81" w:rsidP="00917F81">
      <w:pPr>
        <w:jc w:val="both"/>
        <w:rPr>
          <w:b/>
          <w:sz w:val="24"/>
        </w:rPr>
      </w:pPr>
      <w:r w:rsidRPr="00917F81">
        <w:rPr>
          <w:b/>
          <w:sz w:val="24"/>
        </w:rPr>
        <w:t xml:space="preserve">Descripción. </w:t>
      </w:r>
      <w:r w:rsidRPr="00917F81">
        <w:rPr>
          <w:sz w:val="24"/>
        </w:rPr>
        <w:t xml:space="preserve">Las prevenciones son una garantía para la autoridad, </w:t>
      </w:r>
      <w:r w:rsidR="00031CAF">
        <w:rPr>
          <w:sz w:val="24"/>
        </w:rPr>
        <w:t xml:space="preserve">pues </w:t>
      </w:r>
      <w:r w:rsidRPr="00917F81">
        <w:rPr>
          <w:sz w:val="24"/>
        </w:rPr>
        <w:t>le ofrece</w:t>
      </w:r>
      <w:r w:rsidR="00031CAF">
        <w:rPr>
          <w:sz w:val="24"/>
        </w:rPr>
        <w:t>n</w:t>
      </w:r>
      <w:r w:rsidRPr="00917F81">
        <w:rPr>
          <w:sz w:val="24"/>
        </w:rPr>
        <w:t xml:space="preserve"> la posibilidad de fortalecer o ampliar los argumentos sobre la queja presente en el recurso. De esta manera se certifica que el órgano garante</w:t>
      </w:r>
      <w:r w:rsidR="00031CAF">
        <w:rPr>
          <w:sz w:val="24"/>
        </w:rPr>
        <w:t xml:space="preserve"> cuente</w:t>
      </w:r>
      <w:r w:rsidRPr="00917F81">
        <w:rPr>
          <w:sz w:val="24"/>
        </w:rPr>
        <w:t xml:space="preserve"> con la mayor información posible emita su resolución.</w:t>
      </w:r>
    </w:p>
    <w:p w14:paraId="247B7DB5" w14:textId="69630E01" w:rsidR="00917F81" w:rsidRPr="00917F81" w:rsidRDefault="00917F81" w:rsidP="00A26AFA">
      <w:pPr>
        <w:pBdr>
          <w:bottom w:val="single" w:sz="4" w:space="1" w:color="auto"/>
        </w:pBdr>
        <w:jc w:val="both"/>
        <w:rPr>
          <w:b/>
          <w:sz w:val="24"/>
        </w:rPr>
      </w:pPr>
      <w:r w:rsidRPr="00917F81">
        <w:rPr>
          <w:b/>
          <w:sz w:val="24"/>
        </w:rPr>
        <w:t xml:space="preserve">Calificación: </w:t>
      </w:r>
      <w:r w:rsidR="00A26AFA">
        <w:rPr>
          <w:sz w:val="24"/>
        </w:rPr>
        <w:t>Dentro del proceso del recurso de revisión existe un plazo para que la autoridad pueda ampliar argumentos o integrar expedientes al recurso</w:t>
      </w:r>
      <w:r w:rsidRPr="00917F81">
        <w:rPr>
          <w:sz w:val="24"/>
        </w:rPr>
        <w:t>.</w:t>
      </w:r>
    </w:p>
    <w:p w14:paraId="30925435" w14:textId="2F59FDE3" w:rsidR="00917F81" w:rsidRPr="00917F81" w:rsidRDefault="00F16BE3" w:rsidP="00917F81">
      <w:pPr>
        <w:pStyle w:val="Ttulo1"/>
      </w:pPr>
      <w:r>
        <w:t>Criterio 149</w:t>
      </w:r>
      <w:r w:rsidR="00917F81" w:rsidRPr="00917F81">
        <w:t>. Procedimiento de impugnación no remite a otros ordenamientos legales</w:t>
      </w:r>
    </w:p>
    <w:p w14:paraId="78B54BB8" w14:textId="3CC41403" w:rsidR="00917F81" w:rsidRPr="00917F81" w:rsidRDefault="00917F81" w:rsidP="00917F81">
      <w:pPr>
        <w:jc w:val="both"/>
        <w:rPr>
          <w:b/>
          <w:sz w:val="24"/>
        </w:rPr>
      </w:pPr>
      <w:r w:rsidRPr="00917F81">
        <w:rPr>
          <w:b/>
          <w:sz w:val="24"/>
        </w:rPr>
        <w:t xml:space="preserve">Descripción. </w:t>
      </w:r>
      <w:r w:rsidRPr="00917F81">
        <w:rPr>
          <w:sz w:val="24"/>
        </w:rPr>
        <w:t xml:space="preserve">El procedimiento de acceso a la información, impugnación y resolución de los recursos de revisión debe quedar claramente establecido en la Ley con el objeto de que las personas cuenten con una guía para conocer los requisitos, etapas y plazos para lograr una resolución a su recurso de revisión; </w:t>
      </w:r>
      <w:r w:rsidRPr="00917F81">
        <w:rPr>
          <w:sz w:val="24"/>
        </w:rPr>
        <w:lastRenderedPageBreak/>
        <w:t>paralelamente, los servidores públicos cono</w:t>
      </w:r>
      <w:r w:rsidR="005809B0">
        <w:rPr>
          <w:sz w:val="24"/>
        </w:rPr>
        <w:t>cerán</w:t>
      </w:r>
      <w:r w:rsidRPr="00917F81">
        <w:rPr>
          <w:sz w:val="24"/>
        </w:rPr>
        <w:t xml:space="preserve"> sus obligaciones y </w:t>
      </w:r>
      <w:r w:rsidR="005809B0">
        <w:rPr>
          <w:sz w:val="24"/>
        </w:rPr>
        <w:t xml:space="preserve">los </w:t>
      </w:r>
      <w:r w:rsidRPr="00917F81">
        <w:rPr>
          <w:sz w:val="24"/>
        </w:rPr>
        <w:t>mecanismos para resolver dichos recursos.</w:t>
      </w:r>
    </w:p>
    <w:p w14:paraId="5E26C335" w14:textId="7D40AFBA" w:rsidR="00917F81" w:rsidRPr="00917F81" w:rsidRDefault="00917F81" w:rsidP="00A036AB">
      <w:pPr>
        <w:pBdr>
          <w:bottom w:val="single" w:sz="4" w:space="1" w:color="auto"/>
        </w:pBdr>
        <w:jc w:val="both"/>
        <w:rPr>
          <w:b/>
          <w:sz w:val="24"/>
        </w:rPr>
      </w:pPr>
      <w:r w:rsidRPr="00917F81">
        <w:rPr>
          <w:b/>
          <w:sz w:val="24"/>
        </w:rPr>
        <w:t xml:space="preserve">Calificación: </w:t>
      </w:r>
      <w:r w:rsidR="00A036AB">
        <w:rPr>
          <w:sz w:val="24"/>
        </w:rPr>
        <w:t>S</w:t>
      </w:r>
      <w:r w:rsidR="00A036AB" w:rsidRPr="00EC3482">
        <w:rPr>
          <w:sz w:val="24"/>
        </w:rPr>
        <w:t xml:space="preserve">e realiza dentro del procedimiento de ley y no deriva a otros ordenamientos ni </w:t>
      </w:r>
      <w:r w:rsidR="00A036AB">
        <w:rPr>
          <w:sz w:val="24"/>
        </w:rPr>
        <w:t xml:space="preserve">a </w:t>
      </w:r>
      <w:r w:rsidR="00A036AB" w:rsidRPr="00EC3482">
        <w:rPr>
          <w:sz w:val="24"/>
        </w:rPr>
        <w:t>cumplir con otros procedimientos</w:t>
      </w:r>
      <w:r w:rsidR="00A036AB" w:rsidRPr="00EC3482">
        <w:rPr>
          <w:iCs/>
          <w:sz w:val="24"/>
        </w:rPr>
        <w:t>.</w:t>
      </w:r>
    </w:p>
    <w:p w14:paraId="101BC1B7" w14:textId="3F0BEE7E" w:rsidR="00917F81" w:rsidRPr="00917F81" w:rsidRDefault="00917F81" w:rsidP="00917F81">
      <w:pPr>
        <w:pStyle w:val="Ttulo1"/>
      </w:pPr>
      <w:r w:rsidRPr="00917F81">
        <w:rPr>
          <w:bCs/>
        </w:rPr>
        <w:t>Criterio</w:t>
      </w:r>
      <w:r w:rsidR="00781A0A">
        <w:t xml:space="preserve"> 150</w:t>
      </w:r>
      <w:r w:rsidRPr="00917F81">
        <w:t>. Establece explícitamente la suplencia de la queja a favor del recurrente</w:t>
      </w:r>
    </w:p>
    <w:p w14:paraId="13E34DD1" w14:textId="57A0833B" w:rsidR="00917F81" w:rsidRPr="00917F81" w:rsidRDefault="00917F81" w:rsidP="00917F81">
      <w:pPr>
        <w:jc w:val="both"/>
        <w:rPr>
          <w:b/>
          <w:sz w:val="24"/>
        </w:rPr>
      </w:pPr>
      <w:r w:rsidRPr="00917F81">
        <w:rPr>
          <w:b/>
          <w:sz w:val="24"/>
        </w:rPr>
        <w:t xml:space="preserve">Descripción. </w:t>
      </w:r>
      <w:r w:rsidRPr="00917F81">
        <w:rPr>
          <w:sz w:val="24"/>
        </w:rPr>
        <w:t xml:space="preserve">Este indicador evalúa si la Ley faculta y obliga </w:t>
      </w:r>
      <w:r w:rsidR="00E63506">
        <w:rPr>
          <w:sz w:val="24"/>
        </w:rPr>
        <w:t xml:space="preserve">al </w:t>
      </w:r>
      <w:r w:rsidRPr="00917F81">
        <w:rPr>
          <w:sz w:val="24"/>
        </w:rPr>
        <w:t>OG a corregir las omisiones, errores o deficiencias del recurrente al promover su recurso de revisión y con ello protegerlo frente a las autoridades como la parte débil en el procedimiento de impugnación.</w:t>
      </w:r>
    </w:p>
    <w:p w14:paraId="122D1795" w14:textId="35F96BB9" w:rsidR="00917F81" w:rsidRPr="00917F81" w:rsidRDefault="00917F81" w:rsidP="00781A0A">
      <w:pPr>
        <w:pBdr>
          <w:bottom w:val="single" w:sz="4" w:space="1" w:color="auto"/>
        </w:pBdr>
        <w:jc w:val="both"/>
        <w:rPr>
          <w:b/>
          <w:sz w:val="24"/>
        </w:rPr>
      </w:pPr>
      <w:r w:rsidRPr="00917F81">
        <w:rPr>
          <w:b/>
          <w:sz w:val="24"/>
        </w:rPr>
        <w:t xml:space="preserve">Calificación: </w:t>
      </w:r>
      <w:r w:rsidR="00E63506">
        <w:rPr>
          <w:sz w:val="24"/>
        </w:rPr>
        <w:t>Se marcan las a</w:t>
      </w:r>
      <w:r w:rsidRPr="00917F81">
        <w:rPr>
          <w:sz w:val="24"/>
        </w:rPr>
        <w:t>tribuciones</w:t>
      </w:r>
      <w:r w:rsidR="00E63506">
        <w:rPr>
          <w:sz w:val="24"/>
        </w:rPr>
        <w:t xml:space="preserve"> y la obligación</w:t>
      </w:r>
      <w:r w:rsidRPr="00917F81">
        <w:rPr>
          <w:sz w:val="24"/>
        </w:rPr>
        <w:t xml:space="preserve"> </w:t>
      </w:r>
      <w:r w:rsidR="00E63506">
        <w:rPr>
          <w:sz w:val="24"/>
        </w:rPr>
        <w:t>del</w:t>
      </w:r>
      <w:r w:rsidRPr="00917F81">
        <w:rPr>
          <w:sz w:val="24"/>
        </w:rPr>
        <w:t xml:space="preserve"> OG para</w:t>
      </w:r>
      <w:r w:rsidR="00E63506">
        <w:rPr>
          <w:sz w:val="24"/>
        </w:rPr>
        <w:t xml:space="preserve"> la</w:t>
      </w:r>
      <w:r w:rsidRPr="00917F81">
        <w:rPr>
          <w:sz w:val="24"/>
        </w:rPr>
        <w:t xml:space="preserve"> suplencia de la queja en el recurso de revisión.</w:t>
      </w:r>
    </w:p>
    <w:p w14:paraId="66EE5BA2" w14:textId="0E5E503E" w:rsidR="00917F81" w:rsidRPr="00917F81" w:rsidRDefault="00781A0A" w:rsidP="00917F81">
      <w:pPr>
        <w:pStyle w:val="Ttulo1"/>
      </w:pPr>
      <w:r>
        <w:t>Criterio 151</w:t>
      </w:r>
      <w:r w:rsidR="00917F81" w:rsidRPr="00917F81">
        <w:t>. Establece procedimiento de ejecución en caso de incumplimiento de una resolución en un recurso de revisión</w:t>
      </w:r>
    </w:p>
    <w:p w14:paraId="613E5202" w14:textId="55C5E6CF" w:rsidR="00917F81" w:rsidRPr="00917F81" w:rsidRDefault="00917F81" w:rsidP="00917F81">
      <w:pPr>
        <w:jc w:val="both"/>
        <w:rPr>
          <w:sz w:val="24"/>
        </w:rPr>
      </w:pPr>
      <w:r w:rsidRPr="00917F81">
        <w:rPr>
          <w:b/>
          <w:sz w:val="24"/>
        </w:rPr>
        <w:t xml:space="preserve">Descripción. </w:t>
      </w:r>
      <w:r w:rsidRPr="00917F81">
        <w:rPr>
          <w:sz w:val="24"/>
        </w:rPr>
        <w:t xml:space="preserve">La existencia de procedimientos que fuercen a los sujetos obligados a cumplir la resolución de un recurso de revisión se considera una práctica novedosa. Por ello, es óptimo que la Ley prevea mecanismos de </w:t>
      </w:r>
      <w:proofErr w:type="spellStart"/>
      <w:r w:rsidRPr="00917F81">
        <w:rPr>
          <w:i/>
          <w:sz w:val="24"/>
        </w:rPr>
        <w:t>enforcement</w:t>
      </w:r>
      <w:proofErr w:type="spellEnd"/>
      <w:r w:rsidRPr="00917F81">
        <w:rPr>
          <w:sz w:val="24"/>
        </w:rPr>
        <w:t xml:space="preserve"> a cargo del Órgano Garante o alguna otra autoridad facultada para ello, para garantizar la efectiva entrega de la información. </w:t>
      </w:r>
    </w:p>
    <w:p w14:paraId="2EDCEFBE" w14:textId="24348252" w:rsidR="00917F81" w:rsidRPr="00917F81" w:rsidRDefault="00917F81" w:rsidP="00781A0A">
      <w:pPr>
        <w:pBdr>
          <w:bottom w:val="single" w:sz="4" w:space="1" w:color="auto"/>
        </w:pBdr>
        <w:jc w:val="both"/>
        <w:rPr>
          <w:sz w:val="24"/>
        </w:rPr>
      </w:pPr>
      <w:r w:rsidRPr="00917F81">
        <w:rPr>
          <w:b/>
          <w:sz w:val="24"/>
        </w:rPr>
        <w:t xml:space="preserve">Calificación: </w:t>
      </w:r>
      <w:r w:rsidR="00D521F5">
        <w:rPr>
          <w:sz w:val="24"/>
        </w:rPr>
        <w:t>Es explícita la o</w:t>
      </w:r>
      <w:r w:rsidRPr="00917F81">
        <w:rPr>
          <w:sz w:val="24"/>
        </w:rPr>
        <w:t>bligación de generar el procedimiento de ejecución en caso de incumplimiento de resolución del recurso de revisión.</w:t>
      </w:r>
    </w:p>
    <w:p w14:paraId="4437DD1E" w14:textId="159ACC36" w:rsidR="00C453D1" w:rsidRPr="00EC3482" w:rsidRDefault="00C453D1" w:rsidP="00C453D1">
      <w:pPr>
        <w:pStyle w:val="Ttulo1"/>
        <w:numPr>
          <w:ilvl w:val="0"/>
          <w:numId w:val="19"/>
        </w:numPr>
      </w:pPr>
      <w:bookmarkStart w:id="22" w:name="_Lista_de_información"/>
      <w:bookmarkEnd w:id="22"/>
      <w:r>
        <w:t>Lista de información que debe ser publicada sin que medie una solicitud de información</w:t>
      </w:r>
    </w:p>
    <w:p w14:paraId="5310EEEC" w14:textId="77777777" w:rsidR="00917F81" w:rsidRPr="00917F81" w:rsidRDefault="00917F81" w:rsidP="00917F81">
      <w:pPr>
        <w:jc w:val="both"/>
        <w:rPr>
          <w:sz w:val="24"/>
        </w:rPr>
      </w:pPr>
      <w:r w:rsidRPr="00917F81">
        <w:rPr>
          <w:sz w:val="24"/>
        </w:rPr>
        <w:t xml:space="preserve">La difusión de información forma parte de las obligaciones positivas que genera el derecho de acceso a la información. Convierte a las autoridades públicas en sujetos activos bajo el imperativo de generar información y posteriormente difundirla de forma permanente y sin que medie solicitud. La difusión de esta </w:t>
      </w:r>
      <w:r w:rsidRPr="00917F81">
        <w:rPr>
          <w:sz w:val="24"/>
        </w:rPr>
        <w:lastRenderedPageBreak/>
        <w:t>información también se rige bajo los principios de veracidad, certeza y publicidad.</w:t>
      </w:r>
    </w:p>
    <w:p w14:paraId="4BAAC45A" w14:textId="0D784594" w:rsidR="00917F81" w:rsidRPr="00917F81" w:rsidRDefault="00917F81" w:rsidP="00D045EB">
      <w:pPr>
        <w:numPr>
          <w:ilvl w:val="1"/>
          <w:numId w:val="13"/>
        </w:numPr>
        <w:jc w:val="both"/>
        <w:rPr>
          <w:b/>
          <w:sz w:val="24"/>
        </w:rPr>
      </w:pPr>
      <w:r w:rsidRPr="00917F81">
        <w:rPr>
          <w:b/>
          <w:sz w:val="24"/>
        </w:rPr>
        <w:t xml:space="preserve"> </w:t>
      </w:r>
      <w:r w:rsidRPr="009E0585">
        <w:rPr>
          <w:b/>
          <w:color w:val="0F243E" w:themeColor="text2" w:themeShade="80"/>
          <w:sz w:val="24"/>
        </w:rPr>
        <w:t>Organización interna de la dependencia o entidad pública y apartado regulatorio</w:t>
      </w:r>
    </w:p>
    <w:p w14:paraId="713B8AC2" w14:textId="4D33DC89" w:rsidR="00917F81" w:rsidRPr="00917F81" w:rsidRDefault="00D045EB" w:rsidP="00917F81">
      <w:pPr>
        <w:pStyle w:val="Ttulo1"/>
      </w:pPr>
      <w:r>
        <w:t>Criterio 152</w:t>
      </w:r>
      <w:r w:rsidR="00917F81" w:rsidRPr="00917F81">
        <w:t>. Estructura orgánica</w:t>
      </w:r>
    </w:p>
    <w:p w14:paraId="14471B0E" w14:textId="7532F253" w:rsidR="00917F81" w:rsidRPr="00917F81" w:rsidRDefault="00D045EB" w:rsidP="00917F81">
      <w:pPr>
        <w:pStyle w:val="Ttulo1"/>
      </w:pPr>
      <w:r>
        <w:t>Criterio 153</w:t>
      </w:r>
      <w:r w:rsidR="00917F81" w:rsidRPr="00917F81">
        <w:t>.</w:t>
      </w:r>
      <w:r w:rsidR="00FC570D">
        <w:t xml:space="preserve"> </w:t>
      </w:r>
      <w:r w:rsidR="00917F81" w:rsidRPr="00917F81">
        <w:t>Facultades por unidad administrativa</w:t>
      </w:r>
    </w:p>
    <w:p w14:paraId="06E5B531" w14:textId="686BB4C5" w:rsidR="00917F81" w:rsidRPr="00917F81" w:rsidRDefault="00D045EB" w:rsidP="00917F81">
      <w:pPr>
        <w:pStyle w:val="Ttulo1"/>
      </w:pPr>
      <w:r>
        <w:t>Criterio 154</w:t>
      </w:r>
      <w:r w:rsidR="00917F81" w:rsidRPr="00917F81">
        <w:t>.</w:t>
      </w:r>
      <w:r w:rsidR="00FC570D">
        <w:t xml:space="preserve"> </w:t>
      </w:r>
      <w:r w:rsidR="00917F81" w:rsidRPr="00917F81">
        <w:t>Directorio de los y las servidores/as públicos/as</w:t>
      </w:r>
    </w:p>
    <w:p w14:paraId="3564C8C2" w14:textId="147EAB5F" w:rsidR="00917F81" w:rsidRPr="00917F81" w:rsidRDefault="00D045EB" w:rsidP="00917F81">
      <w:pPr>
        <w:pStyle w:val="Ttulo1"/>
      </w:pPr>
      <w:r>
        <w:t>Criterio 155</w:t>
      </w:r>
      <w:r w:rsidR="00917F81" w:rsidRPr="00917F81">
        <w:t>. Perfil de los puestos de los y las servidores/as públicos/as</w:t>
      </w:r>
    </w:p>
    <w:p w14:paraId="7676778A" w14:textId="275C0CBA" w:rsidR="00917F81" w:rsidRPr="00917F81" w:rsidRDefault="00D045EB" w:rsidP="00917F81">
      <w:pPr>
        <w:pStyle w:val="Ttulo1"/>
      </w:pPr>
      <w:r>
        <w:t>Criterio 156</w:t>
      </w:r>
      <w:r w:rsidR="00917F81" w:rsidRPr="00917F81">
        <w:t>. Catálogo documental de sus archivos</w:t>
      </w:r>
    </w:p>
    <w:p w14:paraId="39D4EAC2" w14:textId="50E47854" w:rsidR="00917F81" w:rsidRPr="00917F81" w:rsidRDefault="00D045EB" w:rsidP="00917F81">
      <w:pPr>
        <w:pStyle w:val="Ttulo1"/>
      </w:pPr>
      <w:r>
        <w:t>Criterio 157</w:t>
      </w:r>
      <w:r w:rsidR="00917F81" w:rsidRPr="00917F81">
        <w:t>. Marco normativo aplicable</w:t>
      </w:r>
    </w:p>
    <w:p w14:paraId="383EF79C" w14:textId="74A71D8F" w:rsidR="00917F81" w:rsidRPr="00917F81" w:rsidRDefault="00D045EB" w:rsidP="00917F81">
      <w:pPr>
        <w:pStyle w:val="Ttulo1"/>
      </w:pPr>
      <w:r>
        <w:t>Criterio 158</w:t>
      </w:r>
      <w:r w:rsidR="00917F81" w:rsidRPr="00917F81">
        <w:t>. Concesiones, licencias, permisos o autorizaciones otorgados</w:t>
      </w:r>
    </w:p>
    <w:p w14:paraId="62ADDB0F" w14:textId="1A3D50FF" w:rsidR="00917F81" w:rsidRPr="00917F81" w:rsidRDefault="00917F81" w:rsidP="00917F81">
      <w:pPr>
        <w:jc w:val="both"/>
        <w:rPr>
          <w:sz w:val="24"/>
        </w:rPr>
      </w:pPr>
      <w:r w:rsidRPr="00917F81">
        <w:rPr>
          <w:b/>
          <w:sz w:val="24"/>
        </w:rPr>
        <w:t xml:space="preserve">Descripción. </w:t>
      </w:r>
      <w:r w:rsidRPr="00917F81">
        <w:rPr>
          <w:sz w:val="24"/>
        </w:rPr>
        <w:t xml:space="preserve">Para poder ejercer efectivamente el DAI es necesario conocer la organización de los sujetos obligados, </w:t>
      </w:r>
      <w:r w:rsidR="005E565D">
        <w:rPr>
          <w:sz w:val="24"/>
        </w:rPr>
        <w:t xml:space="preserve">sus </w:t>
      </w:r>
      <w:r w:rsidRPr="00917F81">
        <w:rPr>
          <w:sz w:val="24"/>
        </w:rPr>
        <w:t>funciones y los encargados de realizarlas, por este motivo es necesario que la información sobre el sujeto obligado sea pública y se encuentre actualizada en todo momento.</w:t>
      </w:r>
    </w:p>
    <w:p w14:paraId="42B9C1EA" w14:textId="41256B14" w:rsidR="00917F81" w:rsidRPr="00917F81" w:rsidRDefault="00917F81" w:rsidP="00252E19">
      <w:pPr>
        <w:pBdr>
          <w:bottom w:val="single" w:sz="4" w:space="1" w:color="auto"/>
        </w:pBdr>
        <w:jc w:val="both"/>
        <w:rPr>
          <w:b/>
          <w:sz w:val="24"/>
        </w:rPr>
      </w:pPr>
      <w:r w:rsidRPr="00917F81">
        <w:rPr>
          <w:b/>
          <w:sz w:val="24"/>
        </w:rPr>
        <w:t xml:space="preserve">Calificación: </w:t>
      </w:r>
      <w:r w:rsidR="005E565D">
        <w:rPr>
          <w:sz w:val="24"/>
        </w:rPr>
        <w:t>Se marca la o</w:t>
      </w:r>
      <w:r w:rsidRPr="00917F81">
        <w:rPr>
          <w:sz w:val="24"/>
        </w:rPr>
        <w:t xml:space="preserve">bligación del sujeto obligado para publicar y actualizar </w:t>
      </w:r>
      <w:r w:rsidR="00252E19">
        <w:rPr>
          <w:sz w:val="24"/>
        </w:rPr>
        <w:t>la información mencionada tal y como se encuentra redactada.</w:t>
      </w:r>
    </w:p>
    <w:p w14:paraId="6B510453" w14:textId="77777777" w:rsidR="00917F81" w:rsidRPr="00F74A1D" w:rsidRDefault="00917F81" w:rsidP="00D045EB">
      <w:pPr>
        <w:numPr>
          <w:ilvl w:val="1"/>
          <w:numId w:val="13"/>
        </w:numPr>
        <w:jc w:val="both"/>
        <w:rPr>
          <w:b/>
          <w:color w:val="0F243E" w:themeColor="text2" w:themeShade="80"/>
          <w:sz w:val="24"/>
        </w:rPr>
      </w:pPr>
      <w:r w:rsidRPr="00F74A1D">
        <w:rPr>
          <w:b/>
          <w:color w:val="0F243E" w:themeColor="text2" w:themeShade="80"/>
          <w:sz w:val="24"/>
        </w:rPr>
        <w:t>Información sobre toma de decisiones y relación con la sociedad</w:t>
      </w:r>
    </w:p>
    <w:p w14:paraId="1E1FC796" w14:textId="78AB054D" w:rsidR="00917F81" w:rsidRPr="00917F81" w:rsidRDefault="00917F81" w:rsidP="00917F81">
      <w:pPr>
        <w:jc w:val="both"/>
        <w:rPr>
          <w:sz w:val="24"/>
        </w:rPr>
      </w:pPr>
      <w:r w:rsidRPr="00917F81">
        <w:rPr>
          <w:sz w:val="24"/>
        </w:rPr>
        <w:t>Los criterios anteriores son eslabones para ofrecer mejores condiciones para garantizar la transparencia, particularmente, permite</w:t>
      </w:r>
      <w:r w:rsidR="00AE141C">
        <w:rPr>
          <w:sz w:val="24"/>
        </w:rPr>
        <w:t>n</w:t>
      </w:r>
      <w:r w:rsidRPr="00917F81">
        <w:rPr>
          <w:sz w:val="24"/>
        </w:rPr>
        <w:t xml:space="preserve"> estimar y conocer los resultados que se esperan de su actuar.</w:t>
      </w:r>
    </w:p>
    <w:p w14:paraId="44387A77" w14:textId="51B13345" w:rsidR="00917F81" w:rsidRPr="00917F81" w:rsidRDefault="00917F81" w:rsidP="00917F81">
      <w:pPr>
        <w:jc w:val="both"/>
        <w:rPr>
          <w:sz w:val="24"/>
        </w:rPr>
      </w:pPr>
      <w:r w:rsidRPr="00917F81">
        <w:rPr>
          <w:sz w:val="24"/>
        </w:rPr>
        <w:t xml:space="preserve">Los criterios que se presentan son sistematizados a partir de la revisión de las mejores prácticas legales sobre la transparencia en </w:t>
      </w:r>
      <w:r w:rsidR="00AE141C">
        <w:rPr>
          <w:sz w:val="24"/>
        </w:rPr>
        <w:t>los</w:t>
      </w:r>
      <w:r w:rsidR="00AE141C" w:rsidRPr="00917F81">
        <w:rPr>
          <w:sz w:val="24"/>
        </w:rPr>
        <w:t xml:space="preserve"> </w:t>
      </w:r>
      <w:r w:rsidRPr="00917F81">
        <w:rPr>
          <w:sz w:val="24"/>
        </w:rPr>
        <w:t>nivel</w:t>
      </w:r>
      <w:r w:rsidR="00AE141C">
        <w:rPr>
          <w:sz w:val="24"/>
        </w:rPr>
        <w:t>es</w:t>
      </w:r>
      <w:r w:rsidRPr="00917F81">
        <w:rPr>
          <w:sz w:val="24"/>
        </w:rPr>
        <w:t xml:space="preserve"> federal y estatal, junto con los estándares en la materia. </w:t>
      </w:r>
    </w:p>
    <w:p w14:paraId="45BF112E" w14:textId="1608B523" w:rsidR="00917F81" w:rsidRPr="00917F81" w:rsidRDefault="00917F81" w:rsidP="00917F81">
      <w:pPr>
        <w:jc w:val="both"/>
        <w:rPr>
          <w:sz w:val="24"/>
        </w:rPr>
      </w:pPr>
      <w:r w:rsidRPr="00917F81">
        <w:rPr>
          <w:sz w:val="24"/>
        </w:rPr>
        <w:t>Cabe destacar que cada uno de los rubros es fundamental para que la sociedad conozca el actuar de las distintas instituciones y por ello tienen el mismo peso en el índice.</w:t>
      </w:r>
    </w:p>
    <w:p w14:paraId="4E02E568" w14:textId="71F7744B" w:rsidR="00917F81" w:rsidRPr="00917F81" w:rsidRDefault="004E0C41" w:rsidP="00917F81">
      <w:pPr>
        <w:pStyle w:val="Ttulo1"/>
      </w:pPr>
      <w:r>
        <w:t>Criterio 159</w:t>
      </w:r>
      <w:r w:rsidR="00917F81" w:rsidRPr="00917F81">
        <w:t>. Programas operativos por unidad administrativa</w:t>
      </w:r>
    </w:p>
    <w:p w14:paraId="60279C7F" w14:textId="40B50F75" w:rsidR="00917F81" w:rsidRPr="00917F81" w:rsidRDefault="004E0C41" w:rsidP="00917F81">
      <w:pPr>
        <w:pStyle w:val="Ttulo1"/>
      </w:pPr>
      <w:r>
        <w:lastRenderedPageBreak/>
        <w:t>Criterio 160</w:t>
      </w:r>
      <w:r w:rsidR="00917F81" w:rsidRPr="00917F81">
        <w:t>. Metas y objetivos de las unidades administrativas de conformidad con sus programas operativos</w:t>
      </w:r>
    </w:p>
    <w:p w14:paraId="6AABAC8B" w14:textId="22BA84D7" w:rsidR="00917F81" w:rsidRPr="00917F81" w:rsidRDefault="004E0C41" w:rsidP="00917F81">
      <w:pPr>
        <w:pStyle w:val="Ttulo1"/>
      </w:pPr>
      <w:r>
        <w:t>Criterio 161</w:t>
      </w:r>
      <w:r w:rsidR="00917F81" w:rsidRPr="00917F81">
        <w:t xml:space="preserve">. Indicadores de gestión utilizados para evaluar </w:t>
      </w:r>
      <w:r w:rsidR="00454467">
        <w:t>el</w:t>
      </w:r>
      <w:r w:rsidR="00454467" w:rsidRPr="00917F81">
        <w:t xml:space="preserve"> </w:t>
      </w:r>
      <w:r w:rsidR="00917F81" w:rsidRPr="00917F81">
        <w:t>desempeño</w:t>
      </w:r>
    </w:p>
    <w:p w14:paraId="57074CBA" w14:textId="1DEDB2BF" w:rsidR="00917F81" w:rsidRPr="00917F81" w:rsidRDefault="00917F81" w:rsidP="00917F81">
      <w:pPr>
        <w:pStyle w:val="Ttulo1"/>
      </w:pPr>
      <w:r w:rsidRPr="00917F81">
        <w:t xml:space="preserve">Criterio </w:t>
      </w:r>
      <w:r w:rsidR="004E0C41">
        <w:t>162</w:t>
      </w:r>
      <w:r w:rsidRPr="00917F81">
        <w:t>. Marco lógico de referencia de los indicadores de gestión</w:t>
      </w:r>
    </w:p>
    <w:p w14:paraId="4E175B8E" w14:textId="65E5F644" w:rsidR="00917F81" w:rsidRPr="00917F81" w:rsidRDefault="00917F81" w:rsidP="00917F81">
      <w:pPr>
        <w:pStyle w:val="Ttulo1"/>
      </w:pPr>
      <w:r w:rsidRPr="00917F81">
        <w:t xml:space="preserve">Criterio </w:t>
      </w:r>
      <w:r w:rsidR="004E0C41">
        <w:t>163</w:t>
      </w:r>
      <w:r w:rsidRPr="00917F81">
        <w:t>. Informes que por disposición legal generen los sujetos obligados</w:t>
      </w:r>
    </w:p>
    <w:p w14:paraId="71202435" w14:textId="31A99CD7" w:rsidR="00917F81" w:rsidRPr="00917F81" w:rsidRDefault="00917F81" w:rsidP="00917F81">
      <w:pPr>
        <w:pStyle w:val="Ttulo1"/>
      </w:pPr>
      <w:r w:rsidRPr="00917F81">
        <w:t xml:space="preserve">Criterio </w:t>
      </w:r>
      <w:r w:rsidR="004E0C41">
        <w:t>164</w:t>
      </w:r>
      <w:r w:rsidRPr="00917F81">
        <w:t>.</w:t>
      </w:r>
      <w:r w:rsidR="00FC570D">
        <w:t xml:space="preserve"> </w:t>
      </w:r>
      <w:r w:rsidRPr="00917F81">
        <w:t>Servicios que ofrece y sus reglas de operación</w:t>
      </w:r>
    </w:p>
    <w:p w14:paraId="791A0C59" w14:textId="4317D97C" w:rsidR="00917F81" w:rsidRPr="00917F81" w:rsidRDefault="00917F81" w:rsidP="00917F81">
      <w:pPr>
        <w:pStyle w:val="Ttulo1"/>
      </w:pPr>
      <w:r w:rsidRPr="00917F81">
        <w:t xml:space="preserve">Criterio </w:t>
      </w:r>
      <w:r w:rsidR="004E0C41">
        <w:t>165</w:t>
      </w:r>
      <w:r w:rsidRPr="00917F81">
        <w:t>. Trámites, requisitos y acceso a</w:t>
      </w:r>
      <w:r w:rsidR="00FC570D">
        <w:t xml:space="preserve"> </w:t>
      </w:r>
      <w:r w:rsidRPr="00917F81">
        <w:t>formatos</w:t>
      </w:r>
    </w:p>
    <w:p w14:paraId="77589F5A" w14:textId="51C4D727" w:rsidR="00917F81" w:rsidRPr="00917F81" w:rsidRDefault="00917F81" w:rsidP="00917F81">
      <w:pPr>
        <w:pStyle w:val="Ttulo1"/>
      </w:pPr>
      <w:r w:rsidRPr="00917F81">
        <w:t xml:space="preserve">Criterio </w:t>
      </w:r>
      <w:r w:rsidR="004E0C41">
        <w:t>166</w:t>
      </w:r>
      <w:r w:rsidRPr="00917F81">
        <w:t>. Mecanismos para la participación ciudadana</w:t>
      </w:r>
    </w:p>
    <w:p w14:paraId="1DE624A0" w14:textId="24F92982" w:rsidR="00917F81" w:rsidRPr="00917F81" w:rsidRDefault="00917F81" w:rsidP="00917F81">
      <w:pPr>
        <w:pStyle w:val="Ttulo1"/>
      </w:pPr>
      <w:r w:rsidRPr="00917F81">
        <w:t xml:space="preserve">Criterio </w:t>
      </w:r>
      <w:r w:rsidR="004E0C41">
        <w:t>167</w:t>
      </w:r>
      <w:r w:rsidRPr="00917F81">
        <w:t>. Todo mecanismo de presentación directa de solicitudes o denuncias a disposición del público en relación con acciones u omisiones de las autoridades públicas, un resumen de toda solicitud, denuncia u otra acción directa de personas y la respuesta de ese órgano</w:t>
      </w:r>
    </w:p>
    <w:p w14:paraId="2117DB61" w14:textId="4EBAF040" w:rsidR="00917F81" w:rsidRPr="00917F81" w:rsidRDefault="00917F81" w:rsidP="00917F81">
      <w:pPr>
        <w:pStyle w:val="Ttulo1"/>
      </w:pPr>
      <w:r w:rsidRPr="00917F81">
        <w:t xml:space="preserve">Criterio </w:t>
      </w:r>
      <w:r w:rsidR="004E0C41">
        <w:t>168</w:t>
      </w:r>
      <w:r w:rsidRPr="00917F81">
        <w:t>. Domicilio de la oficina de información</w:t>
      </w:r>
    </w:p>
    <w:p w14:paraId="2B47D621" w14:textId="2DBCA0F5" w:rsidR="00917F81" w:rsidRPr="00917F81" w:rsidRDefault="00917F81" w:rsidP="00917F81">
      <w:pPr>
        <w:pStyle w:val="Ttulo1"/>
      </w:pPr>
      <w:r w:rsidRPr="00917F81">
        <w:t xml:space="preserve">Criterio </w:t>
      </w:r>
      <w:r w:rsidR="004E0C41">
        <w:t>169</w:t>
      </w:r>
      <w:r w:rsidRPr="00917F81">
        <w:t>. Calendarización de las reuniones públicas de los diversos consejos, órganos colegiados, gabinetes, cabildos, sesiones plenarias o sesiones de trabajo</w:t>
      </w:r>
    </w:p>
    <w:p w14:paraId="7DEE8B2C" w14:textId="4F2F6DC5" w:rsidR="00917F81" w:rsidRPr="00917F81" w:rsidRDefault="00917F81" w:rsidP="00917F81">
      <w:pPr>
        <w:jc w:val="both"/>
        <w:rPr>
          <w:sz w:val="24"/>
        </w:rPr>
      </w:pPr>
      <w:r w:rsidRPr="00917F81">
        <w:rPr>
          <w:b/>
          <w:sz w:val="24"/>
        </w:rPr>
        <w:t xml:space="preserve">Descripción. </w:t>
      </w:r>
      <w:r w:rsidRPr="00917F81">
        <w:rPr>
          <w:sz w:val="24"/>
        </w:rPr>
        <w:t xml:space="preserve">Los sujetos obligados deben hacer públicas las decisiones que toman, además de los procesos </w:t>
      </w:r>
      <w:r w:rsidR="00454467">
        <w:rPr>
          <w:sz w:val="24"/>
        </w:rPr>
        <w:t>con</w:t>
      </w:r>
      <w:r w:rsidR="00454467" w:rsidRPr="00917F81">
        <w:rPr>
          <w:sz w:val="24"/>
        </w:rPr>
        <w:t xml:space="preserve"> </w:t>
      </w:r>
      <w:r w:rsidRPr="00917F81">
        <w:rPr>
          <w:sz w:val="24"/>
        </w:rPr>
        <w:t xml:space="preserve">que toman acuerdos </w:t>
      </w:r>
      <w:r w:rsidR="00454467">
        <w:rPr>
          <w:sz w:val="24"/>
        </w:rPr>
        <w:t xml:space="preserve">el </w:t>
      </w:r>
      <w:r w:rsidRPr="00917F81">
        <w:rPr>
          <w:sz w:val="24"/>
        </w:rPr>
        <w:t xml:space="preserve">procedimiento </w:t>
      </w:r>
      <w:r w:rsidR="00454467">
        <w:rPr>
          <w:sz w:val="24"/>
        </w:rPr>
        <w:t>empleado</w:t>
      </w:r>
      <w:r w:rsidRPr="00917F81">
        <w:rPr>
          <w:sz w:val="24"/>
        </w:rPr>
        <w:t>, los sujetos obligados a sancionar y las repercusiones prácticas. Por ello,</w:t>
      </w:r>
      <w:r w:rsidR="00FC570D">
        <w:rPr>
          <w:sz w:val="24"/>
        </w:rPr>
        <w:t xml:space="preserve"> </w:t>
      </w:r>
      <w:r w:rsidR="00454467">
        <w:rPr>
          <w:sz w:val="24"/>
        </w:rPr>
        <w:t xml:space="preserve">es </w:t>
      </w:r>
      <w:r w:rsidRPr="00917F81">
        <w:rPr>
          <w:sz w:val="24"/>
        </w:rPr>
        <w:t>positivo que la ley contemple la obligación expresa de publicitar esta información de forma permanente.</w:t>
      </w:r>
    </w:p>
    <w:p w14:paraId="435E195C" w14:textId="109B488A" w:rsidR="00917F81" w:rsidRPr="00917F81" w:rsidRDefault="00917F81" w:rsidP="004E0C41">
      <w:pPr>
        <w:pBdr>
          <w:bottom w:val="single" w:sz="4" w:space="1" w:color="auto"/>
        </w:pBdr>
        <w:jc w:val="both"/>
        <w:rPr>
          <w:b/>
          <w:sz w:val="24"/>
        </w:rPr>
      </w:pPr>
      <w:r w:rsidRPr="00917F81">
        <w:rPr>
          <w:b/>
          <w:sz w:val="24"/>
        </w:rPr>
        <w:t xml:space="preserve">Calificación: </w:t>
      </w:r>
      <w:r w:rsidR="00C75CFE">
        <w:rPr>
          <w:sz w:val="24"/>
        </w:rPr>
        <w:t>Se evidencia la o</w:t>
      </w:r>
      <w:r w:rsidRPr="00917F81">
        <w:rPr>
          <w:sz w:val="24"/>
        </w:rPr>
        <w:t>bligación de los sujetos obligados a publicar los procedimientos para la toma de decisiones y relación con la sociedad.</w:t>
      </w:r>
      <w:r w:rsidR="004E0C41">
        <w:rPr>
          <w:sz w:val="24"/>
        </w:rPr>
        <w:t xml:space="preserve"> Se marca la o</w:t>
      </w:r>
      <w:r w:rsidR="004E0C41" w:rsidRPr="00917F81">
        <w:rPr>
          <w:sz w:val="24"/>
        </w:rPr>
        <w:t xml:space="preserve">bligación del sujeto obligado para publicar y actualizar </w:t>
      </w:r>
      <w:r w:rsidR="004E0C41">
        <w:rPr>
          <w:sz w:val="24"/>
        </w:rPr>
        <w:t>la información mencionada tal y como se encuentra redactada.</w:t>
      </w:r>
    </w:p>
    <w:p w14:paraId="0BFFBA5D" w14:textId="77777777" w:rsidR="00917F81" w:rsidRPr="00F74A1D" w:rsidRDefault="00917F81" w:rsidP="00D045EB">
      <w:pPr>
        <w:numPr>
          <w:ilvl w:val="1"/>
          <w:numId w:val="13"/>
        </w:numPr>
        <w:jc w:val="both"/>
        <w:rPr>
          <w:b/>
          <w:color w:val="0F243E" w:themeColor="text2" w:themeShade="80"/>
          <w:sz w:val="24"/>
        </w:rPr>
      </w:pPr>
      <w:r w:rsidRPr="00F74A1D">
        <w:rPr>
          <w:b/>
          <w:color w:val="0F243E" w:themeColor="text2" w:themeShade="80"/>
          <w:sz w:val="24"/>
        </w:rPr>
        <w:t>Información financiera</w:t>
      </w:r>
    </w:p>
    <w:p w14:paraId="6C9D3063" w14:textId="25FD2F67" w:rsidR="00917F81" w:rsidRPr="00917F81" w:rsidRDefault="00917F81" w:rsidP="00917F81">
      <w:pPr>
        <w:pStyle w:val="Ttulo1"/>
      </w:pPr>
      <w:r w:rsidRPr="00917F81">
        <w:t xml:space="preserve">Criterio </w:t>
      </w:r>
      <w:r w:rsidR="000F183E">
        <w:t>170</w:t>
      </w:r>
      <w:r w:rsidRPr="00917F81">
        <w:t>.</w:t>
      </w:r>
      <w:r w:rsidR="00FC570D">
        <w:t xml:space="preserve"> </w:t>
      </w:r>
      <w:r w:rsidRPr="00917F81">
        <w:t>Remuneración mensual de</w:t>
      </w:r>
      <w:r w:rsidR="000F183E">
        <w:t>sglosada en, prestaciones, sistemas de compensación y otras percepciones</w:t>
      </w:r>
    </w:p>
    <w:p w14:paraId="7AB72099" w14:textId="76AA8D6A" w:rsidR="00917F81" w:rsidRPr="00917F81" w:rsidRDefault="00917F81" w:rsidP="00917F81">
      <w:pPr>
        <w:pStyle w:val="Ttulo1"/>
      </w:pPr>
      <w:r w:rsidRPr="00917F81">
        <w:t xml:space="preserve">Criterio </w:t>
      </w:r>
      <w:r w:rsidR="000F183E">
        <w:t>171</w:t>
      </w:r>
      <w:r w:rsidRPr="00917F81">
        <w:t>. Presupuesto asignado e informes trimestrales y anuales sobre su ejecución</w:t>
      </w:r>
    </w:p>
    <w:p w14:paraId="5E6A7A4D" w14:textId="05DAF663" w:rsidR="00917F81" w:rsidRPr="00917F81" w:rsidRDefault="00917F81" w:rsidP="00917F81">
      <w:pPr>
        <w:pStyle w:val="Ttulo1"/>
      </w:pPr>
      <w:r w:rsidRPr="00917F81">
        <w:t xml:space="preserve">Criterio </w:t>
      </w:r>
      <w:r w:rsidR="000F183E">
        <w:t>172</w:t>
      </w:r>
      <w:r w:rsidRPr="00917F81">
        <w:t>. Resultados de auditorías y otras revisiones</w:t>
      </w:r>
    </w:p>
    <w:p w14:paraId="35E2CB64" w14:textId="5556C7B6" w:rsidR="00917F81" w:rsidRPr="00917F81" w:rsidRDefault="00917F81" w:rsidP="00917F81">
      <w:pPr>
        <w:pStyle w:val="Ttulo1"/>
      </w:pPr>
      <w:r w:rsidRPr="00917F81">
        <w:t xml:space="preserve">Criterio </w:t>
      </w:r>
      <w:r w:rsidR="000F183E">
        <w:t>173</w:t>
      </w:r>
      <w:r w:rsidRPr="00917F81">
        <w:t>. Contrataciones</w:t>
      </w:r>
    </w:p>
    <w:p w14:paraId="58A198FD" w14:textId="7C34BF17" w:rsidR="00917F81" w:rsidRPr="00917F81" w:rsidRDefault="00917F81" w:rsidP="00917F81">
      <w:pPr>
        <w:pStyle w:val="Ttulo1"/>
      </w:pPr>
      <w:r w:rsidRPr="00917F81">
        <w:lastRenderedPageBreak/>
        <w:t xml:space="preserve">Criterio </w:t>
      </w:r>
      <w:r w:rsidR="000F183E">
        <w:t>174</w:t>
      </w:r>
      <w:r w:rsidRPr="00917F81">
        <w:t>. Diseño, ejecución, montos asignados y criterios de acceso a los programas de subsidio</w:t>
      </w:r>
    </w:p>
    <w:p w14:paraId="4A76FDB2" w14:textId="573E2EA9" w:rsidR="00917F81" w:rsidRPr="00917F81" w:rsidRDefault="00917F81" w:rsidP="00917F81">
      <w:pPr>
        <w:pStyle w:val="Ttulo1"/>
      </w:pPr>
      <w:r w:rsidRPr="00917F81">
        <w:t xml:space="preserve">Criterio </w:t>
      </w:r>
      <w:r w:rsidR="000F183E">
        <w:t>175</w:t>
      </w:r>
      <w:r w:rsidRPr="00917F81">
        <w:t>. Padrones de beneficiarios de los programas sociales</w:t>
      </w:r>
    </w:p>
    <w:p w14:paraId="51EF830F" w14:textId="60D9B362" w:rsidR="00917F81" w:rsidRPr="00917F81" w:rsidRDefault="00917F81" w:rsidP="00917F81">
      <w:pPr>
        <w:pStyle w:val="Ttulo1"/>
      </w:pPr>
      <w:r w:rsidRPr="00917F81">
        <w:t xml:space="preserve">Criterio </w:t>
      </w:r>
      <w:r w:rsidR="000F183E">
        <w:t>176</w:t>
      </w:r>
      <w:r w:rsidRPr="00917F81">
        <w:t>. Nombres de las personas y montos de los recursos públicos que reciben, así como informes individuales sobre el uso y destino de los mismos</w:t>
      </w:r>
    </w:p>
    <w:p w14:paraId="6C83B7C7" w14:textId="5EBC4BDD" w:rsidR="00917F81" w:rsidRPr="00917F81" w:rsidRDefault="00917F81" w:rsidP="00917F81">
      <w:pPr>
        <w:pStyle w:val="Ttulo1"/>
      </w:pPr>
      <w:r w:rsidRPr="00917F81">
        <w:t xml:space="preserve">Criterio </w:t>
      </w:r>
      <w:r w:rsidR="000F183E">
        <w:t>177</w:t>
      </w:r>
      <w:r w:rsidRPr="00917F81">
        <w:t>. Lista de los y las servidoras públicas con el importe de viáticos o equivalentes</w:t>
      </w:r>
    </w:p>
    <w:p w14:paraId="142E4BA0" w14:textId="54F690A1" w:rsidR="00917F81" w:rsidRPr="00917F81" w:rsidRDefault="00917F81" w:rsidP="00917F81">
      <w:pPr>
        <w:jc w:val="both"/>
        <w:rPr>
          <w:sz w:val="24"/>
        </w:rPr>
      </w:pPr>
      <w:r w:rsidRPr="00917F81">
        <w:rPr>
          <w:b/>
          <w:sz w:val="24"/>
        </w:rPr>
        <w:t xml:space="preserve">Descripción. </w:t>
      </w:r>
      <w:r w:rsidRPr="00917F81">
        <w:rPr>
          <w:sz w:val="24"/>
        </w:rPr>
        <w:t xml:space="preserve">Las entidades que funcionan </w:t>
      </w:r>
      <w:r w:rsidR="005F2C5E">
        <w:rPr>
          <w:sz w:val="24"/>
        </w:rPr>
        <w:t>con</w:t>
      </w:r>
      <w:r w:rsidRPr="00917F81">
        <w:rPr>
          <w:sz w:val="24"/>
        </w:rPr>
        <w:t xml:space="preserve"> dinero público tienen la obligación de informar de manera constante y veraz sobre </w:t>
      </w:r>
      <w:r w:rsidR="005F2C5E">
        <w:rPr>
          <w:sz w:val="24"/>
        </w:rPr>
        <w:t xml:space="preserve">el </w:t>
      </w:r>
      <w:r w:rsidRPr="00917F81">
        <w:rPr>
          <w:sz w:val="24"/>
        </w:rPr>
        <w:t xml:space="preserve">uso de esos recursos, así como </w:t>
      </w:r>
      <w:r w:rsidR="005F2C5E">
        <w:rPr>
          <w:sz w:val="24"/>
        </w:rPr>
        <w:t xml:space="preserve">de </w:t>
      </w:r>
      <w:r w:rsidRPr="00917F81">
        <w:rPr>
          <w:sz w:val="24"/>
        </w:rPr>
        <w:t>otras medidas financieras</w:t>
      </w:r>
      <w:r w:rsidR="00FC570D">
        <w:rPr>
          <w:sz w:val="24"/>
        </w:rPr>
        <w:t xml:space="preserve"> </w:t>
      </w:r>
      <w:r w:rsidRPr="00917F81">
        <w:rPr>
          <w:sz w:val="24"/>
        </w:rPr>
        <w:t>tomadas por el ente público</w:t>
      </w:r>
      <w:r w:rsidR="005F2C5E">
        <w:rPr>
          <w:sz w:val="24"/>
        </w:rPr>
        <w:t>,</w:t>
      </w:r>
      <w:r w:rsidRPr="00917F81">
        <w:rPr>
          <w:sz w:val="24"/>
        </w:rPr>
        <w:t xml:space="preserve"> tales como préstamos, empréstitos o fondos de inversiones.</w:t>
      </w:r>
    </w:p>
    <w:p w14:paraId="4F17F631" w14:textId="1217586B" w:rsidR="00917F81" w:rsidRPr="00917F81" w:rsidRDefault="00917F81" w:rsidP="00917F81">
      <w:pPr>
        <w:jc w:val="both"/>
        <w:rPr>
          <w:sz w:val="24"/>
        </w:rPr>
      </w:pPr>
      <w:r w:rsidRPr="00917F81">
        <w:rPr>
          <w:sz w:val="24"/>
        </w:rPr>
        <w:t xml:space="preserve">El acceso a la información financiera permite la posibilidad de identificar claramente las prioridades en materia de políticas públicas y, al mismo tiempo, es una herramienta </w:t>
      </w:r>
      <w:r w:rsidRPr="00917F81">
        <w:rPr>
          <w:i/>
          <w:sz w:val="24"/>
        </w:rPr>
        <w:t>sine qua non</w:t>
      </w:r>
      <w:r w:rsidRPr="00917F81">
        <w:rPr>
          <w:sz w:val="24"/>
        </w:rPr>
        <w:t xml:space="preserve"> para el escrutinio púbico respecto del buen uso y destino de los recursos en el marco del mandato legal que tienen las instituciones públicas y sus operadores</w:t>
      </w:r>
      <w:r w:rsidR="005F2C5E">
        <w:rPr>
          <w:sz w:val="24"/>
        </w:rPr>
        <w:t>.</w:t>
      </w:r>
    </w:p>
    <w:p w14:paraId="654C9110" w14:textId="00200446" w:rsidR="00917F81" w:rsidRPr="00917F81" w:rsidRDefault="00917F81" w:rsidP="00F84D36">
      <w:pPr>
        <w:pBdr>
          <w:bottom w:val="single" w:sz="4" w:space="1" w:color="auto"/>
        </w:pBdr>
        <w:jc w:val="both"/>
        <w:rPr>
          <w:b/>
          <w:sz w:val="24"/>
        </w:rPr>
      </w:pPr>
      <w:r w:rsidRPr="00917F81">
        <w:rPr>
          <w:b/>
          <w:sz w:val="24"/>
        </w:rPr>
        <w:t xml:space="preserve">Calificación: </w:t>
      </w:r>
      <w:r w:rsidR="005F2C5E">
        <w:rPr>
          <w:sz w:val="24"/>
        </w:rPr>
        <w:t>Es patente la o</w:t>
      </w:r>
      <w:r w:rsidRPr="00917F81">
        <w:rPr>
          <w:sz w:val="24"/>
        </w:rPr>
        <w:t>bligación de los entes obligados de publicar la información financiera y sobre el uso y destino de los recurso públicos.</w:t>
      </w:r>
      <w:r w:rsidR="00F84D36">
        <w:rPr>
          <w:sz w:val="24"/>
        </w:rPr>
        <w:t xml:space="preserve"> Se marca la o</w:t>
      </w:r>
      <w:r w:rsidR="00F84D36" w:rsidRPr="00917F81">
        <w:rPr>
          <w:sz w:val="24"/>
        </w:rPr>
        <w:t xml:space="preserve">bligación del sujeto obligado para publicar y actualizar </w:t>
      </w:r>
      <w:r w:rsidR="00F84D36">
        <w:rPr>
          <w:sz w:val="24"/>
        </w:rPr>
        <w:t>la información mencionada tal y como se encuentra redactada.</w:t>
      </w:r>
    </w:p>
    <w:p w14:paraId="4565F5CB" w14:textId="77777777" w:rsidR="00917F81" w:rsidRPr="00F74A1D" w:rsidRDefault="00917F81" w:rsidP="00D045EB">
      <w:pPr>
        <w:numPr>
          <w:ilvl w:val="1"/>
          <w:numId w:val="13"/>
        </w:numPr>
        <w:jc w:val="both"/>
        <w:rPr>
          <w:b/>
          <w:color w:val="0F243E" w:themeColor="text2" w:themeShade="80"/>
          <w:sz w:val="24"/>
        </w:rPr>
      </w:pPr>
      <w:r w:rsidRPr="00F74A1D">
        <w:rPr>
          <w:b/>
          <w:color w:val="0F243E" w:themeColor="text2" w:themeShade="80"/>
          <w:sz w:val="24"/>
        </w:rPr>
        <w:t>Otra información relevante</w:t>
      </w:r>
    </w:p>
    <w:p w14:paraId="7393448F" w14:textId="51951EBF" w:rsidR="00917F81" w:rsidRPr="00917F81" w:rsidRDefault="00917F81" w:rsidP="00917F81">
      <w:pPr>
        <w:pStyle w:val="Ttulo1"/>
      </w:pPr>
      <w:r w:rsidRPr="00917F81">
        <w:t xml:space="preserve">Criterio </w:t>
      </w:r>
      <w:r w:rsidR="00537027">
        <w:t>178</w:t>
      </w:r>
      <w:r w:rsidRPr="00917F81">
        <w:t>. Cualquier otra información que sea de utilidad o resulte relevante para el conocimiento y evaluación de las funciones y políticas públicas responsabilidad del sujeto obligado</w:t>
      </w:r>
    </w:p>
    <w:p w14:paraId="73BA1DA7" w14:textId="28DB3FCB" w:rsidR="00917F81" w:rsidRPr="00917F81" w:rsidRDefault="00917F81" w:rsidP="00917F81">
      <w:pPr>
        <w:pStyle w:val="Ttulo1"/>
      </w:pPr>
      <w:r w:rsidRPr="00917F81">
        <w:t xml:space="preserve">Criterio </w:t>
      </w:r>
      <w:r w:rsidR="00537027">
        <w:t>179</w:t>
      </w:r>
      <w:r w:rsidRPr="00917F81">
        <w:t>. Las preguntas frecuentes y</w:t>
      </w:r>
      <w:r w:rsidR="00FC570D">
        <w:t xml:space="preserve"> </w:t>
      </w:r>
      <w:r w:rsidRPr="00917F81">
        <w:t>respuesta a las mismas</w:t>
      </w:r>
    </w:p>
    <w:p w14:paraId="46108BAD" w14:textId="5905D10F" w:rsidR="00917F81" w:rsidRPr="00917F81" w:rsidRDefault="00917F81" w:rsidP="00917F81">
      <w:pPr>
        <w:pStyle w:val="Ttulo1"/>
      </w:pPr>
      <w:r w:rsidRPr="00917F81">
        <w:t xml:space="preserve">Criterio </w:t>
      </w:r>
      <w:r w:rsidR="00537027">
        <w:t>180</w:t>
      </w:r>
      <w:r w:rsidRPr="00917F81">
        <w:t>. El registro de solicitudes y sus respectivas respuestas</w:t>
      </w:r>
    </w:p>
    <w:p w14:paraId="03CB3701" w14:textId="71813A72" w:rsidR="00917F81" w:rsidRPr="00917F81" w:rsidRDefault="00917F81" w:rsidP="00917F81">
      <w:pPr>
        <w:jc w:val="both"/>
        <w:rPr>
          <w:sz w:val="24"/>
        </w:rPr>
      </w:pPr>
      <w:r w:rsidRPr="00917F81">
        <w:rPr>
          <w:b/>
          <w:sz w:val="24"/>
        </w:rPr>
        <w:t xml:space="preserve">Descripción. </w:t>
      </w:r>
      <w:r w:rsidRPr="00917F81">
        <w:rPr>
          <w:sz w:val="24"/>
        </w:rPr>
        <w:t xml:space="preserve">Se entiende que </w:t>
      </w:r>
      <w:r w:rsidR="00AC76F2">
        <w:rPr>
          <w:sz w:val="24"/>
        </w:rPr>
        <w:t xml:space="preserve">la </w:t>
      </w:r>
      <w:r w:rsidRPr="00917F81">
        <w:rPr>
          <w:sz w:val="24"/>
        </w:rPr>
        <w:t>otra información de utilidad está compuesta por los elementos que faciliten a la ciudadanía acceder a información de interés público.</w:t>
      </w:r>
    </w:p>
    <w:p w14:paraId="2609DBF6" w14:textId="49762785" w:rsidR="00917F81" w:rsidRPr="00917F81" w:rsidRDefault="00917F81" w:rsidP="00917F81">
      <w:pPr>
        <w:jc w:val="both"/>
        <w:rPr>
          <w:sz w:val="24"/>
        </w:rPr>
      </w:pPr>
      <w:r w:rsidRPr="00917F81">
        <w:rPr>
          <w:sz w:val="24"/>
        </w:rPr>
        <w:lastRenderedPageBreak/>
        <w:t xml:space="preserve">En este sentido, se establece </w:t>
      </w:r>
      <w:r w:rsidR="00AC76F2">
        <w:rPr>
          <w:sz w:val="24"/>
        </w:rPr>
        <w:t>como</w:t>
      </w:r>
      <w:r w:rsidR="00AC76F2" w:rsidRPr="00917F81">
        <w:rPr>
          <w:sz w:val="24"/>
        </w:rPr>
        <w:t xml:space="preserve"> responsabilidad del sujeto obligado</w:t>
      </w:r>
      <w:r w:rsidR="00AC76F2">
        <w:rPr>
          <w:sz w:val="24"/>
        </w:rPr>
        <w:t xml:space="preserve"> </w:t>
      </w:r>
      <w:r w:rsidRPr="00917F81">
        <w:rPr>
          <w:sz w:val="24"/>
        </w:rPr>
        <w:t>publicar cualquier otra información de utilidad para el conocimiento y evaluación de las funciones y políticas públicas.</w:t>
      </w:r>
    </w:p>
    <w:p w14:paraId="6348217D" w14:textId="1E10EF51" w:rsidR="00917F81" w:rsidRPr="00917F81" w:rsidRDefault="00917F81" w:rsidP="00281EB7">
      <w:pPr>
        <w:pBdr>
          <w:bottom w:val="single" w:sz="4" w:space="1" w:color="auto"/>
        </w:pBdr>
        <w:jc w:val="both"/>
        <w:rPr>
          <w:b/>
          <w:sz w:val="24"/>
        </w:rPr>
      </w:pPr>
      <w:r w:rsidRPr="00917F81">
        <w:rPr>
          <w:b/>
          <w:sz w:val="24"/>
        </w:rPr>
        <w:t xml:space="preserve">Calificación: </w:t>
      </w:r>
      <w:r w:rsidR="00281EB7">
        <w:rPr>
          <w:sz w:val="24"/>
        </w:rPr>
        <w:t>Se enunc</w:t>
      </w:r>
      <w:r w:rsidR="00AC76F2">
        <w:rPr>
          <w:sz w:val="24"/>
        </w:rPr>
        <w:t>i</w:t>
      </w:r>
      <w:r w:rsidR="00281EB7">
        <w:rPr>
          <w:sz w:val="24"/>
        </w:rPr>
        <w:t>a</w:t>
      </w:r>
      <w:r w:rsidR="00AC76F2">
        <w:rPr>
          <w:sz w:val="24"/>
        </w:rPr>
        <w:t xml:space="preserve"> la o</w:t>
      </w:r>
      <w:r w:rsidRPr="00917F81">
        <w:rPr>
          <w:sz w:val="24"/>
        </w:rPr>
        <w:t>bligación de los entes obligados de publicar otra información relevante para comprender sus funciones, usos de los recurso</w:t>
      </w:r>
      <w:r w:rsidR="00281EB7">
        <w:rPr>
          <w:sz w:val="24"/>
        </w:rPr>
        <w:t>s</w:t>
      </w:r>
      <w:r w:rsidRPr="00917F81">
        <w:rPr>
          <w:sz w:val="24"/>
        </w:rPr>
        <w:t xml:space="preserve"> y destino de los mismos.</w:t>
      </w:r>
      <w:r w:rsidR="00281EB7">
        <w:rPr>
          <w:sz w:val="24"/>
        </w:rPr>
        <w:t xml:space="preserve"> Se marca la o</w:t>
      </w:r>
      <w:r w:rsidR="00281EB7" w:rsidRPr="00917F81">
        <w:rPr>
          <w:sz w:val="24"/>
        </w:rPr>
        <w:t xml:space="preserve">bligación del sujeto obligado para publicar y actualizar </w:t>
      </w:r>
      <w:r w:rsidR="00281EB7">
        <w:rPr>
          <w:sz w:val="24"/>
        </w:rPr>
        <w:t>la información mencionada tal y como se encuentra redactada.</w:t>
      </w:r>
    </w:p>
    <w:p w14:paraId="6139B04B" w14:textId="77777777" w:rsidR="00917F81" w:rsidRPr="00F74A1D" w:rsidRDefault="00917F81" w:rsidP="00D045EB">
      <w:pPr>
        <w:numPr>
          <w:ilvl w:val="1"/>
          <w:numId w:val="13"/>
        </w:numPr>
        <w:jc w:val="both"/>
        <w:rPr>
          <w:b/>
          <w:color w:val="0F243E" w:themeColor="text2" w:themeShade="80"/>
          <w:sz w:val="24"/>
        </w:rPr>
      </w:pPr>
      <w:r w:rsidRPr="00F74A1D">
        <w:rPr>
          <w:b/>
          <w:color w:val="0F243E" w:themeColor="text2" w:themeShade="80"/>
          <w:sz w:val="24"/>
        </w:rPr>
        <w:t>Obligaciones de información específica para los Poderes Legislativo y Judicial</w:t>
      </w:r>
    </w:p>
    <w:p w14:paraId="7D2D1F0F" w14:textId="23AEA357" w:rsidR="00917F81" w:rsidRPr="00917F81" w:rsidRDefault="00573F7C" w:rsidP="00917F81">
      <w:pPr>
        <w:pStyle w:val="Ttulo1"/>
      </w:pPr>
      <w:r>
        <w:t>181</w:t>
      </w:r>
      <w:r w:rsidR="00917F81" w:rsidRPr="00917F81">
        <w:t>. Poder Legislativo. Las iniciativas de ley o decretos, puntos de acuerdo, la fecha en que se recibió, las Comisiones a las que se turnaron y los dictámenes que, en su caso, recaigan sobre las mismas</w:t>
      </w:r>
    </w:p>
    <w:p w14:paraId="470D7F48" w14:textId="57B57B3A" w:rsidR="00917F81" w:rsidRPr="00917F81" w:rsidRDefault="00573F7C" w:rsidP="00917F81">
      <w:pPr>
        <w:pStyle w:val="Ttulo1"/>
      </w:pPr>
      <w:r>
        <w:t>182</w:t>
      </w:r>
      <w:r w:rsidR="00917F81" w:rsidRPr="00917F81">
        <w:t>. Poder Legislativo. Montos de las partidas presupuestales asignadas a los grupos parlamentarios, las comisiones o comités, la mesa directiva, la junta de gobierno y los demás órganos del Congreso</w:t>
      </w:r>
    </w:p>
    <w:p w14:paraId="6BD8B84F" w14:textId="44D0DA0A" w:rsidR="00917F81" w:rsidRPr="00917F81" w:rsidRDefault="00573F7C" w:rsidP="00917F81">
      <w:pPr>
        <w:pStyle w:val="Ttulo1"/>
      </w:pPr>
      <w:r>
        <w:t>183</w:t>
      </w:r>
      <w:r w:rsidR="00917F81" w:rsidRPr="00917F81">
        <w:t>. Poder Legislativo. El monto ejercido y detallado de recursos públicos que se reciban para los informes de actividades de cada uno/a de los y las Diputados/as</w:t>
      </w:r>
    </w:p>
    <w:p w14:paraId="74238FA7" w14:textId="6D78C9A5" w:rsidR="00917F81" w:rsidRPr="00917F81" w:rsidRDefault="00573F7C" w:rsidP="00917F81">
      <w:pPr>
        <w:pStyle w:val="Ttulo1"/>
      </w:pPr>
      <w:r>
        <w:t>184</w:t>
      </w:r>
      <w:r w:rsidR="00917F81" w:rsidRPr="00917F81">
        <w:t>. Poder Judicial. Carrera judicial que contemple convocatorias, registro de aspirantes, resultados de las evaluaciones y continuidad del personal judicial</w:t>
      </w:r>
    </w:p>
    <w:p w14:paraId="134AFBAC" w14:textId="293EB8F3" w:rsidR="00917F81" w:rsidRPr="00917F81" w:rsidRDefault="00573F7C" w:rsidP="00917F81">
      <w:pPr>
        <w:pStyle w:val="Ttulo1"/>
      </w:pPr>
      <w:r>
        <w:t>185</w:t>
      </w:r>
      <w:r w:rsidR="00917F81" w:rsidRPr="00917F81">
        <w:t>. Poder Judicial. Resoluciones y expedientes judiciales y administrativos resueltos por jueces y magistrados, que hayan causado estado</w:t>
      </w:r>
    </w:p>
    <w:p w14:paraId="3EA5AEA8" w14:textId="6F8C1688" w:rsidR="00917F81" w:rsidRPr="00917F81" w:rsidRDefault="00917F81" w:rsidP="00917F81">
      <w:pPr>
        <w:jc w:val="both"/>
        <w:rPr>
          <w:sz w:val="24"/>
        </w:rPr>
      </w:pPr>
      <w:r w:rsidRPr="00917F81">
        <w:rPr>
          <w:b/>
          <w:sz w:val="24"/>
        </w:rPr>
        <w:t>Descripción.</w:t>
      </w:r>
      <w:r w:rsidRPr="00917F81">
        <w:rPr>
          <w:sz w:val="24"/>
        </w:rPr>
        <w:t xml:space="preserve"> Respecto de los Poderes Legislativo y Judicial, </w:t>
      </w:r>
      <w:r w:rsidR="00967CA7">
        <w:rPr>
          <w:sz w:val="24"/>
        </w:rPr>
        <w:t>l</w:t>
      </w:r>
      <w:r w:rsidRPr="00917F81">
        <w:rPr>
          <w:sz w:val="24"/>
        </w:rPr>
        <w:t xml:space="preserve">as obligaciones </w:t>
      </w:r>
      <w:r w:rsidR="00967CA7">
        <w:rPr>
          <w:sz w:val="24"/>
        </w:rPr>
        <w:t xml:space="preserve">para generar </w:t>
      </w:r>
      <w:r w:rsidRPr="00917F81">
        <w:rPr>
          <w:sz w:val="24"/>
        </w:rPr>
        <w:t>información de oficio incluye</w:t>
      </w:r>
      <w:r w:rsidR="00967CA7">
        <w:rPr>
          <w:sz w:val="24"/>
        </w:rPr>
        <w:t>n</w:t>
      </w:r>
      <w:r w:rsidRPr="00917F81">
        <w:rPr>
          <w:sz w:val="24"/>
        </w:rPr>
        <w:t xml:space="preserve"> </w:t>
      </w:r>
      <w:r w:rsidR="00967CA7">
        <w:rPr>
          <w:sz w:val="24"/>
        </w:rPr>
        <w:t xml:space="preserve">toda la </w:t>
      </w:r>
      <w:r w:rsidRPr="00917F81">
        <w:rPr>
          <w:sz w:val="24"/>
        </w:rPr>
        <w:t>información específica de interés público. Dichos criterios permiten completar la visión sobre del actuar de los órganos de ese poder del estado.</w:t>
      </w:r>
    </w:p>
    <w:p w14:paraId="752A2D35" w14:textId="6649FBAC" w:rsidR="00917F81" w:rsidRPr="00917F81" w:rsidRDefault="006C5D2B" w:rsidP="00917F81">
      <w:pPr>
        <w:jc w:val="both"/>
        <w:rPr>
          <w:sz w:val="24"/>
        </w:rPr>
      </w:pPr>
      <w:r>
        <w:rPr>
          <w:sz w:val="24"/>
        </w:rPr>
        <w:t>T</w:t>
      </w:r>
      <w:r w:rsidR="00917F81" w:rsidRPr="00917F81">
        <w:rPr>
          <w:sz w:val="24"/>
        </w:rPr>
        <w:t>ransparentar la gestión permite vigilar y evaluar sus actuaciones; entre otras cosas, resulta relevante conocer las motivaciones que dan origen a las iniciativas de ley o las versiones públicas de las sentencias del Poder judicial; por otro lado, es necesario también hacer del conocimiento público los recurso</w:t>
      </w:r>
      <w:r w:rsidR="00573F7C">
        <w:rPr>
          <w:sz w:val="24"/>
        </w:rPr>
        <w:t>s</w:t>
      </w:r>
      <w:r w:rsidR="00917F81" w:rsidRPr="00917F81">
        <w:rPr>
          <w:sz w:val="24"/>
        </w:rPr>
        <w:t xml:space="preserve"> públicos con los que trabaja la autoridad.</w:t>
      </w:r>
    </w:p>
    <w:p w14:paraId="6E1543B6" w14:textId="77777777" w:rsidR="00917F81" w:rsidRPr="00917F81" w:rsidRDefault="00917F81" w:rsidP="00917F81">
      <w:pPr>
        <w:jc w:val="both"/>
        <w:rPr>
          <w:sz w:val="24"/>
        </w:rPr>
      </w:pPr>
      <w:r w:rsidRPr="00917F81">
        <w:rPr>
          <w:sz w:val="24"/>
        </w:rPr>
        <w:lastRenderedPageBreak/>
        <w:t>Todos estos criterios se consideran progresivos porque exceden las disposiciones normativas de base y generan una mayor difusión y protección del derecho de acceso a la información.</w:t>
      </w:r>
    </w:p>
    <w:p w14:paraId="40D387E4" w14:textId="680FABC5" w:rsidR="00917F81" w:rsidRPr="00917F81" w:rsidRDefault="00917F81" w:rsidP="00573F7C">
      <w:pPr>
        <w:pBdr>
          <w:bottom w:val="single" w:sz="4" w:space="1" w:color="auto"/>
        </w:pBdr>
        <w:jc w:val="both"/>
        <w:rPr>
          <w:b/>
          <w:sz w:val="24"/>
        </w:rPr>
      </w:pPr>
      <w:r w:rsidRPr="00917F81">
        <w:rPr>
          <w:b/>
          <w:sz w:val="24"/>
        </w:rPr>
        <w:t xml:space="preserve">Calificación: </w:t>
      </w:r>
      <w:r w:rsidR="00991FFE">
        <w:rPr>
          <w:sz w:val="24"/>
        </w:rPr>
        <w:t>Es explícita la o</w:t>
      </w:r>
      <w:r w:rsidRPr="00917F81">
        <w:rPr>
          <w:sz w:val="24"/>
        </w:rPr>
        <w:t xml:space="preserve">bligación de los poderes </w:t>
      </w:r>
      <w:r w:rsidR="00991FFE">
        <w:rPr>
          <w:sz w:val="24"/>
        </w:rPr>
        <w:t>legislativo</w:t>
      </w:r>
      <w:r w:rsidR="00991FFE" w:rsidRPr="00917F81">
        <w:rPr>
          <w:sz w:val="24"/>
        </w:rPr>
        <w:t xml:space="preserve"> </w:t>
      </w:r>
      <w:r w:rsidRPr="00917F81">
        <w:rPr>
          <w:sz w:val="24"/>
        </w:rPr>
        <w:t>y judicial de publicar la información de interés público, tanto administrativo como técnico.</w:t>
      </w:r>
      <w:r w:rsidR="00573F7C">
        <w:rPr>
          <w:sz w:val="24"/>
        </w:rPr>
        <w:t xml:space="preserve"> Se marca la o</w:t>
      </w:r>
      <w:r w:rsidR="00573F7C" w:rsidRPr="00917F81">
        <w:rPr>
          <w:sz w:val="24"/>
        </w:rPr>
        <w:t xml:space="preserve">bligación del sujeto obligado para publicar y actualizar </w:t>
      </w:r>
      <w:r w:rsidR="00573F7C">
        <w:rPr>
          <w:sz w:val="24"/>
        </w:rPr>
        <w:t>la información mencionada tal y como se encuentra redactada.</w:t>
      </w:r>
    </w:p>
    <w:p w14:paraId="5031550E" w14:textId="6140397A" w:rsidR="00F74A1D" w:rsidRPr="00EC3482" w:rsidRDefault="00F74A1D" w:rsidP="00F74A1D">
      <w:pPr>
        <w:pStyle w:val="Ttulo1"/>
        <w:numPr>
          <w:ilvl w:val="0"/>
          <w:numId w:val="19"/>
        </w:numPr>
      </w:pPr>
      <w:bookmarkStart w:id="23" w:name="_Reglas_para_la"/>
      <w:bookmarkEnd w:id="23"/>
      <w:r>
        <w:t>Reglas para la publicación y difusión de obligaciones de transparencia</w:t>
      </w:r>
    </w:p>
    <w:p w14:paraId="3EA72F66" w14:textId="4F9A1B44" w:rsidR="00917F81" w:rsidRPr="00917F81" w:rsidRDefault="00917F81" w:rsidP="00917F81">
      <w:pPr>
        <w:jc w:val="both"/>
        <w:rPr>
          <w:sz w:val="24"/>
        </w:rPr>
      </w:pPr>
      <w:r w:rsidRPr="00917F81">
        <w:rPr>
          <w:sz w:val="24"/>
        </w:rPr>
        <w:t xml:space="preserve">El indicador evalúa </w:t>
      </w:r>
      <w:r w:rsidR="00774B9B">
        <w:rPr>
          <w:sz w:val="24"/>
        </w:rPr>
        <w:t xml:space="preserve">que </w:t>
      </w:r>
      <w:r w:rsidRPr="00917F81">
        <w:rPr>
          <w:sz w:val="24"/>
        </w:rPr>
        <w:t>las disposiciones legales faciliten el acceso de todas las personas a la información pública de oficio y que promuevan que dicha información sea actualizada y comprensible. Los criterios considerados para evaluar son una síntesis sistematizada de las buenas prácticas en leyes de transparencia internacional y nacional.</w:t>
      </w:r>
    </w:p>
    <w:p w14:paraId="2ED22E1A" w14:textId="00A71A7E" w:rsidR="00917F81" w:rsidRPr="00917F81" w:rsidRDefault="00071AF5" w:rsidP="00917F81">
      <w:pPr>
        <w:pStyle w:val="Ttulo1"/>
      </w:pPr>
      <w:r>
        <w:t>186</w:t>
      </w:r>
      <w:r w:rsidR="00917F81" w:rsidRPr="00917F81">
        <w:t>. Difundir las obligaciones de transparencia por medios electrónicos</w:t>
      </w:r>
    </w:p>
    <w:p w14:paraId="503F7150" w14:textId="2BA60B4D" w:rsidR="00917F81" w:rsidRPr="00917F81" w:rsidRDefault="00917F81" w:rsidP="00917F81">
      <w:pPr>
        <w:jc w:val="both"/>
        <w:rPr>
          <w:sz w:val="24"/>
        </w:rPr>
      </w:pPr>
      <w:r w:rsidRPr="00917F81">
        <w:rPr>
          <w:b/>
          <w:sz w:val="24"/>
        </w:rPr>
        <w:t xml:space="preserve">Descripción. </w:t>
      </w:r>
      <w:r w:rsidRPr="00917F81">
        <w:rPr>
          <w:sz w:val="24"/>
        </w:rPr>
        <w:t>Las obligaciones de transparencia deben difundirse por diferentes medios, tratando de cumplir con el objetivo de ampliar la cobertura. Las buenas prácticas señalan que se alcanzan mejores impacto</w:t>
      </w:r>
      <w:r w:rsidR="004E4DDE">
        <w:rPr>
          <w:sz w:val="24"/>
        </w:rPr>
        <w:t>s</w:t>
      </w:r>
      <w:r w:rsidRPr="00917F81">
        <w:rPr>
          <w:sz w:val="24"/>
        </w:rPr>
        <w:t xml:space="preserve"> en la cultura de la transparencia cuando</w:t>
      </w:r>
      <w:r w:rsidR="004E4DDE">
        <w:rPr>
          <w:sz w:val="24"/>
        </w:rPr>
        <w:t xml:space="preserve"> las</w:t>
      </w:r>
      <w:r w:rsidRPr="00917F81">
        <w:rPr>
          <w:sz w:val="24"/>
        </w:rPr>
        <w:t xml:space="preserve"> obligaciones de los sujetos se difund</w:t>
      </w:r>
      <w:r w:rsidR="004E4DDE">
        <w:rPr>
          <w:sz w:val="24"/>
        </w:rPr>
        <w:t>e</w:t>
      </w:r>
      <w:r w:rsidRPr="00917F81">
        <w:rPr>
          <w:sz w:val="24"/>
        </w:rPr>
        <w:t>n por medios electrónicos, entiéndase por éstos las páginas web, televisión, radio y redes sociales.</w:t>
      </w:r>
    </w:p>
    <w:p w14:paraId="2CEAEA0C" w14:textId="229672F8" w:rsidR="00917F81" w:rsidRPr="00917F81" w:rsidRDefault="00917F81" w:rsidP="00071AF5">
      <w:pPr>
        <w:pBdr>
          <w:bottom w:val="single" w:sz="4" w:space="1" w:color="auto"/>
        </w:pBdr>
        <w:jc w:val="both"/>
        <w:rPr>
          <w:b/>
          <w:sz w:val="24"/>
        </w:rPr>
      </w:pPr>
      <w:r w:rsidRPr="00917F81">
        <w:rPr>
          <w:b/>
          <w:sz w:val="24"/>
        </w:rPr>
        <w:t xml:space="preserve">Calificación: </w:t>
      </w:r>
      <w:r w:rsidR="004E4DDE">
        <w:rPr>
          <w:sz w:val="24"/>
        </w:rPr>
        <w:t>Es explícita la o</w:t>
      </w:r>
      <w:r w:rsidRPr="00917F81">
        <w:rPr>
          <w:sz w:val="24"/>
        </w:rPr>
        <w:t>bligación de difundir las obligaciones de transparencia por medios electrónicos.</w:t>
      </w:r>
    </w:p>
    <w:p w14:paraId="4B219BFC" w14:textId="13571C21" w:rsidR="00917F81" w:rsidRPr="00917F81" w:rsidRDefault="00C356FB" w:rsidP="00917F81">
      <w:pPr>
        <w:pStyle w:val="Ttulo1"/>
      </w:pPr>
      <w:r>
        <w:t>187</w:t>
      </w:r>
      <w:r w:rsidR="00917F81" w:rsidRPr="00917F81">
        <w:t>. Utilizar un lenguaje incluyente, claro, accesible y de fácil comprensión para los y las usuarias</w:t>
      </w:r>
    </w:p>
    <w:p w14:paraId="6369F347" w14:textId="75133180" w:rsidR="00917F81" w:rsidRPr="00917F81" w:rsidRDefault="00C356FB" w:rsidP="00917F81">
      <w:pPr>
        <w:pStyle w:val="Ttulo1"/>
      </w:pPr>
      <w:r>
        <w:t>188</w:t>
      </w:r>
      <w:r w:rsidR="00917F81" w:rsidRPr="00917F81">
        <w:t>. Utilizar formatos para la fácil comprensión de los y las usuarias</w:t>
      </w:r>
    </w:p>
    <w:p w14:paraId="72A6D7BC" w14:textId="0CDC651F" w:rsidR="00917F81" w:rsidRPr="00917F81" w:rsidRDefault="00917F81" w:rsidP="00917F81">
      <w:pPr>
        <w:jc w:val="both"/>
        <w:rPr>
          <w:sz w:val="24"/>
        </w:rPr>
      </w:pPr>
      <w:r w:rsidRPr="00917F81">
        <w:rPr>
          <w:b/>
          <w:sz w:val="24"/>
        </w:rPr>
        <w:t xml:space="preserve">Descripción. </w:t>
      </w:r>
      <w:r w:rsidRPr="00917F81">
        <w:rPr>
          <w:sz w:val="24"/>
        </w:rPr>
        <w:t xml:space="preserve">El objetivo último es que la población tenga acceso a esta información sin que medie una solicitud. </w:t>
      </w:r>
      <w:r w:rsidR="00470B26">
        <w:rPr>
          <w:sz w:val="24"/>
        </w:rPr>
        <w:t>Así, l</w:t>
      </w:r>
      <w:r w:rsidRPr="00917F81">
        <w:rPr>
          <w:sz w:val="24"/>
        </w:rPr>
        <w:t>a accesibilidad se vincula no sólo con los medios</w:t>
      </w:r>
      <w:r w:rsidR="00470B26">
        <w:rPr>
          <w:sz w:val="24"/>
        </w:rPr>
        <w:t xml:space="preserve"> sino que </w:t>
      </w:r>
      <w:r w:rsidRPr="00917F81">
        <w:rPr>
          <w:sz w:val="24"/>
        </w:rPr>
        <w:t>también influye el lenguaje</w:t>
      </w:r>
      <w:r w:rsidR="00470B26">
        <w:rPr>
          <w:sz w:val="24"/>
        </w:rPr>
        <w:t>,</w:t>
      </w:r>
      <w:r w:rsidRPr="00917F81">
        <w:rPr>
          <w:sz w:val="24"/>
        </w:rPr>
        <w:t xml:space="preserve"> que debe ser incluyente, claro, accesible y de </w:t>
      </w:r>
      <w:r w:rsidRPr="00917F81">
        <w:rPr>
          <w:sz w:val="24"/>
        </w:rPr>
        <w:lastRenderedPageBreak/>
        <w:t>fácil comprensión, así como el uso de formatos amigables. Estas obligaciones deben quedar fijadas en</w:t>
      </w:r>
      <w:r w:rsidR="00470B26">
        <w:rPr>
          <w:sz w:val="24"/>
        </w:rPr>
        <w:t xml:space="preserve"> la</w:t>
      </w:r>
      <w:r w:rsidRPr="00917F81">
        <w:rPr>
          <w:sz w:val="24"/>
        </w:rPr>
        <w:t xml:space="preserve"> ley para que no </w:t>
      </w:r>
      <w:r w:rsidR="007D6A1E">
        <w:rPr>
          <w:sz w:val="24"/>
        </w:rPr>
        <w:t>dependa de</w:t>
      </w:r>
      <w:r w:rsidRPr="00917F81">
        <w:rPr>
          <w:sz w:val="24"/>
        </w:rPr>
        <w:t xml:space="preserve"> la</w:t>
      </w:r>
      <w:r w:rsidR="007D6A1E">
        <w:rPr>
          <w:sz w:val="24"/>
        </w:rPr>
        <w:t xml:space="preserve"> buena</w:t>
      </w:r>
      <w:r w:rsidRPr="00917F81">
        <w:rPr>
          <w:sz w:val="24"/>
        </w:rPr>
        <w:t xml:space="preserve"> voluntad del sujeto obligado.</w:t>
      </w:r>
    </w:p>
    <w:p w14:paraId="05AF4B8D" w14:textId="7E1FFD12" w:rsidR="00917F81" w:rsidRPr="00917F81" w:rsidRDefault="00917F81" w:rsidP="00C356FB">
      <w:pPr>
        <w:pBdr>
          <w:bottom w:val="single" w:sz="4" w:space="1" w:color="auto"/>
        </w:pBdr>
        <w:jc w:val="both"/>
        <w:rPr>
          <w:b/>
          <w:sz w:val="24"/>
        </w:rPr>
      </w:pPr>
      <w:r w:rsidRPr="00917F81">
        <w:rPr>
          <w:b/>
          <w:sz w:val="24"/>
        </w:rPr>
        <w:t xml:space="preserve">Calificación: </w:t>
      </w:r>
      <w:r w:rsidR="00D12C6B">
        <w:rPr>
          <w:sz w:val="24"/>
        </w:rPr>
        <w:t>Es explícita la o</w:t>
      </w:r>
      <w:r w:rsidR="00D12C6B" w:rsidRPr="00917F81">
        <w:rPr>
          <w:sz w:val="24"/>
        </w:rPr>
        <w:t xml:space="preserve">bligación </w:t>
      </w:r>
      <w:r w:rsidRPr="00917F81">
        <w:rPr>
          <w:sz w:val="24"/>
        </w:rPr>
        <w:t>de publicar las obligaciones de los sujetos obligados con lenguajes y formatos amigables, incluyentes y diversos.</w:t>
      </w:r>
    </w:p>
    <w:p w14:paraId="30F20444" w14:textId="28EF6D97" w:rsidR="00917F81" w:rsidRPr="00917F81" w:rsidRDefault="00CA272C" w:rsidP="00917F81">
      <w:pPr>
        <w:pStyle w:val="Ttulo1"/>
      </w:pPr>
      <w:r>
        <w:t>189</w:t>
      </w:r>
      <w:r w:rsidR="00917F81" w:rsidRPr="00917F81">
        <w:t>. Información</w:t>
      </w:r>
      <w:r w:rsidR="00FC570D">
        <w:t xml:space="preserve"> </w:t>
      </w:r>
      <w:r w:rsidR="00917F81" w:rsidRPr="00917F81">
        <w:t>disponible en lenguas indígenas</w:t>
      </w:r>
    </w:p>
    <w:p w14:paraId="4F9A6657" w14:textId="33CAE036" w:rsidR="00917F81" w:rsidRPr="00917F81" w:rsidRDefault="00917F81" w:rsidP="00917F81">
      <w:pPr>
        <w:jc w:val="both"/>
        <w:rPr>
          <w:sz w:val="24"/>
        </w:rPr>
      </w:pPr>
      <w:r w:rsidRPr="00917F81">
        <w:rPr>
          <w:b/>
          <w:sz w:val="24"/>
        </w:rPr>
        <w:t xml:space="preserve">Descripción. </w:t>
      </w:r>
      <w:r w:rsidRPr="00917F81">
        <w:rPr>
          <w:sz w:val="24"/>
        </w:rPr>
        <w:t xml:space="preserve">Reconociendo la obligación del Estado de cumplir con los acuerdos internacionales para atender a los pueblos indígenas respetando sus idiomas y formas de expresión, es imperativo contemplar la difusión de las obligaciones de transparencia desde la </w:t>
      </w:r>
      <w:r w:rsidR="00D12C6B">
        <w:rPr>
          <w:sz w:val="24"/>
        </w:rPr>
        <w:t xml:space="preserve">perspectiva de la </w:t>
      </w:r>
      <w:r w:rsidRPr="00917F81">
        <w:rPr>
          <w:sz w:val="24"/>
        </w:rPr>
        <w:t>diversidad cultural.</w:t>
      </w:r>
    </w:p>
    <w:p w14:paraId="7154F5F0" w14:textId="09D201E6" w:rsidR="00917F81" w:rsidRPr="00917F81" w:rsidRDefault="00917F81" w:rsidP="00CA272C">
      <w:pPr>
        <w:pBdr>
          <w:bottom w:val="single" w:sz="4" w:space="1" w:color="auto"/>
        </w:pBdr>
        <w:jc w:val="both"/>
        <w:rPr>
          <w:b/>
          <w:sz w:val="24"/>
        </w:rPr>
      </w:pPr>
      <w:r w:rsidRPr="00917F81">
        <w:rPr>
          <w:b/>
          <w:sz w:val="24"/>
        </w:rPr>
        <w:t xml:space="preserve">Calificación: </w:t>
      </w:r>
      <w:r w:rsidR="00D12C6B">
        <w:rPr>
          <w:sz w:val="24"/>
        </w:rPr>
        <w:t>Es explícita la o</w:t>
      </w:r>
      <w:r w:rsidR="00D12C6B" w:rsidRPr="00917F81">
        <w:rPr>
          <w:sz w:val="24"/>
        </w:rPr>
        <w:t xml:space="preserve">bligación </w:t>
      </w:r>
      <w:r w:rsidRPr="00917F81">
        <w:rPr>
          <w:sz w:val="24"/>
        </w:rPr>
        <w:t>de difundir las obligaciones de transparencia desde las lenguas indígenas.</w:t>
      </w:r>
    </w:p>
    <w:p w14:paraId="636BEC53" w14:textId="71ED8FC1" w:rsidR="00917F81" w:rsidRPr="00917F81" w:rsidRDefault="00CA272C" w:rsidP="00917F81">
      <w:pPr>
        <w:pStyle w:val="Ttulo1"/>
      </w:pPr>
      <w:r>
        <w:t>190</w:t>
      </w:r>
      <w:r w:rsidR="00917F81" w:rsidRPr="00917F81">
        <w:t>. Presentar la información en formatos abiertos</w:t>
      </w:r>
    </w:p>
    <w:p w14:paraId="3E561AF9" w14:textId="75FC88F7" w:rsidR="00917F81" w:rsidRPr="00917F81" w:rsidRDefault="00917F81" w:rsidP="00917F81">
      <w:pPr>
        <w:jc w:val="both"/>
        <w:rPr>
          <w:sz w:val="24"/>
        </w:rPr>
      </w:pPr>
      <w:r w:rsidRPr="00917F81">
        <w:rPr>
          <w:b/>
          <w:sz w:val="24"/>
        </w:rPr>
        <w:t xml:space="preserve">Descripción. </w:t>
      </w:r>
      <w:r w:rsidRPr="00917F81">
        <w:rPr>
          <w:sz w:val="24"/>
        </w:rPr>
        <w:t>E</w:t>
      </w:r>
      <w:r w:rsidR="00D12C6B">
        <w:rPr>
          <w:sz w:val="24"/>
        </w:rPr>
        <w:t>n e</w:t>
      </w:r>
      <w:r w:rsidRPr="00917F81">
        <w:rPr>
          <w:sz w:val="24"/>
        </w:rPr>
        <w:t>l manual de Open Data, los datos abiertos son</w:t>
      </w:r>
      <w:r w:rsidR="00D12C6B">
        <w:rPr>
          <w:sz w:val="24"/>
        </w:rPr>
        <w:t xml:space="preserve"> aquéllos</w:t>
      </w:r>
      <w:r w:rsidRPr="00917F81">
        <w:rPr>
          <w:sz w:val="24"/>
        </w:rPr>
        <w:t xml:space="preserve"> “que pueden ser utilizados, reutilizados y redistribuidos libremente por cualquier persona, y que se encuentran sujetos, cuando más, al requerimiento de atribución y de compartirse de la misma manera en que aparecen.”</w:t>
      </w:r>
      <w:r w:rsidRPr="00917F81">
        <w:rPr>
          <w:sz w:val="24"/>
          <w:vertAlign w:val="superscript"/>
        </w:rPr>
        <w:footnoteReference w:id="40"/>
      </w:r>
    </w:p>
    <w:p w14:paraId="08558EBD" w14:textId="741F67E2" w:rsidR="00917F81" w:rsidRPr="00917F81" w:rsidRDefault="00917F81" w:rsidP="00917F81">
      <w:pPr>
        <w:jc w:val="both"/>
        <w:rPr>
          <w:sz w:val="24"/>
        </w:rPr>
      </w:pPr>
      <w:r w:rsidRPr="00917F81">
        <w:rPr>
          <w:sz w:val="24"/>
        </w:rPr>
        <w:t>Un formato abierto es aquel donde las especificaciones del software están disponibles para cualquier persona</w:t>
      </w:r>
      <w:r w:rsidR="008F6586">
        <w:rPr>
          <w:sz w:val="24"/>
        </w:rPr>
        <w:t xml:space="preserve"> de manera</w:t>
      </w:r>
      <w:r w:rsidRPr="00917F81">
        <w:rPr>
          <w:sz w:val="24"/>
        </w:rPr>
        <w:t xml:space="preserve"> gratuita, de forma que pueda usar dichas especificaciones en su propio software sin ninguna limitación en su reutilización que fuere impuesta por derechos de propiedad intelectual.</w:t>
      </w:r>
    </w:p>
    <w:p w14:paraId="555198B0" w14:textId="73E1488D" w:rsidR="00917F81" w:rsidRPr="00917F81" w:rsidRDefault="00917F81" w:rsidP="00CA272C">
      <w:pPr>
        <w:pBdr>
          <w:bottom w:val="single" w:sz="4" w:space="1" w:color="auto"/>
        </w:pBdr>
        <w:jc w:val="both"/>
        <w:rPr>
          <w:b/>
          <w:sz w:val="24"/>
        </w:rPr>
      </w:pPr>
      <w:r w:rsidRPr="00917F81">
        <w:rPr>
          <w:b/>
          <w:sz w:val="24"/>
        </w:rPr>
        <w:t xml:space="preserve">Calificación: </w:t>
      </w:r>
      <w:r w:rsidR="00D12C6B">
        <w:rPr>
          <w:sz w:val="24"/>
        </w:rPr>
        <w:t>Es explícita la o</w:t>
      </w:r>
      <w:r w:rsidR="00D12C6B" w:rsidRPr="00917F81">
        <w:rPr>
          <w:sz w:val="24"/>
        </w:rPr>
        <w:t xml:space="preserve">bligación </w:t>
      </w:r>
      <w:r w:rsidRPr="00917F81">
        <w:rPr>
          <w:sz w:val="24"/>
        </w:rPr>
        <w:t>de presentar información en formatos abiertos.</w:t>
      </w:r>
    </w:p>
    <w:p w14:paraId="365B8256" w14:textId="34FBEBA5" w:rsidR="00917F81" w:rsidRPr="00917F81" w:rsidRDefault="00CA272C" w:rsidP="00917F81">
      <w:pPr>
        <w:pStyle w:val="Ttulo1"/>
      </w:pPr>
      <w:r>
        <w:t>191</w:t>
      </w:r>
      <w:r w:rsidR="00917F81" w:rsidRPr="00917F81">
        <w:t>. Actualizar la información</w:t>
      </w:r>
    </w:p>
    <w:p w14:paraId="6FA3F462" w14:textId="767D995E" w:rsidR="00917F81" w:rsidRPr="00917F81" w:rsidRDefault="00CA272C" w:rsidP="00917F81">
      <w:pPr>
        <w:pStyle w:val="Ttulo1"/>
      </w:pPr>
      <w:r>
        <w:t>192</w:t>
      </w:r>
      <w:r w:rsidR="00917F81" w:rsidRPr="00917F81">
        <w:t>. Difundir la fecha de actualización para cada rubro</w:t>
      </w:r>
    </w:p>
    <w:p w14:paraId="7FE336F4" w14:textId="7B70C1DB" w:rsidR="00917F81" w:rsidRPr="00917F81" w:rsidRDefault="00917F81" w:rsidP="00917F81">
      <w:pPr>
        <w:jc w:val="both"/>
        <w:rPr>
          <w:sz w:val="24"/>
        </w:rPr>
      </w:pPr>
      <w:r w:rsidRPr="00917F81">
        <w:rPr>
          <w:b/>
          <w:sz w:val="24"/>
        </w:rPr>
        <w:t xml:space="preserve">Descripción. </w:t>
      </w:r>
      <w:r w:rsidRPr="00917F81">
        <w:rPr>
          <w:sz w:val="24"/>
        </w:rPr>
        <w:t xml:space="preserve">La disposición que obligue a su actualización permite asegurar la efectividad de la información pública. La </w:t>
      </w:r>
      <w:r w:rsidRPr="00917F81">
        <w:rPr>
          <w:sz w:val="24"/>
        </w:rPr>
        <w:lastRenderedPageBreak/>
        <w:t>actividad sistemática de la actualidad permite cumplir</w:t>
      </w:r>
      <w:r w:rsidR="00C95AAD">
        <w:rPr>
          <w:sz w:val="24"/>
        </w:rPr>
        <w:t xml:space="preserve"> cabalmente la</w:t>
      </w:r>
      <w:r w:rsidRPr="00917F81">
        <w:rPr>
          <w:sz w:val="24"/>
        </w:rPr>
        <w:t xml:space="preserve"> finalidad del principio de veracidad de la información. La información publicada en los sitios oficiales o publicados físicamente debe señalar la fecha de actualización.</w:t>
      </w:r>
    </w:p>
    <w:p w14:paraId="4AC02973" w14:textId="4AC8EC54" w:rsidR="00917F81" w:rsidRPr="00917F81" w:rsidRDefault="00917F81" w:rsidP="00CA272C">
      <w:pPr>
        <w:pBdr>
          <w:bottom w:val="single" w:sz="4" w:space="1" w:color="auto"/>
        </w:pBdr>
        <w:jc w:val="both"/>
        <w:rPr>
          <w:b/>
          <w:sz w:val="24"/>
        </w:rPr>
      </w:pPr>
      <w:r w:rsidRPr="00917F81">
        <w:rPr>
          <w:b/>
          <w:sz w:val="24"/>
        </w:rPr>
        <w:t xml:space="preserve">Calificación: </w:t>
      </w:r>
      <w:r w:rsidR="006327B4">
        <w:rPr>
          <w:sz w:val="24"/>
        </w:rPr>
        <w:t>Es explícita la o</w:t>
      </w:r>
      <w:r w:rsidR="006327B4" w:rsidRPr="00917F81">
        <w:rPr>
          <w:sz w:val="24"/>
        </w:rPr>
        <w:t xml:space="preserve">bligación </w:t>
      </w:r>
      <w:r w:rsidR="006327B4">
        <w:rPr>
          <w:sz w:val="24"/>
        </w:rPr>
        <w:t xml:space="preserve">de </w:t>
      </w:r>
      <w:r w:rsidRPr="00917F81">
        <w:rPr>
          <w:sz w:val="24"/>
        </w:rPr>
        <w:t>actualizar la información de las obligaciones de transparencia</w:t>
      </w:r>
      <w:r w:rsidR="00CA272C">
        <w:rPr>
          <w:sz w:val="24"/>
        </w:rPr>
        <w:t xml:space="preserve"> y la publicación de la fecha de actualización</w:t>
      </w:r>
      <w:r w:rsidRPr="00917F81">
        <w:rPr>
          <w:sz w:val="24"/>
        </w:rPr>
        <w:t>.</w:t>
      </w:r>
    </w:p>
    <w:p w14:paraId="4902EF87" w14:textId="41A9271E" w:rsidR="00917F81" w:rsidRPr="00917F81" w:rsidRDefault="0059016C" w:rsidP="00917F81">
      <w:pPr>
        <w:pStyle w:val="Ttulo1"/>
      </w:pPr>
      <w:r>
        <w:t>193</w:t>
      </w:r>
      <w:r w:rsidR="00917F81" w:rsidRPr="00917F81">
        <w:t>. Indicar el área responsable de generar la información de cada uno de los rubros</w:t>
      </w:r>
    </w:p>
    <w:p w14:paraId="10ABE437" w14:textId="0A3F40F6" w:rsidR="00917F81" w:rsidRPr="00917F81" w:rsidRDefault="00917F81" w:rsidP="00917F81">
      <w:pPr>
        <w:pStyle w:val="Ttulo1"/>
      </w:pPr>
      <w:r>
        <w:t>19</w:t>
      </w:r>
      <w:r w:rsidR="0059016C">
        <w:t>4</w:t>
      </w:r>
      <w:r w:rsidRPr="00917F81">
        <w:t>. Indicar el o la funcionario(a) responsable de generar la información de cada uno de los rubros</w:t>
      </w:r>
    </w:p>
    <w:p w14:paraId="2D5EC11D" w14:textId="54D6C762" w:rsidR="00917F81" w:rsidRPr="00917F81" w:rsidRDefault="0059016C" w:rsidP="00917F81">
      <w:pPr>
        <w:pStyle w:val="Ttulo1"/>
      </w:pPr>
      <w:r>
        <w:t>195</w:t>
      </w:r>
      <w:r w:rsidR="00917F81" w:rsidRPr="00917F81">
        <w:t>. Señalar rubros que no les son aplicables</w:t>
      </w:r>
    </w:p>
    <w:p w14:paraId="272332AE" w14:textId="31078477" w:rsidR="00917F81" w:rsidRPr="00917F81" w:rsidRDefault="0059016C" w:rsidP="00917F81">
      <w:pPr>
        <w:pStyle w:val="Ttulo1"/>
      </w:pPr>
      <w:r>
        <w:t>196</w:t>
      </w:r>
      <w:r w:rsidR="00917F81" w:rsidRPr="00917F81">
        <w:t>. Contempla rubros específicos para distintos sujetos obligados</w:t>
      </w:r>
    </w:p>
    <w:p w14:paraId="0C5BF915" w14:textId="0825815B" w:rsidR="00917F81" w:rsidRPr="00917F81" w:rsidRDefault="00917F81" w:rsidP="00917F81">
      <w:pPr>
        <w:jc w:val="both"/>
        <w:rPr>
          <w:sz w:val="24"/>
        </w:rPr>
      </w:pPr>
      <w:r w:rsidRPr="00917F81">
        <w:rPr>
          <w:b/>
          <w:sz w:val="24"/>
        </w:rPr>
        <w:t xml:space="preserve">Descripción. </w:t>
      </w:r>
      <w:r w:rsidRPr="00917F81">
        <w:rPr>
          <w:sz w:val="24"/>
        </w:rPr>
        <w:t xml:space="preserve">Los cuatro criterios buscan dotar de mayores elementos para identificar a las y los responsables en la difusión de la información, así como </w:t>
      </w:r>
      <w:r w:rsidR="006327B4">
        <w:rPr>
          <w:sz w:val="24"/>
        </w:rPr>
        <w:t>diferenciar</w:t>
      </w:r>
      <w:r w:rsidR="006327B4" w:rsidRPr="00917F81">
        <w:rPr>
          <w:sz w:val="24"/>
        </w:rPr>
        <w:t xml:space="preserve"> </w:t>
      </w:r>
      <w:r w:rsidRPr="00917F81">
        <w:rPr>
          <w:sz w:val="24"/>
        </w:rPr>
        <w:t>la información específica de la no aplicable.</w:t>
      </w:r>
    </w:p>
    <w:p w14:paraId="3F6F5320" w14:textId="21E03CD4" w:rsidR="00917F81" w:rsidRPr="00917F81" w:rsidRDefault="00917F81" w:rsidP="0059016C">
      <w:pPr>
        <w:pBdr>
          <w:bottom w:val="single" w:sz="4" w:space="1" w:color="auto"/>
        </w:pBdr>
        <w:jc w:val="both"/>
        <w:rPr>
          <w:b/>
          <w:sz w:val="24"/>
        </w:rPr>
      </w:pPr>
      <w:r w:rsidRPr="00917F81">
        <w:rPr>
          <w:b/>
          <w:sz w:val="24"/>
        </w:rPr>
        <w:t xml:space="preserve">Calificación: </w:t>
      </w:r>
      <w:r w:rsidR="006327B4">
        <w:rPr>
          <w:sz w:val="24"/>
        </w:rPr>
        <w:t>Es explícita la o</w:t>
      </w:r>
      <w:r w:rsidR="006327B4" w:rsidRPr="00917F81">
        <w:rPr>
          <w:sz w:val="24"/>
        </w:rPr>
        <w:t xml:space="preserve">bligación </w:t>
      </w:r>
      <w:r w:rsidRPr="00917F81">
        <w:rPr>
          <w:sz w:val="24"/>
        </w:rPr>
        <w:t>de publicar la información señalando los apartados específicos y los no aplicables en función de las obligaciones de transparencia.</w:t>
      </w:r>
    </w:p>
    <w:p w14:paraId="5930C416" w14:textId="77777777" w:rsidR="003E7F38" w:rsidRPr="00DE3FE7" w:rsidRDefault="003E7F38" w:rsidP="00296F85">
      <w:pPr>
        <w:ind w:left="0"/>
        <w:jc w:val="both"/>
        <w:rPr>
          <w:sz w:val="24"/>
        </w:rPr>
      </w:pPr>
    </w:p>
    <w:p w14:paraId="6065088C" w14:textId="77777777" w:rsidR="00EC3482" w:rsidRPr="00EC3482" w:rsidRDefault="00EC3482" w:rsidP="00EC3482">
      <w:pPr>
        <w:jc w:val="both"/>
        <w:rPr>
          <w:sz w:val="24"/>
        </w:rPr>
      </w:pPr>
    </w:p>
    <w:p w14:paraId="70A44AF6" w14:textId="77777777" w:rsidR="00EC3482" w:rsidRPr="00310FDF" w:rsidRDefault="00EC3482" w:rsidP="00312F07">
      <w:pPr>
        <w:ind w:left="0"/>
        <w:jc w:val="both"/>
        <w:rPr>
          <w:sz w:val="24"/>
        </w:rPr>
      </w:pPr>
    </w:p>
    <w:p w14:paraId="5DFB9CF1" w14:textId="77777777" w:rsidR="001256F9" w:rsidRPr="00DE3FE7" w:rsidRDefault="001256F9" w:rsidP="001256F9"/>
    <w:p w14:paraId="18C0BB38" w14:textId="77777777" w:rsidR="001256F9" w:rsidRPr="00DE3FE7" w:rsidRDefault="001256F9" w:rsidP="001256F9"/>
    <w:p w14:paraId="34DB1BE0" w14:textId="77777777" w:rsidR="00AC2B27" w:rsidRDefault="00AC2B27"/>
    <w:sectPr w:rsidR="00AC2B27" w:rsidSect="009C22A3">
      <w:headerReference w:type="default" r:id="rId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BEB801" w14:textId="77777777" w:rsidR="00521018" w:rsidRDefault="00521018" w:rsidP="001256F9">
      <w:pPr>
        <w:spacing w:after="0" w:line="240" w:lineRule="auto"/>
      </w:pPr>
      <w:r>
        <w:separator/>
      </w:r>
    </w:p>
  </w:endnote>
  <w:endnote w:type="continuationSeparator" w:id="0">
    <w:p w14:paraId="12A5DA92" w14:textId="77777777" w:rsidR="00521018" w:rsidRDefault="00521018" w:rsidP="00125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973615"/>
      <w:docPartObj>
        <w:docPartGallery w:val="Page Numbers (Bottom of Page)"/>
        <w:docPartUnique/>
      </w:docPartObj>
    </w:sdtPr>
    <w:sdtContent>
      <w:p w14:paraId="1EE83FE8" w14:textId="46F687B8" w:rsidR="0032028D" w:rsidRDefault="0032028D">
        <w:pPr>
          <w:pStyle w:val="Piedepgina"/>
          <w:jc w:val="right"/>
        </w:pPr>
        <w:r>
          <w:fldChar w:fldCharType="begin"/>
        </w:r>
        <w:r>
          <w:instrText>PAGE   \* MERGEFORMAT</w:instrText>
        </w:r>
        <w:r>
          <w:fldChar w:fldCharType="separate"/>
        </w:r>
        <w:r w:rsidR="00291E7F" w:rsidRPr="00291E7F">
          <w:rPr>
            <w:noProof/>
            <w:lang w:val="es-ES"/>
          </w:rPr>
          <w:t>13</w:t>
        </w:r>
        <w:r>
          <w:fldChar w:fldCharType="end"/>
        </w:r>
      </w:p>
    </w:sdtContent>
  </w:sdt>
  <w:p w14:paraId="5FE2FEB4" w14:textId="77777777" w:rsidR="0032028D" w:rsidRDefault="0032028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5D5625" w14:textId="77777777" w:rsidR="00521018" w:rsidRDefault="00521018" w:rsidP="001256F9">
      <w:pPr>
        <w:spacing w:after="0" w:line="240" w:lineRule="auto"/>
      </w:pPr>
      <w:r>
        <w:separator/>
      </w:r>
    </w:p>
  </w:footnote>
  <w:footnote w:type="continuationSeparator" w:id="0">
    <w:p w14:paraId="233B8705" w14:textId="77777777" w:rsidR="00521018" w:rsidRDefault="00521018" w:rsidP="001256F9">
      <w:pPr>
        <w:spacing w:after="0" w:line="240" w:lineRule="auto"/>
      </w:pPr>
      <w:r>
        <w:continuationSeparator/>
      </w:r>
    </w:p>
  </w:footnote>
  <w:footnote w:id="1">
    <w:p w14:paraId="2050D4CF" w14:textId="72B52DFF" w:rsidR="0032028D" w:rsidRPr="005E3562" w:rsidRDefault="0032028D" w:rsidP="00FC0ABC">
      <w:pPr>
        <w:pStyle w:val="Textonotapie"/>
        <w:jc w:val="both"/>
        <w:rPr>
          <w:sz w:val="18"/>
          <w:szCs w:val="18"/>
          <w:lang w:val="es-ES"/>
        </w:rPr>
      </w:pPr>
      <w:r w:rsidRPr="005E3562">
        <w:rPr>
          <w:rStyle w:val="Refdenotaalpie"/>
          <w:sz w:val="18"/>
          <w:szCs w:val="18"/>
          <w:vertAlign w:val="baseline"/>
        </w:rPr>
        <w:footnoteRef/>
      </w:r>
      <w:r w:rsidRPr="005E3562">
        <w:rPr>
          <w:sz w:val="18"/>
          <w:szCs w:val="18"/>
        </w:rPr>
        <w:t xml:space="preserve"> </w:t>
      </w:r>
      <w:proofErr w:type="spellStart"/>
      <w:r w:rsidRPr="005E3562">
        <w:rPr>
          <w:sz w:val="18"/>
          <w:szCs w:val="18"/>
          <w:lang w:val="es-ES"/>
        </w:rPr>
        <w:t>Toby</w:t>
      </w:r>
      <w:proofErr w:type="spellEnd"/>
      <w:r w:rsidRPr="005E3562">
        <w:rPr>
          <w:sz w:val="18"/>
          <w:szCs w:val="18"/>
          <w:lang w:val="es-ES"/>
        </w:rPr>
        <w:t xml:space="preserve"> Mendel, El derecho a la información en América Latina. Comparación Jurídica, Organización de las Naciones Unidas para la Educación, la Ciencia y la Cultura, EC/2008/CI/PI/13, 2008.</w:t>
      </w:r>
    </w:p>
  </w:footnote>
  <w:footnote w:id="2">
    <w:p w14:paraId="384AC6FE" w14:textId="56DA8171" w:rsidR="0032028D" w:rsidRPr="002660F1" w:rsidRDefault="0032028D">
      <w:pPr>
        <w:pStyle w:val="Textonotapie"/>
        <w:rPr>
          <w:lang w:val="es-MX"/>
        </w:rPr>
      </w:pPr>
      <w:r w:rsidRPr="005E3562">
        <w:rPr>
          <w:rStyle w:val="Refdenotaalpie"/>
          <w:sz w:val="18"/>
          <w:szCs w:val="18"/>
        </w:rPr>
        <w:footnoteRef/>
      </w:r>
      <w:r w:rsidRPr="005E3562">
        <w:rPr>
          <w:sz w:val="18"/>
          <w:szCs w:val="18"/>
        </w:rPr>
        <w:t xml:space="preserve"> </w:t>
      </w:r>
      <w:r w:rsidRPr="005E3562">
        <w:rPr>
          <w:sz w:val="18"/>
          <w:szCs w:val="18"/>
          <w:lang w:val="es-MX"/>
        </w:rPr>
        <w:t>La reforma constitucional de transparencia se publicó en el DOF el día 7 de febrero de 2014.</w:t>
      </w:r>
    </w:p>
  </w:footnote>
  <w:footnote w:id="3">
    <w:p w14:paraId="63B87D7D" w14:textId="23652C28" w:rsidR="0032028D" w:rsidRPr="006E0C68" w:rsidRDefault="0032028D" w:rsidP="001E2B53">
      <w:pPr>
        <w:pStyle w:val="Cita"/>
        <w:spacing w:after="0" w:line="240" w:lineRule="auto"/>
        <w:ind w:left="1416" w:firstLine="708"/>
        <w:jc w:val="both"/>
        <w:rPr>
          <w:rStyle w:val="Refdenotaalpie"/>
          <w:i w:val="0"/>
          <w:sz w:val="18"/>
          <w:vertAlign w:val="baseline"/>
        </w:rPr>
      </w:pPr>
      <w:r w:rsidRPr="006E0C68">
        <w:rPr>
          <w:rStyle w:val="Refdenotaalpie"/>
          <w:i w:val="0"/>
          <w:sz w:val="18"/>
          <w:vertAlign w:val="baseline"/>
        </w:rPr>
        <w:footnoteRef/>
      </w:r>
      <w:r w:rsidRPr="006E0C68">
        <w:rPr>
          <w:rStyle w:val="Refdenotaalpie"/>
          <w:i w:val="0"/>
          <w:sz w:val="18"/>
          <w:vertAlign w:val="baseline"/>
        </w:rPr>
        <w:t xml:space="preserve"> Artículo 19. Todo individuo tiene derecho a la libertad de opinión y de expresión; este </w:t>
      </w:r>
      <w:r>
        <w:rPr>
          <w:i w:val="0"/>
          <w:sz w:val="18"/>
        </w:rPr>
        <w:tab/>
      </w:r>
      <w:r w:rsidRPr="006E0C68">
        <w:rPr>
          <w:rStyle w:val="Refdenotaalpie"/>
          <w:i w:val="0"/>
          <w:sz w:val="18"/>
          <w:vertAlign w:val="baseline"/>
        </w:rPr>
        <w:t xml:space="preserve">derecho incluye el de no ser molestado a causa de sus opiniones, el de investigar y recibir </w:t>
      </w:r>
      <w:r>
        <w:rPr>
          <w:i w:val="0"/>
          <w:sz w:val="18"/>
        </w:rPr>
        <w:tab/>
      </w:r>
      <w:r w:rsidRPr="006E0C68">
        <w:rPr>
          <w:rStyle w:val="Refdenotaalpie"/>
          <w:i w:val="0"/>
          <w:sz w:val="18"/>
          <w:vertAlign w:val="baseline"/>
        </w:rPr>
        <w:t xml:space="preserve">informaciones y opiniones, y el de difundirlas, sin limitación de fronteras, por cualquier </w:t>
      </w:r>
      <w:r>
        <w:rPr>
          <w:i w:val="0"/>
          <w:sz w:val="18"/>
        </w:rPr>
        <w:tab/>
      </w:r>
      <w:r w:rsidRPr="006E0C68">
        <w:rPr>
          <w:rStyle w:val="Refdenotaalpie"/>
          <w:i w:val="0"/>
          <w:sz w:val="18"/>
          <w:vertAlign w:val="baseline"/>
        </w:rPr>
        <w:t>medio de expresión.</w:t>
      </w:r>
    </w:p>
  </w:footnote>
  <w:footnote w:id="4">
    <w:p w14:paraId="37B30272" w14:textId="06AACD4A" w:rsidR="0032028D" w:rsidRPr="00EC3482" w:rsidRDefault="0032028D" w:rsidP="006E0C68">
      <w:pPr>
        <w:pStyle w:val="Cita"/>
        <w:spacing w:after="0" w:line="240" w:lineRule="auto"/>
        <w:ind w:left="0"/>
        <w:jc w:val="both"/>
        <w:rPr>
          <w:rStyle w:val="Refdenotaalpie"/>
          <w:i w:val="0"/>
          <w:vertAlign w:val="baseline"/>
        </w:rPr>
      </w:pPr>
      <w:r>
        <w:rPr>
          <w:i w:val="0"/>
          <w:sz w:val="18"/>
        </w:rPr>
        <w:tab/>
      </w:r>
      <w:r>
        <w:rPr>
          <w:i w:val="0"/>
          <w:sz w:val="18"/>
        </w:rPr>
        <w:tab/>
      </w:r>
      <w:r>
        <w:rPr>
          <w:i w:val="0"/>
          <w:sz w:val="18"/>
        </w:rPr>
        <w:tab/>
      </w:r>
      <w:r w:rsidRPr="006E0C68">
        <w:rPr>
          <w:rStyle w:val="Refdenotaalpie"/>
          <w:i w:val="0"/>
          <w:sz w:val="18"/>
          <w:vertAlign w:val="baseline"/>
        </w:rPr>
        <w:footnoteRef/>
      </w:r>
      <w:r w:rsidRPr="006E0C68">
        <w:rPr>
          <w:rStyle w:val="Refdenotaalpie"/>
          <w:i w:val="0"/>
          <w:sz w:val="18"/>
          <w:vertAlign w:val="baseline"/>
        </w:rPr>
        <w:t xml:space="preserve"> Artículo 13, fracción 1. Toda persona tiene derecho a la libertad de pensamiento y de </w:t>
      </w:r>
      <w:r>
        <w:rPr>
          <w:i w:val="0"/>
          <w:sz w:val="18"/>
        </w:rPr>
        <w:tab/>
      </w:r>
      <w:r>
        <w:rPr>
          <w:i w:val="0"/>
          <w:sz w:val="18"/>
        </w:rPr>
        <w:tab/>
      </w:r>
      <w:r>
        <w:rPr>
          <w:i w:val="0"/>
          <w:sz w:val="18"/>
        </w:rPr>
        <w:tab/>
      </w:r>
      <w:r w:rsidRPr="006E0C68">
        <w:rPr>
          <w:rStyle w:val="Refdenotaalpie"/>
          <w:i w:val="0"/>
          <w:sz w:val="18"/>
          <w:vertAlign w:val="baseline"/>
        </w:rPr>
        <w:t xml:space="preserve">expresión. Este derecho comprende la libertad de buscar, recibir y difundir </w:t>
      </w:r>
      <w:r>
        <w:rPr>
          <w:i w:val="0"/>
          <w:sz w:val="18"/>
        </w:rPr>
        <w:tab/>
      </w:r>
      <w:r>
        <w:rPr>
          <w:i w:val="0"/>
          <w:sz w:val="18"/>
        </w:rPr>
        <w:tab/>
      </w:r>
      <w:r>
        <w:rPr>
          <w:i w:val="0"/>
          <w:sz w:val="18"/>
        </w:rPr>
        <w:tab/>
      </w:r>
      <w:r>
        <w:rPr>
          <w:i w:val="0"/>
          <w:sz w:val="18"/>
        </w:rPr>
        <w:tab/>
      </w:r>
      <w:r w:rsidRPr="006E0C68">
        <w:rPr>
          <w:rStyle w:val="Refdenotaalpie"/>
          <w:i w:val="0"/>
          <w:sz w:val="18"/>
          <w:vertAlign w:val="baseline"/>
        </w:rPr>
        <w:t xml:space="preserve">informaciones e ideas de toda índole, sin consideración de fronteras, ya sea oralmente, </w:t>
      </w:r>
      <w:r>
        <w:rPr>
          <w:i w:val="0"/>
          <w:sz w:val="18"/>
        </w:rPr>
        <w:tab/>
      </w:r>
      <w:r>
        <w:rPr>
          <w:i w:val="0"/>
          <w:sz w:val="18"/>
        </w:rPr>
        <w:tab/>
      </w:r>
      <w:r>
        <w:rPr>
          <w:i w:val="0"/>
          <w:sz w:val="18"/>
        </w:rPr>
        <w:tab/>
      </w:r>
      <w:r w:rsidRPr="006E0C68">
        <w:rPr>
          <w:rStyle w:val="Refdenotaalpie"/>
          <w:i w:val="0"/>
          <w:sz w:val="18"/>
          <w:vertAlign w:val="baseline"/>
        </w:rPr>
        <w:t xml:space="preserve">por escrito o en forma impresa o artística, o por cualquier otro procedimiento de su </w:t>
      </w:r>
      <w:r>
        <w:rPr>
          <w:i w:val="0"/>
          <w:sz w:val="18"/>
        </w:rPr>
        <w:tab/>
      </w:r>
      <w:r>
        <w:rPr>
          <w:i w:val="0"/>
          <w:sz w:val="18"/>
        </w:rPr>
        <w:tab/>
      </w:r>
      <w:r>
        <w:rPr>
          <w:i w:val="0"/>
          <w:sz w:val="18"/>
        </w:rPr>
        <w:tab/>
      </w:r>
      <w:r w:rsidRPr="006E0C68">
        <w:rPr>
          <w:rStyle w:val="Refdenotaalpie"/>
          <w:i w:val="0"/>
          <w:sz w:val="18"/>
          <w:vertAlign w:val="baseline"/>
        </w:rPr>
        <w:t>elección.</w:t>
      </w:r>
    </w:p>
  </w:footnote>
  <w:footnote w:id="5">
    <w:p w14:paraId="6971A7AD" w14:textId="518495C7" w:rsidR="0032028D" w:rsidRPr="00917F81" w:rsidRDefault="0032028D" w:rsidP="006E0C68">
      <w:pPr>
        <w:pStyle w:val="Cita"/>
        <w:spacing w:after="0" w:line="240" w:lineRule="auto"/>
        <w:ind w:left="0"/>
        <w:jc w:val="both"/>
        <w:rPr>
          <w:rStyle w:val="Refdenotaalpie"/>
          <w:i w:val="0"/>
          <w:vertAlign w:val="baseline"/>
        </w:rPr>
      </w:pPr>
      <w:r>
        <w:rPr>
          <w:i w:val="0"/>
          <w:sz w:val="18"/>
        </w:rPr>
        <w:tab/>
      </w:r>
      <w:r>
        <w:rPr>
          <w:i w:val="0"/>
          <w:sz w:val="18"/>
        </w:rPr>
        <w:tab/>
      </w:r>
      <w:r>
        <w:rPr>
          <w:i w:val="0"/>
          <w:sz w:val="18"/>
        </w:rPr>
        <w:tab/>
      </w:r>
      <w:r w:rsidRPr="006E0C68">
        <w:rPr>
          <w:rStyle w:val="Refdenotaalpie"/>
          <w:i w:val="0"/>
          <w:sz w:val="18"/>
          <w:vertAlign w:val="baseline"/>
        </w:rPr>
        <w:footnoteRef/>
      </w:r>
      <w:r w:rsidRPr="006E0C68">
        <w:rPr>
          <w:rStyle w:val="Refdenotaalpie"/>
          <w:i w:val="0"/>
          <w:sz w:val="18"/>
          <w:vertAlign w:val="baseline"/>
        </w:rPr>
        <w:t xml:space="preserve"> Para efectos del presente documento, se interpreta como garantía individual a la </w:t>
      </w:r>
      <w:r>
        <w:rPr>
          <w:i w:val="0"/>
          <w:sz w:val="18"/>
        </w:rPr>
        <w:tab/>
      </w:r>
      <w:r>
        <w:rPr>
          <w:i w:val="0"/>
          <w:sz w:val="18"/>
        </w:rPr>
        <w:tab/>
      </w:r>
      <w:r>
        <w:rPr>
          <w:i w:val="0"/>
          <w:sz w:val="18"/>
        </w:rPr>
        <w:tab/>
      </w:r>
      <w:r>
        <w:rPr>
          <w:i w:val="0"/>
          <w:sz w:val="18"/>
        </w:rPr>
        <w:tab/>
      </w:r>
      <w:r w:rsidRPr="006E0C68">
        <w:rPr>
          <w:rStyle w:val="Refdenotaalpie"/>
          <w:i w:val="0"/>
          <w:sz w:val="18"/>
          <w:vertAlign w:val="baseline"/>
        </w:rPr>
        <w:t>medida interna bajo la cual el Estado reconoce y protege un derecho humano.</w:t>
      </w:r>
    </w:p>
  </w:footnote>
  <w:footnote w:id="6">
    <w:p w14:paraId="1D156FB9" w14:textId="77777777" w:rsidR="0032028D" w:rsidRPr="0003055E" w:rsidRDefault="0032028D" w:rsidP="00D1532F">
      <w:pPr>
        <w:pStyle w:val="Cita"/>
        <w:spacing w:after="0" w:line="240" w:lineRule="auto"/>
        <w:jc w:val="both"/>
        <w:rPr>
          <w:rStyle w:val="Refdenotaalpie"/>
          <w:i w:val="0"/>
          <w:sz w:val="18"/>
          <w:szCs w:val="18"/>
          <w:vertAlign w:val="baseline"/>
        </w:rPr>
      </w:pPr>
      <w:r w:rsidRPr="0003055E">
        <w:rPr>
          <w:rStyle w:val="Refdenotaalpie"/>
          <w:i w:val="0"/>
          <w:sz w:val="18"/>
          <w:szCs w:val="18"/>
          <w:vertAlign w:val="baseline"/>
        </w:rPr>
        <w:footnoteRef/>
      </w:r>
      <w:r w:rsidRPr="0003055E">
        <w:rPr>
          <w:rStyle w:val="Refdenotaalpie"/>
          <w:i w:val="0"/>
          <w:sz w:val="18"/>
          <w:szCs w:val="18"/>
          <w:vertAlign w:val="baseline"/>
        </w:rPr>
        <w:t xml:space="preserve"> </w:t>
      </w:r>
      <w:proofErr w:type="spellStart"/>
      <w:r w:rsidRPr="0003055E">
        <w:rPr>
          <w:rStyle w:val="Refdenotaalpie"/>
          <w:i w:val="0"/>
          <w:sz w:val="18"/>
          <w:szCs w:val="18"/>
          <w:vertAlign w:val="baseline"/>
        </w:rPr>
        <w:t>Caffarena</w:t>
      </w:r>
      <w:proofErr w:type="spellEnd"/>
      <w:r w:rsidRPr="0003055E">
        <w:rPr>
          <w:rStyle w:val="Refdenotaalpie"/>
          <w:i w:val="0"/>
          <w:sz w:val="18"/>
          <w:szCs w:val="18"/>
          <w:vertAlign w:val="baseline"/>
        </w:rPr>
        <w:t xml:space="preserve">, Victoria </w:t>
      </w:r>
      <w:proofErr w:type="spellStart"/>
      <w:r w:rsidRPr="0003055E">
        <w:rPr>
          <w:rStyle w:val="Refdenotaalpie"/>
          <w:i w:val="0"/>
          <w:sz w:val="18"/>
          <w:szCs w:val="18"/>
          <w:vertAlign w:val="baseline"/>
        </w:rPr>
        <w:t>Anderica</w:t>
      </w:r>
      <w:proofErr w:type="spellEnd"/>
      <w:r w:rsidRPr="0003055E">
        <w:rPr>
          <w:rStyle w:val="Refdenotaalpie"/>
          <w:i w:val="0"/>
          <w:sz w:val="18"/>
          <w:szCs w:val="18"/>
          <w:vertAlign w:val="baseline"/>
        </w:rPr>
        <w:t xml:space="preserve"> (2011). </w:t>
      </w:r>
      <w:r w:rsidRPr="0003055E">
        <w:rPr>
          <w:rStyle w:val="Refdenotaalpie"/>
          <w:sz w:val="18"/>
          <w:szCs w:val="18"/>
          <w:vertAlign w:val="baseline"/>
        </w:rPr>
        <w:t>“</w:t>
      </w:r>
      <w:r w:rsidRPr="0003055E">
        <w:rPr>
          <w:rStyle w:val="Refdenotaalpie"/>
          <w:i w:val="0"/>
          <w:sz w:val="18"/>
          <w:szCs w:val="18"/>
          <w:vertAlign w:val="baseline"/>
        </w:rPr>
        <w:t>La publicación proactiva de la información, el futuro de la transparencia</w:t>
      </w:r>
      <w:r w:rsidRPr="0003055E">
        <w:rPr>
          <w:rStyle w:val="Refdenotaalpie"/>
          <w:sz w:val="18"/>
          <w:szCs w:val="18"/>
          <w:vertAlign w:val="baseline"/>
        </w:rPr>
        <w:t>”</w:t>
      </w:r>
      <w:r w:rsidRPr="0003055E">
        <w:rPr>
          <w:rStyle w:val="Refdenotaalpie"/>
          <w:i w:val="0"/>
          <w:sz w:val="18"/>
          <w:szCs w:val="18"/>
          <w:vertAlign w:val="baseline"/>
        </w:rPr>
        <w:t>. Presentación</w:t>
      </w:r>
      <w:r w:rsidRPr="0003055E">
        <w:rPr>
          <w:i w:val="0"/>
          <w:sz w:val="18"/>
          <w:szCs w:val="18"/>
        </w:rPr>
        <w:t xml:space="preserve"> de </w:t>
      </w:r>
      <w:r w:rsidRPr="0003055E">
        <w:rPr>
          <w:rStyle w:val="Refdenotaalpie"/>
          <w:i w:val="0"/>
          <w:sz w:val="18"/>
          <w:szCs w:val="18"/>
          <w:vertAlign w:val="baseline"/>
        </w:rPr>
        <w:t xml:space="preserve">Access </w:t>
      </w:r>
      <w:proofErr w:type="spellStart"/>
      <w:r w:rsidRPr="0003055E">
        <w:rPr>
          <w:rStyle w:val="Refdenotaalpie"/>
          <w:i w:val="0"/>
          <w:sz w:val="18"/>
          <w:szCs w:val="18"/>
          <w:vertAlign w:val="baseline"/>
        </w:rPr>
        <w:t>Info</w:t>
      </w:r>
      <w:proofErr w:type="spellEnd"/>
      <w:r w:rsidRPr="0003055E">
        <w:rPr>
          <w:rStyle w:val="Refdenotaalpie"/>
          <w:i w:val="0"/>
          <w:sz w:val="18"/>
          <w:szCs w:val="18"/>
          <w:vertAlign w:val="baseline"/>
        </w:rPr>
        <w:t xml:space="preserve"> </w:t>
      </w:r>
      <w:proofErr w:type="spellStart"/>
      <w:r w:rsidRPr="0003055E">
        <w:rPr>
          <w:rStyle w:val="Refdenotaalpie"/>
          <w:i w:val="0"/>
          <w:sz w:val="18"/>
          <w:szCs w:val="18"/>
          <w:vertAlign w:val="baseline"/>
        </w:rPr>
        <w:t>Europe</w:t>
      </w:r>
      <w:proofErr w:type="spellEnd"/>
      <w:r w:rsidRPr="0003055E">
        <w:rPr>
          <w:i w:val="0"/>
          <w:sz w:val="18"/>
          <w:szCs w:val="18"/>
        </w:rPr>
        <w:t xml:space="preserve">, Seminario Internacional Acceso de la Información, Desafíos de </w:t>
      </w:r>
      <w:proofErr w:type="gramStart"/>
      <w:r w:rsidRPr="0003055E">
        <w:rPr>
          <w:i w:val="0"/>
          <w:sz w:val="18"/>
          <w:szCs w:val="18"/>
        </w:rPr>
        <w:t>Implementación,</w:t>
      </w:r>
      <w:r w:rsidRPr="0003055E">
        <w:rPr>
          <w:rStyle w:val="Refdenotaalpie"/>
          <w:sz w:val="18"/>
          <w:szCs w:val="18"/>
          <w:vertAlign w:val="baseline"/>
        </w:rPr>
        <w:t xml:space="preserve"> </w:t>
      </w:r>
      <w:r w:rsidRPr="0003055E">
        <w:rPr>
          <w:rStyle w:val="Refdenotaalpie"/>
          <w:i w:val="0"/>
          <w:sz w:val="18"/>
          <w:szCs w:val="18"/>
          <w:vertAlign w:val="baseline"/>
        </w:rPr>
        <w:t>Brasilia</w:t>
      </w:r>
      <w:r w:rsidRPr="0003055E">
        <w:rPr>
          <w:i w:val="0"/>
          <w:sz w:val="18"/>
          <w:szCs w:val="18"/>
        </w:rPr>
        <w:t>.</w:t>
      </w:r>
      <w:proofErr w:type="gramEnd"/>
      <w:r w:rsidRPr="0003055E">
        <w:rPr>
          <w:i w:val="0"/>
          <w:sz w:val="18"/>
          <w:szCs w:val="18"/>
        </w:rPr>
        <w:t xml:space="preserve"> Disponible en línea: http://www.acessoainformacao.gov.br/acessoainformacaogov/eventos/seminario-internacional/arquivos/Victoria-Anderica-Transparencia-Pro-ativa-o-que-deve-ser-divulgado.pdf</w:t>
      </w:r>
    </w:p>
  </w:footnote>
  <w:footnote w:id="7">
    <w:p w14:paraId="0ABFBE35" w14:textId="77777777" w:rsidR="0032028D" w:rsidRPr="00555BF7" w:rsidRDefault="0032028D" w:rsidP="001256F9">
      <w:pPr>
        <w:pStyle w:val="Cita"/>
        <w:spacing w:after="0" w:line="240" w:lineRule="auto"/>
        <w:jc w:val="both"/>
        <w:rPr>
          <w:rStyle w:val="Refdenotaalpie"/>
          <w:i w:val="0"/>
          <w:sz w:val="18"/>
          <w:szCs w:val="18"/>
          <w:vertAlign w:val="baseline"/>
        </w:rPr>
      </w:pPr>
      <w:r w:rsidRPr="00555BF7">
        <w:rPr>
          <w:rStyle w:val="Refdenotaalpie"/>
          <w:i w:val="0"/>
          <w:sz w:val="18"/>
          <w:szCs w:val="18"/>
          <w:vertAlign w:val="baseline"/>
        </w:rPr>
        <w:footnoteRef/>
      </w:r>
      <w:r w:rsidRPr="00555BF7">
        <w:rPr>
          <w:rStyle w:val="Refdenotaalpie"/>
          <w:i w:val="0"/>
          <w:sz w:val="18"/>
          <w:szCs w:val="18"/>
          <w:vertAlign w:val="baseline"/>
        </w:rPr>
        <w:t xml:space="preserve"> Relación de Entidades Paraestatales de la Administración Pública Federal sujetas a la Ley Federal de las Entidades Paraestatales y su Reglamento. Disponible en línea: http://www.dof.gob.mx/nota_detalle.php?codigo=5103698&amp;fecha=14/08/2009</w:t>
      </w:r>
    </w:p>
  </w:footnote>
  <w:footnote w:id="8">
    <w:p w14:paraId="46A6F904" w14:textId="77777777" w:rsidR="0032028D" w:rsidRPr="000C6588" w:rsidRDefault="0032028D" w:rsidP="001256F9">
      <w:pPr>
        <w:pStyle w:val="Cita"/>
        <w:spacing w:after="0" w:line="240" w:lineRule="auto"/>
        <w:jc w:val="both"/>
        <w:rPr>
          <w:rStyle w:val="Refdenotaalpie"/>
          <w:i w:val="0"/>
          <w:sz w:val="18"/>
          <w:szCs w:val="18"/>
          <w:vertAlign w:val="baseline"/>
        </w:rPr>
      </w:pPr>
      <w:r w:rsidRPr="000C6588">
        <w:rPr>
          <w:rStyle w:val="Refdenotaalpie"/>
          <w:i w:val="0"/>
          <w:sz w:val="18"/>
          <w:szCs w:val="18"/>
          <w:vertAlign w:val="baseline"/>
        </w:rPr>
        <w:footnoteRef/>
      </w:r>
      <w:r w:rsidRPr="000C6588">
        <w:rPr>
          <w:rStyle w:val="Refdenotaalpie"/>
          <w:i w:val="0"/>
          <w:sz w:val="18"/>
          <w:szCs w:val="18"/>
          <w:vertAlign w:val="baseline"/>
        </w:rPr>
        <w:t xml:space="preserve"> Terrazas Salgado, Rodolfo (2011). La Autoridad Responsable del Juicio de Amparo. El Juicio de Amparo a 160 años de la primera sentencia, Tomo II, Serie Doctrina Jurídica. Universidad Autónoma de México. Pág. 493.</w:t>
      </w:r>
    </w:p>
  </w:footnote>
  <w:footnote w:id="9">
    <w:p w14:paraId="0EABE54C" w14:textId="77777777" w:rsidR="0032028D" w:rsidRPr="000C6588" w:rsidRDefault="0032028D" w:rsidP="001256F9">
      <w:pPr>
        <w:pStyle w:val="Cita"/>
        <w:spacing w:after="0" w:line="240" w:lineRule="auto"/>
        <w:jc w:val="both"/>
        <w:rPr>
          <w:rStyle w:val="Refdenotaalpie"/>
          <w:i w:val="0"/>
          <w:sz w:val="18"/>
          <w:szCs w:val="18"/>
          <w:vertAlign w:val="baseline"/>
        </w:rPr>
      </w:pPr>
      <w:r w:rsidRPr="000C6588">
        <w:rPr>
          <w:rStyle w:val="Refdenotaalpie"/>
          <w:i w:val="0"/>
          <w:sz w:val="18"/>
          <w:szCs w:val="18"/>
          <w:vertAlign w:val="baseline"/>
        </w:rPr>
        <w:footnoteRef/>
      </w:r>
      <w:r w:rsidRPr="000C6588">
        <w:rPr>
          <w:rStyle w:val="Refdenotaalpie"/>
          <w:i w:val="0"/>
          <w:sz w:val="18"/>
          <w:szCs w:val="18"/>
          <w:vertAlign w:val="baseline"/>
        </w:rPr>
        <w:t xml:space="preserve"> Tesis: I.7o.A.213 A. Semanario Judicial de la Federación y su Gaceta, Novena Época, Tribunales Colegiados de Circuito, XVII, abril de 2003,  p. 1066; Tesis: I.7o.A.213 A.</w:t>
      </w:r>
    </w:p>
    <w:p w14:paraId="73885C17" w14:textId="77777777" w:rsidR="0032028D" w:rsidRPr="00917F81" w:rsidRDefault="0032028D" w:rsidP="001256F9">
      <w:pPr>
        <w:pStyle w:val="Cita"/>
        <w:spacing w:after="0" w:line="240" w:lineRule="auto"/>
        <w:jc w:val="both"/>
        <w:rPr>
          <w:rStyle w:val="Refdenotaalpie"/>
          <w:i w:val="0"/>
          <w:vertAlign w:val="baseline"/>
        </w:rPr>
      </w:pPr>
      <w:r w:rsidRPr="000C6588">
        <w:rPr>
          <w:rStyle w:val="Refdenotaalpie"/>
          <w:i w:val="0"/>
          <w:sz w:val="18"/>
          <w:szCs w:val="18"/>
          <w:vertAlign w:val="baseline"/>
        </w:rPr>
        <w:t>En este mismo sentido se han pronunciado el Código de Buenas Prácticas y Alternativas para el Diseño de Leyes de Transparencia y Acceso a la Información Pública en México elaborado por el Centro de Investigación y Docencia Económica (CIDE) y el Instituto de Investigaciones Jurídicas de la UNAM; de la misma manera, en la Ley Modelo Interamericana sobre Acceso a la Información se señala en su artículo tercero que: “La presente Ley se aplica a toda autoridad pública perteneciente a todas las ramas del gobierno y a todos los niveles de la estructura gubernamental interna; se aplica también a los órganos, organismos o entidades independientes o autónomos de propiedad del gobierno o controlados por el mismo, bien actuando por facultades otorgadas por la Constitución o por otras leyes y aplica asimismo a las organizaciones privadas que reciben recursos fondos o beneficios públicos sustanciales (directa o indirectamente) o que desempeñan funciones y servicio públicos, pero solamente con respecto a los fondos o beneficios públicos recibidos o a las funciones y servicios públicos desempeñados.</w:t>
      </w:r>
      <w:r w:rsidRPr="00917F81">
        <w:rPr>
          <w:rStyle w:val="Refdenotaalpie"/>
          <w:i w:val="0"/>
          <w:vertAlign w:val="baseline"/>
        </w:rPr>
        <w:t xml:space="preserve"> </w:t>
      </w:r>
      <w:r w:rsidRPr="007B27AB">
        <w:rPr>
          <w:rStyle w:val="Refdenotaalpie"/>
          <w:i w:val="0"/>
          <w:sz w:val="18"/>
          <w:szCs w:val="18"/>
          <w:vertAlign w:val="baseline"/>
        </w:rPr>
        <w:t>Todos estos órganos deberán tener información disponible de acuerdo a lo previsto en la presente ley”.</w:t>
      </w:r>
    </w:p>
  </w:footnote>
  <w:footnote w:id="10">
    <w:p w14:paraId="5141C322" w14:textId="77777777" w:rsidR="0032028D" w:rsidRPr="007B27AB" w:rsidRDefault="0032028D" w:rsidP="001256F9">
      <w:pPr>
        <w:pStyle w:val="Cita"/>
        <w:spacing w:after="0" w:line="240" w:lineRule="auto"/>
        <w:jc w:val="both"/>
        <w:rPr>
          <w:sz w:val="18"/>
          <w:szCs w:val="18"/>
        </w:rPr>
      </w:pPr>
      <w:r w:rsidRPr="007B27AB">
        <w:rPr>
          <w:rStyle w:val="Refdenotaalpie"/>
          <w:i w:val="0"/>
          <w:sz w:val="18"/>
          <w:szCs w:val="18"/>
          <w:vertAlign w:val="baseline"/>
        </w:rPr>
        <w:footnoteRef/>
      </w:r>
      <w:r w:rsidRPr="007B27AB">
        <w:rPr>
          <w:rStyle w:val="Refdenotaalpie"/>
          <w:i w:val="0"/>
          <w:sz w:val="18"/>
          <w:szCs w:val="18"/>
          <w:vertAlign w:val="baseline"/>
        </w:rPr>
        <w:t xml:space="preserve"> Según el manual de Open Data, se puede definir como</w:t>
      </w:r>
      <w:r w:rsidRPr="007B27AB">
        <w:rPr>
          <w:rStyle w:val="Refdenotaalpie"/>
          <w:sz w:val="18"/>
          <w:szCs w:val="18"/>
          <w:vertAlign w:val="baseline"/>
        </w:rPr>
        <w:t xml:space="preserve">: </w:t>
      </w:r>
      <w:r w:rsidRPr="007B27AB">
        <w:rPr>
          <w:rStyle w:val="Refdenotaalpie"/>
          <w:i w:val="0"/>
          <w:sz w:val="18"/>
          <w:szCs w:val="18"/>
          <w:vertAlign w:val="baseline"/>
        </w:rPr>
        <w:t xml:space="preserve">Datos que pueden ser utilizados, reutilizados y redistribuidos libremente por cualquier persona, y que se encuentran sujetos, cuando más, al requerimiento de atribución y de compartirse de la misma manera en que aparecen. Disponible en línea: </w:t>
      </w:r>
      <w:hyperlink r:id="rId1" w:history="1">
        <w:r w:rsidRPr="007B27AB">
          <w:rPr>
            <w:rStyle w:val="Hipervnculo"/>
            <w:i w:val="0"/>
            <w:sz w:val="18"/>
            <w:szCs w:val="18"/>
          </w:rPr>
          <w:t>http://opendatahandbook.org/es/</w:t>
        </w:r>
      </w:hyperlink>
    </w:p>
  </w:footnote>
  <w:footnote w:id="11">
    <w:p w14:paraId="62E7D507" w14:textId="7F3B72E1" w:rsidR="0032028D" w:rsidRPr="00EC3482" w:rsidRDefault="0032028D" w:rsidP="001256F9">
      <w:pPr>
        <w:pStyle w:val="Cita"/>
        <w:spacing w:after="0" w:line="240" w:lineRule="auto"/>
        <w:jc w:val="both"/>
        <w:rPr>
          <w:rStyle w:val="Refdenotaalpie"/>
          <w:i w:val="0"/>
          <w:vertAlign w:val="baseline"/>
        </w:rPr>
      </w:pPr>
      <w:r w:rsidRPr="007B27AB">
        <w:rPr>
          <w:rStyle w:val="Refdenotaalpie"/>
          <w:i w:val="0"/>
          <w:sz w:val="18"/>
          <w:szCs w:val="18"/>
          <w:vertAlign w:val="baseline"/>
        </w:rPr>
        <w:footnoteRef/>
      </w:r>
      <w:r w:rsidRPr="007B27AB">
        <w:rPr>
          <w:rStyle w:val="Refdenotaalpie"/>
          <w:i w:val="0"/>
          <w:sz w:val="18"/>
          <w:szCs w:val="18"/>
          <w:vertAlign w:val="baseline"/>
        </w:rPr>
        <w:t xml:space="preserve"> Ley Federal de Transparencia y Acceso a la Información Pública Gubernamental, Título Primero, Disposiciones Comunes para los Sujetos Obligados, Capítulo I, Disposiciones Generales, Artículo 3 Fracción II Datos Personales. Última Reforma DOF 06-06-2006. Disponible en línea: http://inicio.ifai.org.mx/Leyes/LFTAIPG.pdf</w:t>
      </w:r>
    </w:p>
  </w:footnote>
  <w:footnote w:id="12">
    <w:p w14:paraId="72E45A09" w14:textId="77777777" w:rsidR="0032028D" w:rsidRPr="00214ADB" w:rsidRDefault="0032028D" w:rsidP="001256F9">
      <w:pPr>
        <w:pStyle w:val="Textonotapie"/>
        <w:rPr>
          <w:rStyle w:val="Refdenotaalpie"/>
          <w:iCs/>
          <w:sz w:val="18"/>
          <w:szCs w:val="18"/>
          <w:vertAlign w:val="baseline"/>
        </w:rPr>
      </w:pPr>
      <w:r w:rsidRPr="00214ADB">
        <w:rPr>
          <w:rStyle w:val="Refdenotaalpie"/>
          <w:iCs/>
          <w:sz w:val="18"/>
          <w:szCs w:val="18"/>
          <w:vertAlign w:val="baseline"/>
        </w:rPr>
        <w:footnoteRef/>
      </w:r>
      <w:r w:rsidRPr="00214ADB">
        <w:rPr>
          <w:rStyle w:val="Refdenotaalpie"/>
          <w:iCs/>
          <w:sz w:val="18"/>
          <w:szCs w:val="18"/>
          <w:vertAlign w:val="baseline"/>
        </w:rPr>
        <w:t xml:space="preserve"> Cornejos </w:t>
      </w:r>
      <w:proofErr w:type="spellStart"/>
      <w:r w:rsidRPr="00214ADB">
        <w:rPr>
          <w:rStyle w:val="Refdenotaalpie"/>
          <w:iCs/>
          <w:sz w:val="18"/>
          <w:szCs w:val="18"/>
          <w:vertAlign w:val="baseline"/>
        </w:rPr>
        <w:t>Certucha</w:t>
      </w:r>
      <w:proofErr w:type="spellEnd"/>
      <w:r w:rsidRPr="00214ADB">
        <w:rPr>
          <w:rStyle w:val="Refdenotaalpie"/>
          <w:iCs/>
          <w:sz w:val="18"/>
          <w:szCs w:val="18"/>
          <w:vertAlign w:val="baseline"/>
        </w:rPr>
        <w:t>, Francisco M.</w:t>
      </w:r>
      <w:r w:rsidRPr="00214ADB">
        <w:rPr>
          <w:iCs/>
          <w:sz w:val="18"/>
          <w:szCs w:val="18"/>
        </w:rPr>
        <w:t xml:space="preserve"> (2001).</w:t>
      </w:r>
      <w:r w:rsidRPr="00214ADB">
        <w:rPr>
          <w:rStyle w:val="Refdenotaalpie"/>
          <w:iCs/>
          <w:sz w:val="18"/>
          <w:szCs w:val="18"/>
          <w:vertAlign w:val="baseline"/>
        </w:rPr>
        <w:t xml:space="preserve"> Interés Público en Nuevo Diccionario Jurídico Mexicano, Instituto de Investigaciones Jurídicas, Editorial Porrúa, México, 2001, Tomo III, pág. 2113.</w:t>
      </w:r>
    </w:p>
  </w:footnote>
  <w:footnote w:id="13">
    <w:p w14:paraId="3D5F0C12" w14:textId="77777777" w:rsidR="0032028D" w:rsidRPr="00214ADB" w:rsidRDefault="0032028D" w:rsidP="001256F9">
      <w:pPr>
        <w:pStyle w:val="Textonotapie"/>
        <w:jc w:val="both"/>
        <w:rPr>
          <w:rStyle w:val="Refdenotaalpie"/>
          <w:iCs/>
          <w:sz w:val="18"/>
          <w:szCs w:val="18"/>
          <w:vertAlign w:val="baseline"/>
        </w:rPr>
      </w:pPr>
      <w:r w:rsidRPr="00214ADB">
        <w:rPr>
          <w:rStyle w:val="Refdenotaalpie"/>
          <w:iCs/>
          <w:sz w:val="18"/>
          <w:szCs w:val="18"/>
          <w:vertAlign w:val="baseline"/>
        </w:rPr>
        <w:footnoteRef/>
      </w:r>
      <w:r w:rsidRPr="00214ADB">
        <w:rPr>
          <w:rStyle w:val="Refdenotaalpie"/>
          <w:iCs/>
          <w:sz w:val="18"/>
          <w:szCs w:val="18"/>
          <w:vertAlign w:val="baseline"/>
        </w:rPr>
        <w:t xml:space="preserve"> </w:t>
      </w:r>
      <w:proofErr w:type="spellStart"/>
      <w:r w:rsidRPr="00214ADB">
        <w:rPr>
          <w:rStyle w:val="Refdenotaalpie"/>
          <w:iCs/>
          <w:sz w:val="18"/>
          <w:szCs w:val="18"/>
          <w:vertAlign w:val="baseline"/>
        </w:rPr>
        <w:t>Abramovich</w:t>
      </w:r>
      <w:proofErr w:type="spellEnd"/>
      <w:r w:rsidRPr="00214ADB">
        <w:rPr>
          <w:rStyle w:val="Refdenotaalpie"/>
          <w:iCs/>
          <w:sz w:val="18"/>
          <w:szCs w:val="18"/>
          <w:vertAlign w:val="baseline"/>
        </w:rPr>
        <w:t>, Víctor (2006). Una aproximación al enfoque de derechos en las estrategias y políticas del desarrollo. Revista de la CEPAL. No. 88. Abril, Santiago de Chile.</w:t>
      </w:r>
      <w:r w:rsidRPr="00214ADB">
        <w:rPr>
          <w:iCs/>
          <w:sz w:val="18"/>
          <w:szCs w:val="18"/>
        </w:rPr>
        <w:t xml:space="preserve"> Págs. 36- 38.</w:t>
      </w:r>
    </w:p>
  </w:footnote>
  <w:footnote w:id="14">
    <w:p w14:paraId="025EF1AC" w14:textId="26B31E6C" w:rsidR="0032028D" w:rsidRPr="00D1532F" w:rsidRDefault="0032028D" w:rsidP="001256F9">
      <w:pPr>
        <w:pStyle w:val="Textonotapie"/>
        <w:jc w:val="both"/>
        <w:rPr>
          <w:rStyle w:val="Refdenotaalpie"/>
          <w:iCs/>
          <w:vertAlign w:val="baseline"/>
        </w:rPr>
      </w:pPr>
      <w:r w:rsidRPr="00214ADB">
        <w:rPr>
          <w:rStyle w:val="Refdenotaalpie"/>
          <w:iCs/>
          <w:sz w:val="18"/>
          <w:szCs w:val="18"/>
          <w:vertAlign w:val="baseline"/>
        </w:rPr>
        <w:footnoteRef/>
      </w:r>
      <w:r w:rsidRPr="00214ADB">
        <w:rPr>
          <w:rStyle w:val="Refdenotaalpie"/>
          <w:iCs/>
          <w:sz w:val="18"/>
          <w:szCs w:val="18"/>
          <w:vertAlign w:val="baseline"/>
        </w:rPr>
        <w:t xml:space="preserve"> ONU. Resolución 32/130 de la Asamblea General de la Organización de Naciones Unidas, “Distintos criterios y medios posibles dentro del</w:t>
      </w:r>
      <w:r w:rsidRPr="00214ADB">
        <w:rPr>
          <w:rStyle w:val="Refdenotaalpie"/>
          <w:sz w:val="18"/>
          <w:szCs w:val="18"/>
          <w:vertAlign w:val="baseline"/>
        </w:rPr>
        <w:t xml:space="preserve"> </w:t>
      </w:r>
      <w:r w:rsidRPr="00214ADB">
        <w:rPr>
          <w:rStyle w:val="Refdenotaalpie"/>
          <w:iCs/>
          <w:sz w:val="18"/>
          <w:szCs w:val="18"/>
          <w:vertAlign w:val="baseline"/>
        </w:rPr>
        <w:t>Sistema de las Naciones Unidas para mejorar el goce efectivo de los derechos humanos y las libertades fundamentales”, 16 de diciembre</w:t>
      </w:r>
      <w:r w:rsidRPr="00214ADB">
        <w:rPr>
          <w:rStyle w:val="Refdenotaalpie"/>
          <w:sz w:val="18"/>
          <w:szCs w:val="18"/>
          <w:vertAlign w:val="baseline"/>
        </w:rPr>
        <w:t xml:space="preserve"> </w:t>
      </w:r>
      <w:r w:rsidRPr="00214ADB">
        <w:rPr>
          <w:rStyle w:val="Refdenotaalpie"/>
          <w:iCs/>
          <w:sz w:val="18"/>
          <w:szCs w:val="18"/>
          <w:vertAlign w:val="baseline"/>
        </w:rPr>
        <w:t>de 1977. Disponible en línea:</w:t>
      </w:r>
      <w:r w:rsidRPr="00214ADB">
        <w:rPr>
          <w:iCs/>
          <w:sz w:val="18"/>
          <w:szCs w:val="18"/>
        </w:rPr>
        <w:t xml:space="preserve"> </w:t>
      </w:r>
      <w:hyperlink r:id="rId2" w:history="1">
        <w:r w:rsidRPr="00214ADB">
          <w:rPr>
            <w:rStyle w:val="Hipervnculo"/>
            <w:iCs/>
            <w:sz w:val="18"/>
            <w:szCs w:val="18"/>
          </w:rPr>
          <w:t>http://www.un.org/spanish/documents/ga/res/32/ares32.htm</w:t>
        </w:r>
      </w:hyperlink>
    </w:p>
  </w:footnote>
  <w:footnote w:id="15">
    <w:p w14:paraId="0F6A12E1" w14:textId="77777777" w:rsidR="0032028D" w:rsidRPr="00C15244" w:rsidRDefault="0032028D" w:rsidP="001256F9">
      <w:pPr>
        <w:pStyle w:val="Textonotapie"/>
        <w:jc w:val="both"/>
        <w:rPr>
          <w:rStyle w:val="Refdenotaalpie"/>
          <w:iCs/>
          <w:sz w:val="18"/>
          <w:szCs w:val="18"/>
          <w:vertAlign w:val="baseline"/>
        </w:rPr>
      </w:pPr>
      <w:r w:rsidRPr="00C15244">
        <w:rPr>
          <w:rStyle w:val="Refdenotaalpie"/>
          <w:iCs/>
          <w:sz w:val="18"/>
          <w:szCs w:val="18"/>
          <w:vertAlign w:val="baseline"/>
        </w:rPr>
        <w:footnoteRef/>
      </w:r>
      <w:r w:rsidRPr="00C15244">
        <w:rPr>
          <w:rStyle w:val="Refdenotaalpie"/>
          <w:iCs/>
          <w:sz w:val="18"/>
          <w:szCs w:val="18"/>
          <w:vertAlign w:val="baseline"/>
        </w:rPr>
        <w:t xml:space="preserve"> Pulido</w:t>
      </w:r>
      <w:r w:rsidRPr="00C15244">
        <w:rPr>
          <w:iCs/>
          <w:sz w:val="18"/>
          <w:szCs w:val="18"/>
        </w:rPr>
        <w:t xml:space="preserve"> Jiménez</w:t>
      </w:r>
      <w:r w:rsidRPr="00C15244">
        <w:rPr>
          <w:rStyle w:val="Refdenotaalpie"/>
          <w:iCs/>
          <w:sz w:val="18"/>
          <w:szCs w:val="18"/>
          <w:vertAlign w:val="baseline"/>
        </w:rPr>
        <w:t>, Miguel (</w:t>
      </w:r>
      <w:r w:rsidRPr="00C15244">
        <w:rPr>
          <w:rStyle w:val="Refdenotaalpie"/>
          <w:sz w:val="18"/>
          <w:szCs w:val="18"/>
          <w:vertAlign w:val="baseline"/>
        </w:rPr>
        <w:t>2006</w:t>
      </w:r>
      <w:r w:rsidRPr="00C15244">
        <w:rPr>
          <w:rStyle w:val="Refdenotaalpie"/>
          <w:iCs/>
          <w:sz w:val="18"/>
          <w:szCs w:val="18"/>
          <w:vertAlign w:val="baseline"/>
        </w:rPr>
        <w:t>).</w:t>
      </w:r>
      <w:r w:rsidRPr="00C15244">
        <w:rPr>
          <w:rStyle w:val="Refdenotaalpie"/>
          <w:sz w:val="18"/>
          <w:szCs w:val="18"/>
          <w:vertAlign w:val="baseline"/>
        </w:rPr>
        <w:t xml:space="preserve"> </w:t>
      </w:r>
      <w:r w:rsidRPr="00C15244">
        <w:rPr>
          <w:rStyle w:val="Refdenotaalpie"/>
          <w:iCs/>
          <w:sz w:val="18"/>
          <w:szCs w:val="18"/>
          <w:vertAlign w:val="baseline"/>
        </w:rPr>
        <w:t>El Acceso a la Información es un Derecho Humano</w:t>
      </w:r>
      <w:r w:rsidRPr="00C15244">
        <w:rPr>
          <w:rStyle w:val="Refdenotaalpie"/>
          <w:sz w:val="18"/>
          <w:szCs w:val="18"/>
          <w:vertAlign w:val="baseline"/>
        </w:rPr>
        <w:t xml:space="preserve">. </w:t>
      </w:r>
      <w:r w:rsidRPr="00C15244">
        <w:rPr>
          <w:rStyle w:val="Refdenotaalpie"/>
          <w:iCs/>
          <w:sz w:val="18"/>
          <w:szCs w:val="18"/>
          <w:vertAlign w:val="baseline"/>
        </w:rPr>
        <w:t>Propuesta para un estándar de acceso a la información de organismos públicos de derechos humanos</w:t>
      </w:r>
      <w:r w:rsidRPr="00C15244">
        <w:rPr>
          <w:rStyle w:val="Refdenotaalpie"/>
          <w:sz w:val="18"/>
          <w:szCs w:val="18"/>
          <w:vertAlign w:val="baseline"/>
        </w:rPr>
        <w:t>. Serie Ombudsman, Fundar Centro de Investigación y Análisis. México, D.F. Págs. 25-31</w:t>
      </w:r>
    </w:p>
  </w:footnote>
  <w:footnote w:id="16">
    <w:p w14:paraId="347D7DA4" w14:textId="77777777" w:rsidR="0032028D" w:rsidRPr="0034394F" w:rsidRDefault="0032028D" w:rsidP="001256F9">
      <w:pPr>
        <w:pStyle w:val="Textonotapie"/>
        <w:jc w:val="both"/>
        <w:rPr>
          <w:rStyle w:val="Refdenotaalpie"/>
          <w:iCs/>
          <w:sz w:val="18"/>
          <w:szCs w:val="18"/>
          <w:vertAlign w:val="baseline"/>
        </w:rPr>
      </w:pPr>
      <w:r w:rsidRPr="0034394F">
        <w:rPr>
          <w:rStyle w:val="Refdenotaalpie"/>
          <w:iCs/>
          <w:sz w:val="18"/>
          <w:szCs w:val="18"/>
          <w:vertAlign w:val="baseline"/>
        </w:rPr>
        <w:footnoteRef/>
      </w:r>
      <w:r w:rsidRPr="0034394F">
        <w:rPr>
          <w:rStyle w:val="Refdenotaalpie"/>
          <w:iCs/>
          <w:sz w:val="18"/>
          <w:szCs w:val="18"/>
          <w:vertAlign w:val="baseline"/>
        </w:rPr>
        <w:t xml:space="preserve"> Artículo 16 Constitucional: Nadie puede ser molestado en su persona, familia, domicilio, papeles o posesiones, sino en virtud del mandamiento escrito de la autoridad competente, que funde y motive la causa legal del procedimiento. </w:t>
      </w:r>
    </w:p>
  </w:footnote>
  <w:footnote w:id="17">
    <w:p w14:paraId="4D49D704" w14:textId="77777777" w:rsidR="0032028D" w:rsidRPr="0034394F" w:rsidRDefault="0032028D" w:rsidP="001256F9">
      <w:pPr>
        <w:pStyle w:val="Textonotapie"/>
        <w:jc w:val="both"/>
        <w:rPr>
          <w:rStyle w:val="Refdenotaalpie"/>
          <w:iCs/>
          <w:sz w:val="18"/>
          <w:szCs w:val="18"/>
          <w:vertAlign w:val="baseline"/>
        </w:rPr>
      </w:pPr>
      <w:r w:rsidRPr="0034394F">
        <w:rPr>
          <w:rStyle w:val="Refdenotaalpie"/>
          <w:iCs/>
          <w:sz w:val="18"/>
          <w:szCs w:val="18"/>
          <w:vertAlign w:val="baseline"/>
        </w:rPr>
        <w:footnoteRef/>
      </w:r>
      <w:r w:rsidRPr="0034394F">
        <w:rPr>
          <w:rStyle w:val="Refdenotaalpie"/>
          <w:iCs/>
          <w:sz w:val="18"/>
          <w:szCs w:val="18"/>
          <w:vertAlign w:val="baseline"/>
        </w:rPr>
        <w:t xml:space="preserve"> Tesis I.3.o. C.52 K, Semanario Judicial de la Federación, Novena Época, tomo. XVIII, abril de 2003, p. 1050.</w:t>
      </w:r>
    </w:p>
  </w:footnote>
  <w:footnote w:id="18">
    <w:p w14:paraId="49C1E1C7" w14:textId="77777777" w:rsidR="0032028D" w:rsidRPr="00433EF5" w:rsidRDefault="0032028D" w:rsidP="007C6240">
      <w:pPr>
        <w:pStyle w:val="Textonotapie"/>
        <w:jc w:val="both"/>
        <w:rPr>
          <w:rStyle w:val="Refdenotaalpie"/>
          <w:iCs/>
          <w:sz w:val="18"/>
          <w:szCs w:val="18"/>
          <w:vertAlign w:val="baseline"/>
        </w:rPr>
      </w:pPr>
      <w:r w:rsidRPr="00433EF5">
        <w:rPr>
          <w:rStyle w:val="Refdenotaalpie"/>
          <w:iCs/>
          <w:sz w:val="18"/>
          <w:szCs w:val="18"/>
          <w:vertAlign w:val="baseline"/>
        </w:rPr>
        <w:footnoteRef/>
      </w:r>
      <w:r w:rsidRPr="00433EF5">
        <w:rPr>
          <w:rStyle w:val="Refdenotaalpie"/>
          <w:iCs/>
          <w:sz w:val="18"/>
          <w:szCs w:val="18"/>
          <w:vertAlign w:val="baseline"/>
        </w:rPr>
        <w:t xml:space="preserve"> Comisión Andina de Juristas (2003). El derecho de acceso a la información pública en los países de la región andina.</w:t>
      </w:r>
      <w:r w:rsidRPr="00433EF5">
        <w:rPr>
          <w:rStyle w:val="Refdenotaalpie"/>
          <w:sz w:val="18"/>
          <w:szCs w:val="18"/>
          <w:vertAlign w:val="baseline"/>
        </w:rPr>
        <w:t xml:space="preserve"> Bol. </w:t>
      </w:r>
      <w:proofErr w:type="spellStart"/>
      <w:r w:rsidRPr="00433EF5">
        <w:rPr>
          <w:rStyle w:val="Refdenotaalpie"/>
          <w:sz w:val="18"/>
          <w:szCs w:val="18"/>
          <w:vertAlign w:val="baseline"/>
        </w:rPr>
        <w:t>Mex</w:t>
      </w:r>
      <w:proofErr w:type="spellEnd"/>
      <w:r w:rsidRPr="00433EF5">
        <w:rPr>
          <w:rStyle w:val="Refdenotaalpie"/>
          <w:sz w:val="18"/>
          <w:szCs w:val="18"/>
          <w:vertAlign w:val="baseline"/>
        </w:rPr>
        <w:t>. Der. Comp.</w:t>
      </w:r>
      <w:r w:rsidRPr="00433EF5">
        <w:rPr>
          <w:rStyle w:val="Refdenotaalpie"/>
          <w:iCs/>
          <w:sz w:val="18"/>
          <w:szCs w:val="18"/>
          <w:vertAlign w:val="baseline"/>
        </w:rPr>
        <w:t xml:space="preserve"> [online], vol.36, n.108, pp. 1079-1106. ISSN 0041-8633.</w:t>
      </w:r>
      <w:r w:rsidRPr="00433EF5">
        <w:rPr>
          <w:iCs/>
          <w:sz w:val="18"/>
          <w:szCs w:val="18"/>
        </w:rPr>
        <w:t xml:space="preserve"> </w:t>
      </w:r>
      <w:r w:rsidRPr="00433EF5">
        <w:rPr>
          <w:rStyle w:val="Refdenotaalpie"/>
          <w:iCs/>
          <w:sz w:val="18"/>
          <w:szCs w:val="18"/>
          <w:vertAlign w:val="baseline"/>
        </w:rPr>
        <w:t>Disponible en línea: http://www.scielo.org.mx/pdf/bmdc/v36n108/n108a11.pdf3</w:t>
      </w:r>
    </w:p>
  </w:footnote>
  <w:footnote w:id="19">
    <w:p w14:paraId="0B233504" w14:textId="77777777" w:rsidR="0032028D" w:rsidRPr="00EA5BA5" w:rsidRDefault="0032028D" w:rsidP="001256F9">
      <w:pPr>
        <w:pStyle w:val="Textonotapie"/>
        <w:jc w:val="both"/>
        <w:rPr>
          <w:rStyle w:val="Refdenotaalpie"/>
          <w:iCs/>
          <w:sz w:val="18"/>
          <w:szCs w:val="18"/>
          <w:vertAlign w:val="baseline"/>
        </w:rPr>
      </w:pPr>
      <w:r w:rsidRPr="00EA5BA5">
        <w:rPr>
          <w:rStyle w:val="Refdenotaalpie"/>
          <w:iCs/>
          <w:sz w:val="18"/>
          <w:szCs w:val="18"/>
          <w:vertAlign w:val="baseline"/>
        </w:rPr>
        <w:footnoteRef/>
      </w:r>
      <w:r w:rsidRPr="00EA5BA5">
        <w:rPr>
          <w:rStyle w:val="Refdenotaalpie"/>
          <w:iCs/>
          <w:sz w:val="18"/>
          <w:szCs w:val="18"/>
          <w:vertAlign w:val="baseline"/>
        </w:rPr>
        <w:t xml:space="preserve"> El Estatuto de Roma de la Corte Penal Internacional fue adoptado por la Organización de las Naciones Unidas el 17 de julio de 1998. México lo ratificó en 2005.</w:t>
      </w:r>
    </w:p>
  </w:footnote>
  <w:footnote w:id="20">
    <w:p w14:paraId="60B5854F" w14:textId="77777777" w:rsidR="0032028D" w:rsidRPr="00EA5BA5" w:rsidRDefault="0032028D" w:rsidP="001256F9">
      <w:pPr>
        <w:pStyle w:val="Textonotapie"/>
        <w:jc w:val="both"/>
        <w:rPr>
          <w:rStyle w:val="Refdenotaalpie"/>
          <w:iCs/>
          <w:sz w:val="18"/>
          <w:szCs w:val="18"/>
          <w:vertAlign w:val="baseline"/>
        </w:rPr>
      </w:pPr>
      <w:r w:rsidRPr="00EA5BA5">
        <w:rPr>
          <w:rStyle w:val="Refdenotaalpie"/>
          <w:iCs/>
          <w:sz w:val="18"/>
          <w:szCs w:val="18"/>
          <w:vertAlign w:val="baseline"/>
        </w:rPr>
        <w:footnoteRef/>
      </w:r>
      <w:r w:rsidRPr="00EA5BA5">
        <w:rPr>
          <w:rStyle w:val="Refdenotaalpie"/>
          <w:iCs/>
          <w:sz w:val="18"/>
          <w:szCs w:val="18"/>
          <w:vertAlign w:val="baseline"/>
        </w:rPr>
        <w:t xml:space="preserve"> Convención de Viena, sobre el Derecho de los Tratados </w:t>
      </w:r>
      <w:r w:rsidRPr="00EA5BA5">
        <w:rPr>
          <w:iCs/>
          <w:sz w:val="18"/>
          <w:szCs w:val="18"/>
        </w:rPr>
        <w:t>e</w:t>
      </w:r>
      <w:r w:rsidRPr="00EA5BA5">
        <w:rPr>
          <w:rStyle w:val="Refdenotaalpie"/>
          <w:iCs/>
          <w:sz w:val="18"/>
          <w:szCs w:val="18"/>
          <w:vertAlign w:val="baseline"/>
        </w:rPr>
        <w:t>ntre Estados y Organizaciones Internacionales o entre Organizaciones Internacionales</w:t>
      </w:r>
      <w:r w:rsidRPr="00EA5BA5">
        <w:rPr>
          <w:iCs/>
          <w:sz w:val="18"/>
          <w:szCs w:val="18"/>
        </w:rPr>
        <w:t xml:space="preserve">. Disponible en línea: </w:t>
      </w:r>
      <w:hyperlink r:id="rId3" w:history="1">
        <w:r w:rsidRPr="00EA5BA5">
          <w:rPr>
            <w:rStyle w:val="Hipervnculo"/>
            <w:iCs/>
            <w:sz w:val="18"/>
            <w:szCs w:val="18"/>
          </w:rPr>
          <w:t>http://www.ordenjuridico.gob.mx/TratInt/I2.pdf</w:t>
        </w:r>
      </w:hyperlink>
    </w:p>
  </w:footnote>
  <w:footnote w:id="21">
    <w:p w14:paraId="2EC82402" w14:textId="77777777" w:rsidR="0032028D" w:rsidRPr="00917F81" w:rsidRDefault="0032028D" w:rsidP="001256F9">
      <w:pPr>
        <w:pStyle w:val="Textonotapie"/>
        <w:jc w:val="both"/>
        <w:rPr>
          <w:rStyle w:val="Refdenotaalpie"/>
          <w:vertAlign w:val="baseline"/>
        </w:rPr>
      </w:pPr>
      <w:r w:rsidRPr="00EA5BA5">
        <w:rPr>
          <w:rStyle w:val="Refdenotaalpie"/>
          <w:iCs/>
          <w:sz w:val="18"/>
          <w:szCs w:val="18"/>
          <w:vertAlign w:val="baseline"/>
        </w:rPr>
        <w:footnoteRef/>
      </w:r>
      <w:r w:rsidRPr="00EA5BA5">
        <w:rPr>
          <w:rStyle w:val="Refdenotaalpie"/>
          <w:iCs/>
          <w:sz w:val="18"/>
          <w:szCs w:val="18"/>
          <w:vertAlign w:val="baseline"/>
        </w:rPr>
        <w:t xml:space="preserve"> </w:t>
      </w:r>
      <w:proofErr w:type="spellStart"/>
      <w:r w:rsidRPr="00EA5BA5">
        <w:rPr>
          <w:rStyle w:val="Refdenotaalpie"/>
          <w:iCs/>
          <w:sz w:val="18"/>
          <w:szCs w:val="18"/>
          <w:vertAlign w:val="baseline"/>
        </w:rPr>
        <w:t>Salvioli</w:t>
      </w:r>
      <w:proofErr w:type="spellEnd"/>
      <w:r w:rsidRPr="00EA5BA5">
        <w:rPr>
          <w:rStyle w:val="Refdenotaalpie"/>
          <w:iCs/>
          <w:sz w:val="18"/>
          <w:szCs w:val="18"/>
          <w:vertAlign w:val="baseline"/>
        </w:rPr>
        <w:t>, Fabián (2003). Un análisis desde el principio pro persona sobre el valor jurídico de las decisiones de la comisión interamericana de derechos humanos</w:t>
      </w:r>
      <w:r w:rsidRPr="00EA5BA5">
        <w:rPr>
          <w:rStyle w:val="Refdenotaalpie"/>
          <w:sz w:val="18"/>
          <w:szCs w:val="18"/>
          <w:vertAlign w:val="baseline"/>
        </w:rPr>
        <w:t xml:space="preserve"> en </w:t>
      </w:r>
      <w:proofErr w:type="spellStart"/>
      <w:r w:rsidRPr="00EA5BA5">
        <w:rPr>
          <w:rStyle w:val="Refdenotaalpie"/>
          <w:sz w:val="18"/>
          <w:szCs w:val="18"/>
          <w:vertAlign w:val="baseline"/>
        </w:rPr>
        <w:t>En</w:t>
      </w:r>
      <w:proofErr w:type="spellEnd"/>
      <w:r w:rsidRPr="00EA5BA5">
        <w:rPr>
          <w:rStyle w:val="Refdenotaalpie"/>
          <w:sz w:val="18"/>
          <w:szCs w:val="18"/>
          <w:vertAlign w:val="baseline"/>
        </w:rPr>
        <w:t xml:space="preserve"> Defensa de la Constitución: libro homenaje a Germán </w:t>
      </w:r>
      <w:proofErr w:type="spellStart"/>
      <w:r w:rsidRPr="00EA5BA5">
        <w:rPr>
          <w:rStyle w:val="Refdenotaalpie"/>
          <w:sz w:val="18"/>
          <w:szCs w:val="18"/>
          <w:vertAlign w:val="baseline"/>
        </w:rPr>
        <w:t>Bidart</w:t>
      </w:r>
      <w:proofErr w:type="spellEnd"/>
      <w:r w:rsidRPr="00EA5BA5">
        <w:rPr>
          <w:rStyle w:val="Refdenotaalpie"/>
          <w:sz w:val="18"/>
          <w:szCs w:val="18"/>
          <w:vertAlign w:val="baseline"/>
        </w:rPr>
        <w:t xml:space="preserve"> Campos, pp. 143 – 155; ed. </w:t>
      </w:r>
      <w:proofErr w:type="spellStart"/>
      <w:r w:rsidRPr="00EA5BA5">
        <w:rPr>
          <w:rStyle w:val="Refdenotaalpie"/>
          <w:sz w:val="18"/>
          <w:szCs w:val="18"/>
          <w:vertAlign w:val="baseline"/>
        </w:rPr>
        <w:t>Ediar</w:t>
      </w:r>
      <w:proofErr w:type="spellEnd"/>
      <w:r w:rsidRPr="00EA5BA5">
        <w:rPr>
          <w:rStyle w:val="Refdenotaalpie"/>
          <w:sz w:val="18"/>
          <w:szCs w:val="18"/>
          <w:vertAlign w:val="baseline"/>
        </w:rPr>
        <w:t>, Buenos Aires, Argentina.</w:t>
      </w:r>
    </w:p>
  </w:footnote>
  <w:footnote w:id="22">
    <w:p w14:paraId="4F1A2150" w14:textId="77777777" w:rsidR="0032028D" w:rsidRPr="00EA5BA5" w:rsidRDefault="0032028D" w:rsidP="001256F9">
      <w:pPr>
        <w:pStyle w:val="Textonotapie"/>
        <w:jc w:val="both"/>
        <w:rPr>
          <w:rStyle w:val="Refdenotaalpie"/>
          <w:iCs/>
          <w:sz w:val="18"/>
          <w:szCs w:val="18"/>
          <w:vertAlign w:val="baseline"/>
        </w:rPr>
      </w:pPr>
      <w:r w:rsidRPr="00EA5BA5">
        <w:rPr>
          <w:rStyle w:val="Refdenotaalpie"/>
          <w:iCs/>
          <w:sz w:val="18"/>
          <w:szCs w:val="18"/>
          <w:vertAlign w:val="baseline"/>
        </w:rPr>
        <w:footnoteRef/>
      </w:r>
      <w:r w:rsidRPr="00EA5BA5">
        <w:rPr>
          <w:rStyle w:val="Refdenotaalpie"/>
          <w:iCs/>
          <w:sz w:val="18"/>
          <w:szCs w:val="18"/>
          <w:vertAlign w:val="baseline"/>
        </w:rPr>
        <w:t xml:space="preserve"> El derecho internacional define como violaciones graves, serias, manifiestas o flagrantes, entre otros casos la tortura, desapariciones forzadas, ejecuciones extra judiciales, violaciones de derechos humanos sumarias y/o sistemáticas, entre otras. Para un mayor debate al respecto revisar: Comisión Internacional de Juristas, (2008), Impunidad y graves violaciones de derechos humanos, Ginebra, Suiza, específicamente de la página 19 a la 22, disponible en: </w:t>
      </w:r>
      <w:hyperlink r:id="rId4" w:history="1">
        <w:r w:rsidRPr="00EA5BA5">
          <w:rPr>
            <w:sz w:val="18"/>
            <w:szCs w:val="18"/>
          </w:rPr>
          <w:t>http://icj-usa.org/wp-content/uploads/2010/01/CIJ_IMPUNIDAD_No3.pdf</w:t>
        </w:r>
      </w:hyperlink>
    </w:p>
  </w:footnote>
  <w:footnote w:id="23">
    <w:p w14:paraId="387CE9EE" w14:textId="77777777" w:rsidR="0032028D" w:rsidRPr="00EA5BA5" w:rsidRDefault="0032028D" w:rsidP="001256F9">
      <w:pPr>
        <w:pStyle w:val="Textonotapie"/>
        <w:jc w:val="both"/>
        <w:rPr>
          <w:rStyle w:val="Refdenotaalpie"/>
          <w:iCs/>
          <w:sz w:val="18"/>
          <w:szCs w:val="18"/>
          <w:vertAlign w:val="baseline"/>
        </w:rPr>
      </w:pPr>
      <w:r w:rsidRPr="00EA5BA5">
        <w:rPr>
          <w:rStyle w:val="Refdenotaalpie"/>
          <w:iCs/>
          <w:sz w:val="18"/>
          <w:szCs w:val="18"/>
          <w:vertAlign w:val="baseline"/>
        </w:rPr>
        <w:footnoteRef/>
      </w:r>
      <w:r w:rsidRPr="00EA5BA5">
        <w:rPr>
          <w:rStyle w:val="Refdenotaalpie"/>
          <w:iCs/>
          <w:sz w:val="18"/>
          <w:szCs w:val="18"/>
          <w:vertAlign w:val="baseline"/>
        </w:rPr>
        <w:t xml:space="preserve"> Para mayor referencia, ver Razones Fundar, Secreto Fiduciario en los fideicomisos que involucran recursos públicos. Disponible en: </w:t>
      </w:r>
      <w:hyperlink r:id="rId5" w:history="1">
        <w:r w:rsidRPr="00EA5BA5">
          <w:rPr>
            <w:rStyle w:val="Refdenotaalpie"/>
            <w:iCs/>
            <w:sz w:val="18"/>
            <w:szCs w:val="18"/>
            <w:vertAlign w:val="baseline"/>
          </w:rPr>
          <w:t>http://fundar.org.mx/op/?page_id=532</w:t>
        </w:r>
      </w:hyperlink>
      <w:r w:rsidRPr="00EA5BA5">
        <w:rPr>
          <w:rStyle w:val="Refdenotaalpie"/>
          <w:iCs/>
          <w:sz w:val="18"/>
          <w:szCs w:val="18"/>
          <w:vertAlign w:val="baseline"/>
        </w:rPr>
        <w:t xml:space="preserve"> </w:t>
      </w:r>
    </w:p>
  </w:footnote>
  <w:footnote w:id="24">
    <w:p w14:paraId="2B273092" w14:textId="77777777" w:rsidR="0032028D" w:rsidRPr="00EA5BA5" w:rsidRDefault="0032028D" w:rsidP="001256F9">
      <w:pPr>
        <w:pStyle w:val="Textonotapie"/>
        <w:jc w:val="both"/>
        <w:rPr>
          <w:rStyle w:val="Refdenotaalpie"/>
          <w:iCs/>
          <w:sz w:val="18"/>
          <w:szCs w:val="18"/>
          <w:vertAlign w:val="baseline"/>
        </w:rPr>
      </w:pPr>
      <w:r w:rsidRPr="00EA5BA5">
        <w:rPr>
          <w:rStyle w:val="Refdenotaalpie"/>
          <w:iCs/>
          <w:sz w:val="18"/>
          <w:szCs w:val="18"/>
          <w:vertAlign w:val="baseline"/>
        </w:rPr>
        <w:footnoteRef/>
      </w:r>
      <w:r w:rsidRPr="00EA5BA5">
        <w:rPr>
          <w:rStyle w:val="Refdenotaalpie"/>
          <w:iCs/>
          <w:sz w:val="18"/>
          <w:szCs w:val="18"/>
          <w:vertAlign w:val="baseline"/>
        </w:rPr>
        <w:t xml:space="preserve"> Para mayor referencia , ver Razones Fundar, El caso de los créditos fiscales Disponible en: </w:t>
      </w:r>
      <w:hyperlink r:id="rId6" w:history="1">
        <w:r w:rsidRPr="00EA5BA5">
          <w:rPr>
            <w:rStyle w:val="Refdenotaalpie"/>
            <w:iCs/>
            <w:sz w:val="18"/>
            <w:szCs w:val="18"/>
            <w:vertAlign w:val="baseline"/>
          </w:rPr>
          <w:t>http://fundar.org.mx/op/?page_id=735</w:t>
        </w:r>
      </w:hyperlink>
    </w:p>
  </w:footnote>
  <w:footnote w:id="25">
    <w:p w14:paraId="197F141A" w14:textId="77777777" w:rsidR="0032028D" w:rsidRPr="0040195F" w:rsidRDefault="0032028D" w:rsidP="001256F9">
      <w:pPr>
        <w:pStyle w:val="Textonotapie"/>
        <w:jc w:val="both"/>
        <w:rPr>
          <w:rStyle w:val="Refdenotaalpie"/>
          <w:iCs/>
          <w:sz w:val="18"/>
          <w:szCs w:val="18"/>
          <w:vertAlign w:val="baseline"/>
        </w:rPr>
      </w:pPr>
      <w:r w:rsidRPr="00EA5BA5">
        <w:rPr>
          <w:rStyle w:val="Refdenotaalpie"/>
          <w:iCs/>
          <w:sz w:val="18"/>
          <w:szCs w:val="18"/>
          <w:vertAlign w:val="baseline"/>
        </w:rPr>
        <w:footnoteRef/>
      </w:r>
      <w:r w:rsidRPr="00EA5BA5">
        <w:rPr>
          <w:rStyle w:val="Refdenotaalpie"/>
          <w:iCs/>
          <w:sz w:val="18"/>
          <w:szCs w:val="18"/>
          <w:vertAlign w:val="baseline"/>
        </w:rPr>
        <w:t xml:space="preserve"> Recientemente la Suprema Corte de Justicia de la Nación discutió la constitucionalidad del secreto fiscal, en donde algunos ministros señalaron </w:t>
      </w:r>
      <w:r w:rsidRPr="0040195F">
        <w:rPr>
          <w:rStyle w:val="Refdenotaalpie"/>
          <w:iCs/>
          <w:sz w:val="18"/>
          <w:szCs w:val="18"/>
          <w:vertAlign w:val="baseline"/>
        </w:rPr>
        <w:t>que las</w:t>
      </w:r>
      <w:r w:rsidRPr="00917F81">
        <w:rPr>
          <w:rStyle w:val="Refdenotaalpie"/>
          <w:iCs/>
          <w:vertAlign w:val="baseline"/>
        </w:rPr>
        <w:t xml:space="preserve"> </w:t>
      </w:r>
      <w:r w:rsidRPr="0040195F">
        <w:rPr>
          <w:rStyle w:val="Refdenotaalpie"/>
          <w:iCs/>
          <w:sz w:val="18"/>
          <w:szCs w:val="18"/>
          <w:vertAlign w:val="baseline"/>
        </w:rPr>
        <w:t>reservas absolutas de información son inconstitucionales. Se pronunciaron en</w:t>
      </w:r>
      <w:r w:rsidRPr="00917F81">
        <w:rPr>
          <w:rStyle w:val="Refdenotaalpie"/>
          <w:iCs/>
          <w:vertAlign w:val="baseline"/>
        </w:rPr>
        <w:t xml:space="preserve"> </w:t>
      </w:r>
      <w:r w:rsidRPr="0040195F">
        <w:rPr>
          <w:rStyle w:val="Refdenotaalpie"/>
          <w:iCs/>
          <w:sz w:val="18"/>
          <w:szCs w:val="18"/>
          <w:vertAlign w:val="baseline"/>
        </w:rPr>
        <w:t>este sentido los Ministros Arturo Zaldívar Lelo de Larrea y José Ramón Cossío Díaz.</w:t>
      </w:r>
    </w:p>
  </w:footnote>
  <w:footnote w:id="26">
    <w:p w14:paraId="3B32F2BA" w14:textId="77777777" w:rsidR="0032028D" w:rsidRPr="00FC0ABC" w:rsidRDefault="0032028D" w:rsidP="001256F9">
      <w:pPr>
        <w:pStyle w:val="Textonotapie"/>
        <w:jc w:val="both"/>
        <w:rPr>
          <w:rStyle w:val="Refdenotaalpie"/>
          <w:iCs/>
          <w:vertAlign w:val="baseline"/>
        </w:rPr>
      </w:pPr>
      <w:r w:rsidRPr="0040195F">
        <w:rPr>
          <w:rStyle w:val="Refdenotaalpie"/>
          <w:iCs/>
          <w:sz w:val="18"/>
          <w:szCs w:val="18"/>
          <w:vertAlign w:val="baseline"/>
        </w:rPr>
        <w:footnoteRef/>
      </w:r>
      <w:r w:rsidRPr="0040195F">
        <w:rPr>
          <w:rStyle w:val="Refdenotaalpie"/>
          <w:iCs/>
          <w:sz w:val="18"/>
          <w:szCs w:val="18"/>
          <w:vertAlign w:val="baseline"/>
        </w:rPr>
        <w:t xml:space="preserve"> En su voto particular el ministro José Ramón Cossío Díaz menciono que el secreto [fiscal] invierte la regla constitucional de acceso y máxima publicidad por la de reserva absoluta, automática y permanente, con base en una causal genérica. Discusión del Pleno de la Suprema Corte de Justicia de la Nación sobre la constitucionalidad del </w:t>
      </w:r>
      <w:proofErr w:type="spellStart"/>
      <w:r w:rsidRPr="0040195F">
        <w:rPr>
          <w:rStyle w:val="Refdenotaalpie"/>
          <w:iCs/>
          <w:sz w:val="18"/>
          <w:szCs w:val="18"/>
          <w:vertAlign w:val="baseline"/>
        </w:rPr>
        <w:t>articulo</w:t>
      </w:r>
      <w:proofErr w:type="spellEnd"/>
      <w:r w:rsidRPr="0040195F">
        <w:rPr>
          <w:rStyle w:val="Refdenotaalpie"/>
          <w:iCs/>
          <w:sz w:val="18"/>
          <w:szCs w:val="18"/>
          <w:vertAlign w:val="baseline"/>
        </w:rPr>
        <w:t xml:space="preserve"> 69 del Código Fiscal de la Federación (secreto fiscal). Disponible en : </w:t>
      </w:r>
      <w:hyperlink r:id="rId7" w:tgtFrame="_blank" w:history="1">
        <w:r w:rsidRPr="0040195F">
          <w:rPr>
            <w:rStyle w:val="Refdenotaalpie"/>
            <w:iCs/>
            <w:sz w:val="18"/>
            <w:szCs w:val="18"/>
            <w:vertAlign w:val="baseline"/>
          </w:rPr>
          <w:t>http://www.scjn.gob.mx/PLENO/ver_taquigraficas/09072012POsn.pdf</w:t>
        </w:r>
      </w:hyperlink>
    </w:p>
  </w:footnote>
  <w:footnote w:id="27">
    <w:p w14:paraId="19BCE6BF" w14:textId="77777777" w:rsidR="0032028D" w:rsidRPr="00E90756" w:rsidRDefault="0032028D" w:rsidP="008B65D5">
      <w:pPr>
        <w:pStyle w:val="Textonotapie"/>
        <w:jc w:val="both"/>
        <w:rPr>
          <w:sz w:val="18"/>
          <w:szCs w:val="18"/>
        </w:rPr>
      </w:pPr>
      <w:r w:rsidRPr="00E90756">
        <w:rPr>
          <w:rStyle w:val="Refdenotaalpie"/>
          <w:iCs/>
          <w:sz w:val="18"/>
          <w:szCs w:val="18"/>
          <w:vertAlign w:val="baseline"/>
        </w:rPr>
        <w:footnoteRef/>
      </w:r>
      <w:r w:rsidRPr="00E90756">
        <w:rPr>
          <w:rStyle w:val="Refdenotaalpie"/>
          <w:iCs/>
          <w:sz w:val="18"/>
          <w:szCs w:val="18"/>
          <w:vertAlign w:val="baseline"/>
        </w:rPr>
        <w:t xml:space="preserve"> López-</w:t>
      </w:r>
      <w:proofErr w:type="spellStart"/>
      <w:r w:rsidRPr="00E90756">
        <w:rPr>
          <w:rStyle w:val="Refdenotaalpie"/>
          <w:iCs/>
          <w:sz w:val="18"/>
          <w:szCs w:val="18"/>
          <w:vertAlign w:val="baseline"/>
        </w:rPr>
        <w:t>Ayllón</w:t>
      </w:r>
      <w:proofErr w:type="spellEnd"/>
      <w:r w:rsidRPr="00E90756">
        <w:rPr>
          <w:rStyle w:val="Refdenotaalpie"/>
          <w:iCs/>
          <w:sz w:val="18"/>
          <w:szCs w:val="18"/>
          <w:vertAlign w:val="baseline"/>
        </w:rPr>
        <w:t>, Sergio y Alejandro Posadas</w:t>
      </w:r>
      <w:r w:rsidRPr="00E90756">
        <w:rPr>
          <w:iCs/>
          <w:sz w:val="18"/>
          <w:szCs w:val="18"/>
        </w:rPr>
        <w:t xml:space="preserve">. </w:t>
      </w:r>
      <w:r w:rsidRPr="00E90756">
        <w:rPr>
          <w:rStyle w:val="Refdenotaalpie"/>
          <w:iCs/>
          <w:sz w:val="18"/>
          <w:szCs w:val="18"/>
          <w:vertAlign w:val="baseline"/>
        </w:rPr>
        <w:t>Las pruebas de daño e interés público en materia de acceso a la información. Una perspectiva comparada</w:t>
      </w:r>
      <w:r w:rsidRPr="00E90756">
        <w:rPr>
          <w:iCs/>
          <w:sz w:val="18"/>
          <w:szCs w:val="18"/>
        </w:rPr>
        <w:t xml:space="preserve">. </w:t>
      </w:r>
      <w:r w:rsidRPr="00E90756">
        <w:rPr>
          <w:rStyle w:val="Refdenotaalpie"/>
          <w:iCs/>
          <w:sz w:val="18"/>
          <w:szCs w:val="18"/>
          <w:vertAlign w:val="baseline"/>
        </w:rPr>
        <w:t>Disponible en</w:t>
      </w:r>
      <w:r w:rsidRPr="00E90756">
        <w:rPr>
          <w:sz w:val="18"/>
          <w:szCs w:val="18"/>
        </w:rPr>
        <w:t xml:space="preserve"> </w:t>
      </w:r>
      <w:r w:rsidRPr="00E90756">
        <w:rPr>
          <w:rStyle w:val="Refdenotaalpie"/>
          <w:iCs/>
          <w:sz w:val="18"/>
          <w:szCs w:val="18"/>
          <w:vertAlign w:val="baseline"/>
        </w:rPr>
        <w:t>línea:</w:t>
      </w:r>
      <w:r w:rsidRPr="00E90756">
        <w:rPr>
          <w:sz w:val="18"/>
          <w:szCs w:val="18"/>
        </w:rPr>
        <w:t xml:space="preserve"> </w:t>
      </w:r>
      <w:hyperlink r:id="rId8" w:history="1">
        <w:r w:rsidRPr="00E90756">
          <w:rPr>
            <w:color w:val="0000FF"/>
            <w:sz w:val="18"/>
            <w:szCs w:val="18"/>
            <w:u w:val="single"/>
          </w:rPr>
          <w:t>http://www.juridicas.unam.mx/publica/rev/decoin/cont/9/art/art2.htm</w:t>
        </w:r>
      </w:hyperlink>
    </w:p>
  </w:footnote>
  <w:footnote w:id="28">
    <w:p w14:paraId="2C9695C6" w14:textId="77777777" w:rsidR="0032028D" w:rsidRPr="00E51F9C" w:rsidRDefault="0032028D" w:rsidP="001256F9">
      <w:pPr>
        <w:pStyle w:val="Textonotapie"/>
        <w:jc w:val="both"/>
        <w:rPr>
          <w:rStyle w:val="Refdenotaalpie"/>
          <w:iCs/>
          <w:sz w:val="18"/>
          <w:szCs w:val="18"/>
          <w:vertAlign w:val="baseline"/>
        </w:rPr>
      </w:pPr>
      <w:r w:rsidRPr="00E51F9C">
        <w:rPr>
          <w:rStyle w:val="Refdenotaalpie"/>
          <w:iCs/>
          <w:sz w:val="18"/>
          <w:szCs w:val="18"/>
          <w:vertAlign w:val="baseline"/>
        </w:rPr>
        <w:footnoteRef/>
      </w:r>
      <w:r w:rsidRPr="00E51F9C">
        <w:rPr>
          <w:rStyle w:val="Refdenotaalpie"/>
          <w:iCs/>
          <w:sz w:val="18"/>
          <w:szCs w:val="18"/>
          <w:vertAlign w:val="baseline"/>
        </w:rPr>
        <w:t>Lineamientos Generales para la Clasificación y Desclasificación de la Información de las Dependencias y</w:t>
      </w:r>
      <w:r w:rsidRPr="00E51F9C">
        <w:rPr>
          <w:rStyle w:val="Refdenotaalpie"/>
          <w:sz w:val="18"/>
          <w:szCs w:val="18"/>
          <w:vertAlign w:val="baseline"/>
        </w:rPr>
        <w:t xml:space="preserve"> </w:t>
      </w:r>
      <w:r w:rsidRPr="00E51F9C">
        <w:rPr>
          <w:rStyle w:val="Refdenotaalpie"/>
          <w:iCs/>
          <w:sz w:val="18"/>
          <w:szCs w:val="18"/>
          <w:vertAlign w:val="baseline"/>
        </w:rPr>
        <w:t>Entidades de la Administración Pública Federal.</w:t>
      </w:r>
      <w:r w:rsidRPr="00E51F9C">
        <w:rPr>
          <w:rStyle w:val="Refdenotaalpie"/>
          <w:sz w:val="18"/>
          <w:szCs w:val="18"/>
          <w:vertAlign w:val="baseline"/>
        </w:rPr>
        <w:t xml:space="preserve"> Vigésimo Segundo:</w:t>
      </w:r>
      <w:r w:rsidRPr="00E51F9C">
        <w:rPr>
          <w:rStyle w:val="Refdenotaalpie"/>
          <w:iCs/>
          <w:sz w:val="18"/>
          <w:szCs w:val="18"/>
          <w:vertAlign w:val="baseline"/>
        </w:rPr>
        <w:t xml:space="preserve"> La información se clasificará como reservada en los términos de la fracción III del artículo 13 de la Ley, cuando se ponga en riesgo la estabilidad financiera, económica o monetaria del país, siempre que su difusión limite la efectividad de proveer a la economía del país de moneda nacional o afecte severamente la estabilidad del poder adquisitivo de dicha moneda o el desarrollo del sistema financiero en su conjunto y de los sistemas de pagos, en los términos de las disposiciones legales aplicables. </w:t>
      </w:r>
      <w:r w:rsidRPr="00E51F9C">
        <w:rPr>
          <w:rStyle w:val="Refdenotaalpie"/>
          <w:sz w:val="18"/>
          <w:szCs w:val="18"/>
          <w:vertAlign w:val="baseline"/>
        </w:rPr>
        <w:t>DOF, 18 de agosto de 2003</w:t>
      </w:r>
    </w:p>
  </w:footnote>
  <w:footnote w:id="29">
    <w:p w14:paraId="27FC9C5B" w14:textId="77777777" w:rsidR="0032028D" w:rsidRPr="00E51F9C" w:rsidRDefault="0032028D" w:rsidP="001256F9">
      <w:pPr>
        <w:pStyle w:val="Textonotapie"/>
        <w:jc w:val="both"/>
        <w:rPr>
          <w:sz w:val="18"/>
          <w:szCs w:val="18"/>
        </w:rPr>
      </w:pPr>
      <w:r w:rsidRPr="00E51F9C">
        <w:rPr>
          <w:rStyle w:val="Refdenotaalpie"/>
          <w:iCs/>
          <w:sz w:val="18"/>
          <w:szCs w:val="18"/>
          <w:vertAlign w:val="baseline"/>
        </w:rPr>
        <w:footnoteRef/>
      </w:r>
      <w:r w:rsidRPr="00E51F9C">
        <w:rPr>
          <w:rStyle w:val="Refdenotaalpie"/>
          <w:iCs/>
          <w:sz w:val="18"/>
          <w:szCs w:val="18"/>
          <w:vertAlign w:val="baseline"/>
        </w:rPr>
        <w:t>Principios de Johannesburgo, principio 12, disponible en</w:t>
      </w:r>
      <w:r w:rsidRPr="00E51F9C">
        <w:rPr>
          <w:iCs/>
          <w:sz w:val="18"/>
          <w:szCs w:val="18"/>
        </w:rPr>
        <w:t xml:space="preserve"> línea</w:t>
      </w:r>
      <w:r w:rsidRPr="00E51F9C">
        <w:rPr>
          <w:rStyle w:val="Refdenotaalpie"/>
          <w:iCs/>
          <w:sz w:val="18"/>
          <w:szCs w:val="18"/>
          <w:vertAlign w:val="baseline"/>
        </w:rPr>
        <w:t>:</w:t>
      </w:r>
      <w:r w:rsidRPr="00E51F9C">
        <w:rPr>
          <w:sz w:val="18"/>
          <w:szCs w:val="18"/>
        </w:rPr>
        <w:t xml:space="preserve"> </w:t>
      </w:r>
      <w:hyperlink r:id="rId9" w:history="1">
        <w:r w:rsidRPr="00E51F9C">
          <w:rPr>
            <w:color w:val="0000FF"/>
            <w:sz w:val="18"/>
            <w:szCs w:val="18"/>
            <w:u w:val="single"/>
          </w:rPr>
          <w:t>http://www.article19.org/data/files/medialibrary/1803/Johannesburg-Principles.Spa.pdf</w:t>
        </w:r>
      </w:hyperlink>
    </w:p>
  </w:footnote>
  <w:footnote w:id="30">
    <w:p w14:paraId="21071737" w14:textId="77777777" w:rsidR="0032028D" w:rsidRPr="00E51F9C" w:rsidRDefault="0032028D" w:rsidP="001256F9">
      <w:pPr>
        <w:pStyle w:val="Textonotapie"/>
        <w:jc w:val="both"/>
        <w:rPr>
          <w:rStyle w:val="Refdenotaalpie"/>
          <w:iCs/>
          <w:sz w:val="18"/>
          <w:szCs w:val="18"/>
          <w:vertAlign w:val="baseline"/>
        </w:rPr>
      </w:pPr>
      <w:r w:rsidRPr="00E51F9C">
        <w:rPr>
          <w:rStyle w:val="Refdenotaalpie"/>
          <w:iCs/>
          <w:sz w:val="18"/>
          <w:szCs w:val="18"/>
          <w:vertAlign w:val="baseline"/>
        </w:rPr>
        <w:footnoteRef/>
      </w:r>
      <w:r w:rsidRPr="00E51F9C">
        <w:rPr>
          <w:rStyle w:val="Refdenotaalpie"/>
          <w:iCs/>
          <w:sz w:val="18"/>
          <w:szCs w:val="18"/>
          <w:vertAlign w:val="baseline"/>
        </w:rPr>
        <w:t xml:space="preserve"> </w:t>
      </w:r>
      <w:r w:rsidRPr="00E51F9C">
        <w:rPr>
          <w:rStyle w:val="Refdenotaalpie"/>
          <w:i/>
          <w:iCs/>
          <w:sz w:val="18"/>
          <w:szCs w:val="18"/>
          <w:vertAlign w:val="baseline"/>
        </w:rPr>
        <w:t>Ibídem</w:t>
      </w:r>
      <w:r w:rsidRPr="00E51F9C">
        <w:rPr>
          <w:rStyle w:val="Refdenotaalpie"/>
          <w:iCs/>
          <w:sz w:val="18"/>
          <w:szCs w:val="18"/>
          <w:vertAlign w:val="baseline"/>
        </w:rPr>
        <w:t>, principio 13</w:t>
      </w:r>
      <w:r w:rsidRPr="00E51F9C">
        <w:rPr>
          <w:iCs/>
          <w:sz w:val="18"/>
          <w:szCs w:val="18"/>
        </w:rPr>
        <w:t>.</w:t>
      </w:r>
    </w:p>
  </w:footnote>
  <w:footnote w:id="31">
    <w:p w14:paraId="28126FC0" w14:textId="77777777" w:rsidR="0032028D" w:rsidRPr="00CE4517" w:rsidRDefault="0032028D" w:rsidP="001256F9">
      <w:pPr>
        <w:pStyle w:val="Textonotapie"/>
        <w:jc w:val="both"/>
        <w:rPr>
          <w:rStyle w:val="Refdenotaalpie"/>
          <w:iCs/>
          <w:sz w:val="18"/>
          <w:szCs w:val="18"/>
          <w:vertAlign w:val="baseline"/>
        </w:rPr>
      </w:pPr>
      <w:r w:rsidRPr="00CE4517">
        <w:rPr>
          <w:rStyle w:val="Refdenotaalpie"/>
          <w:iCs/>
          <w:sz w:val="18"/>
          <w:szCs w:val="18"/>
          <w:vertAlign w:val="baseline"/>
        </w:rPr>
        <w:footnoteRef/>
      </w:r>
      <w:r w:rsidRPr="00CE4517">
        <w:rPr>
          <w:rStyle w:val="Refdenotaalpie"/>
          <w:iCs/>
          <w:sz w:val="18"/>
          <w:szCs w:val="18"/>
          <w:vertAlign w:val="baseline"/>
        </w:rPr>
        <w:t>Lineamientos Generales para la Clasificación y Desclasificación de la Información de las Dependencias y</w:t>
      </w:r>
      <w:r w:rsidRPr="00CE4517">
        <w:rPr>
          <w:rStyle w:val="Refdenotaalpie"/>
          <w:sz w:val="18"/>
          <w:szCs w:val="18"/>
          <w:vertAlign w:val="baseline"/>
        </w:rPr>
        <w:t xml:space="preserve"> </w:t>
      </w:r>
      <w:r w:rsidRPr="00CE4517">
        <w:rPr>
          <w:rStyle w:val="Refdenotaalpie"/>
          <w:iCs/>
          <w:sz w:val="18"/>
          <w:szCs w:val="18"/>
          <w:vertAlign w:val="baseline"/>
        </w:rPr>
        <w:t>Entidades de la Administración Pública Federal.</w:t>
      </w:r>
      <w:r w:rsidRPr="00CE4517">
        <w:rPr>
          <w:rStyle w:val="Refdenotaalpie"/>
          <w:sz w:val="18"/>
          <w:szCs w:val="18"/>
          <w:vertAlign w:val="baseline"/>
        </w:rPr>
        <w:t xml:space="preserve"> Vigésimo Segundo</w:t>
      </w:r>
      <w:r w:rsidRPr="00CE4517">
        <w:rPr>
          <w:rStyle w:val="Refdenotaalpie"/>
          <w:iCs/>
          <w:sz w:val="18"/>
          <w:szCs w:val="18"/>
          <w:vertAlign w:val="baseline"/>
        </w:rPr>
        <w:t xml:space="preserve"> fracción IV. </w:t>
      </w:r>
      <w:r w:rsidRPr="00CE4517">
        <w:rPr>
          <w:rStyle w:val="Refdenotaalpie"/>
          <w:sz w:val="18"/>
          <w:szCs w:val="18"/>
          <w:vertAlign w:val="baseline"/>
        </w:rPr>
        <w:t>DOF, 18 de agosto de 2003</w:t>
      </w:r>
    </w:p>
  </w:footnote>
  <w:footnote w:id="32">
    <w:p w14:paraId="471DC268" w14:textId="77777777" w:rsidR="0032028D" w:rsidRPr="00CE4517" w:rsidRDefault="0032028D" w:rsidP="001256F9">
      <w:pPr>
        <w:pStyle w:val="Textonotapie"/>
        <w:jc w:val="both"/>
        <w:rPr>
          <w:rStyle w:val="Refdenotaalpie"/>
          <w:iCs/>
          <w:sz w:val="18"/>
          <w:szCs w:val="18"/>
          <w:vertAlign w:val="baseline"/>
        </w:rPr>
      </w:pPr>
      <w:r w:rsidRPr="00CE4517">
        <w:rPr>
          <w:rStyle w:val="Refdenotaalpie"/>
          <w:iCs/>
          <w:sz w:val="18"/>
          <w:szCs w:val="18"/>
          <w:vertAlign w:val="baseline"/>
        </w:rPr>
        <w:footnoteRef/>
      </w:r>
      <w:r w:rsidRPr="00CE4517">
        <w:rPr>
          <w:rStyle w:val="Refdenotaalpie"/>
          <w:iCs/>
          <w:sz w:val="18"/>
          <w:szCs w:val="18"/>
          <w:vertAlign w:val="baseline"/>
        </w:rPr>
        <w:t xml:space="preserve"> PECES-BARBA Martínez, Gregorio (2004). Lecciones de Derechos Fundamentales, colección Derechos Humanos y filosofía del derecho, </w:t>
      </w:r>
      <w:proofErr w:type="spellStart"/>
      <w:r w:rsidRPr="00CE4517">
        <w:rPr>
          <w:rStyle w:val="Refdenotaalpie"/>
          <w:iCs/>
          <w:sz w:val="18"/>
          <w:szCs w:val="18"/>
          <w:vertAlign w:val="baseline"/>
        </w:rPr>
        <w:t>Dykinson</w:t>
      </w:r>
      <w:proofErr w:type="spellEnd"/>
      <w:r w:rsidRPr="00CE4517">
        <w:rPr>
          <w:rStyle w:val="Refdenotaalpie"/>
          <w:iCs/>
          <w:sz w:val="18"/>
          <w:szCs w:val="18"/>
          <w:vertAlign w:val="baseline"/>
        </w:rPr>
        <w:t xml:space="preserve">, Madrid, España. Págs. 19-29. </w:t>
      </w:r>
    </w:p>
  </w:footnote>
  <w:footnote w:id="33">
    <w:p w14:paraId="5BB7D829" w14:textId="6C11447E" w:rsidR="0032028D" w:rsidRPr="00CE4517" w:rsidRDefault="0032028D" w:rsidP="001256F9">
      <w:pPr>
        <w:pStyle w:val="Textonotapie"/>
        <w:jc w:val="both"/>
        <w:rPr>
          <w:rStyle w:val="Refdenotaalpie"/>
          <w:iCs/>
          <w:sz w:val="18"/>
          <w:szCs w:val="18"/>
          <w:vertAlign w:val="baseline"/>
        </w:rPr>
      </w:pPr>
      <w:r w:rsidRPr="00CE4517">
        <w:rPr>
          <w:rStyle w:val="Refdenotaalpie"/>
          <w:iCs/>
          <w:sz w:val="18"/>
          <w:szCs w:val="18"/>
          <w:vertAlign w:val="baseline"/>
        </w:rPr>
        <w:footnoteRef/>
      </w:r>
      <w:r w:rsidRPr="00CE4517">
        <w:rPr>
          <w:rStyle w:val="Refdenotaalpie"/>
          <w:iCs/>
          <w:sz w:val="18"/>
          <w:szCs w:val="18"/>
          <w:vertAlign w:val="baseline"/>
        </w:rPr>
        <w:t xml:space="preserve"> </w:t>
      </w:r>
      <w:proofErr w:type="spellStart"/>
      <w:r w:rsidRPr="00CE4517">
        <w:rPr>
          <w:rStyle w:val="Refdenotaalpie"/>
          <w:iCs/>
          <w:sz w:val="18"/>
          <w:szCs w:val="18"/>
          <w:vertAlign w:val="baseline"/>
        </w:rPr>
        <w:t>Marván</w:t>
      </w:r>
      <w:proofErr w:type="spellEnd"/>
      <w:r w:rsidRPr="00CE4517">
        <w:rPr>
          <w:rStyle w:val="Refdenotaalpie"/>
          <w:iCs/>
          <w:sz w:val="18"/>
          <w:szCs w:val="18"/>
          <w:vertAlign w:val="baseline"/>
        </w:rPr>
        <w:t xml:space="preserve"> Laborde, María (2004).Introducción en El derecho de acceso a la información en México: un diagnóstico de la sociedad. IFAI, México. Pág.4</w:t>
      </w:r>
    </w:p>
  </w:footnote>
  <w:footnote w:id="34">
    <w:p w14:paraId="36EC8891" w14:textId="77777777" w:rsidR="0032028D" w:rsidRPr="00A476ED" w:rsidRDefault="0032028D" w:rsidP="001256F9">
      <w:pPr>
        <w:pStyle w:val="Textonotapie"/>
        <w:jc w:val="both"/>
        <w:rPr>
          <w:rStyle w:val="Refdenotaalpie"/>
          <w:iCs/>
          <w:sz w:val="18"/>
          <w:szCs w:val="18"/>
          <w:vertAlign w:val="baseline"/>
        </w:rPr>
      </w:pPr>
      <w:r w:rsidRPr="00A476ED">
        <w:rPr>
          <w:rStyle w:val="Refdenotaalpie"/>
          <w:iCs/>
          <w:sz w:val="18"/>
          <w:szCs w:val="18"/>
          <w:vertAlign w:val="baseline"/>
        </w:rPr>
        <w:footnoteRef/>
      </w:r>
      <w:r w:rsidRPr="00A476ED">
        <w:rPr>
          <w:rStyle w:val="Refdenotaalpie"/>
          <w:iCs/>
          <w:sz w:val="18"/>
          <w:szCs w:val="18"/>
          <w:vertAlign w:val="baseline"/>
        </w:rPr>
        <w:t xml:space="preserve"> Los Principios de Johannesburgo sobre la seguridad nacional, la</w:t>
      </w:r>
      <w:r w:rsidRPr="00A476ED">
        <w:rPr>
          <w:iCs/>
          <w:sz w:val="18"/>
          <w:szCs w:val="18"/>
        </w:rPr>
        <w:t xml:space="preserve"> </w:t>
      </w:r>
      <w:r w:rsidRPr="00A476ED">
        <w:rPr>
          <w:rStyle w:val="Refdenotaalpie"/>
          <w:iCs/>
          <w:sz w:val="18"/>
          <w:szCs w:val="18"/>
          <w:vertAlign w:val="baseline"/>
        </w:rPr>
        <w:t>libertad de expresión y el acceso a la información, artículos 15 y 16. Artículo 19, Londres, Reino Unido, 1996, Ed. Español 2005.</w:t>
      </w:r>
      <w:r w:rsidRPr="00A476ED">
        <w:rPr>
          <w:sz w:val="18"/>
          <w:szCs w:val="18"/>
        </w:rPr>
        <w:t xml:space="preserve"> Pág. 9</w:t>
      </w:r>
    </w:p>
  </w:footnote>
  <w:footnote w:id="35">
    <w:p w14:paraId="2B3FFD31" w14:textId="6D7D7501" w:rsidR="0032028D" w:rsidRPr="00A476ED" w:rsidRDefault="0032028D" w:rsidP="001256F9">
      <w:pPr>
        <w:pStyle w:val="Textonotapie"/>
        <w:jc w:val="both"/>
        <w:rPr>
          <w:sz w:val="18"/>
          <w:szCs w:val="18"/>
        </w:rPr>
      </w:pPr>
      <w:r w:rsidRPr="00A476ED">
        <w:rPr>
          <w:rStyle w:val="Refdenotaalpie"/>
          <w:iCs/>
          <w:sz w:val="18"/>
          <w:szCs w:val="18"/>
          <w:vertAlign w:val="baseline"/>
        </w:rPr>
        <w:footnoteRef/>
      </w:r>
      <w:r w:rsidRPr="00A476ED">
        <w:rPr>
          <w:rStyle w:val="Refdenotaalpie"/>
          <w:iCs/>
          <w:sz w:val="18"/>
          <w:szCs w:val="18"/>
          <w:vertAlign w:val="baseline"/>
        </w:rPr>
        <w:t xml:space="preserve"> Revisar el capítulo décimo segundo del Código de Buenas Prácticas y Alternativas para el Diseño de Leyes de Transparencia y Acceso a la Información Pública en México. Disponible en línea:</w:t>
      </w:r>
      <w:r w:rsidRPr="00A476ED">
        <w:rPr>
          <w:sz w:val="18"/>
          <w:szCs w:val="18"/>
        </w:rPr>
        <w:t xml:space="preserve"> </w:t>
      </w:r>
      <w:hyperlink r:id="rId10" w:history="1">
        <w:r w:rsidRPr="00A476ED">
          <w:rPr>
            <w:rStyle w:val="Hipervnculo"/>
            <w:sz w:val="18"/>
            <w:szCs w:val="18"/>
            <w:u w:val="none"/>
          </w:rPr>
          <w:t>http://sgc.uaeh.edu.mx/transparencia/images/LEGISLACION/LEYES_FEDERALES/CODIGO%20BUENAS%20PRACTICAS.pdf</w:t>
        </w:r>
      </w:hyperlink>
    </w:p>
  </w:footnote>
  <w:footnote w:id="36">
    <w:p w14:paraId="526D1BF4" w14:textId="62AA7A24" w:rsidR="0032028D" w:rsidRPr="00CB26F4" w:rsidRDefault="0032028D" w:rsidP="001256F9">
      <w:pPr>
        <w:pStyle w:val="Textonotapie"/>
        <w:rPr>
          <w:sz w:val="18"/>
          <w:szCs w:val="18"/>
        </w:rPr>
      </w:pPr>
      <w:r w:rsidRPr="00CB26F4">
        <w:rPr>
          <w:rStyle w:val="Refdenotaalpie"/>
          <w:sz w:val="18"/>
          <w:szCs w:val="18"/>
          <w:vertAlign w:val="baseline"/>
        </w:rPr>
        <w:footnoteRef/>
      </w:r>
      <w:r w:rsidRPr="00CB26F4">
        <w:rPr>
          <w:sz w:val="18"/>
          <w:szCs w:val="18"/>
        </w:rPr>
        <w:t xml:space="preserve"> Aspectos fundamentales para una reforma integral del derecho de acceso a la información. Disponible en: </w:t>
      </w:r>
      <w:hyperlink r:id="rId11" w:history="1">
        <w:r w:rsidRPr="00CB26F4">
          <w:rPr>
            <w:rStyle w:val="Hipervnculo"/>
            <w:sz w:val="18"/>
            <w:szCs w:val="18"/>
          </w:rPr>
          <w:t>http://rendiciondecuentas.org.mx/data/arch_docu/RI.pdf</w:t>
        </w:r>
      </w:hyperlink>
    </w:p>
  </w:footnote>
  <w:footnote w:id="37">
    <w:p w14:paraId="6374FD87" w14:textId="77777777" w:rsidR="0032028D" w:rsidRPr="00EC3482" w:rsidRDefault="0032028D" w:rsidP="001256F9">
      <w:pPr>
        <w:pStyle w:val="Textonotapie"/>
        <w:jc w:val="both"/>
        <w:rPr>
          <w:rStyle w:val="Refdenotaalpie"/>
          <w:iCs/>
          <w:vertAlign w:val="baseline"/>
        </w:rPr>
      </w:pPr>
      <w:r w:rsidRPr="002E4396">
        <w:rPr>
          <w:rStyle w:val="Refdenotaalpie"/>
          <w:iCs/>
          <w:sz w:val="18"/>
          <w:vertAlign w:val="baseline"/>
        </w:rPr>
        <w:footnoteRef/>
      </w:r>
      <w:r w:rsidRPr="002E4396">
        <w:rPr>
          <w:rStyle w:val="Refdenotaalpie"/>
          <w:iCs/>
          <w:sz w:val="18"/>
          <w:vertAlign w:val="baseline"/>
        </w:rPr>
        <w:t xml:space="preserve"> ARTICLE 19 y FUNDAR, Centro de Análisis e Investigación</w:t>
      </w:r>
      <w:r w:rsidRPr="002E4396">
        <w:rPr>
          <w:iCs/>
          <w:sz w:val="18"/>
        </w:rPr>
        <w:t>.</w:t>
      </w:r>
      <w:r w:rsidRPr="002E4396">
        <w:rPr>
          <w:rStyle w:val="Refdenotaalpie"/>
          <w:iCs/>
          <w:sz w:val="18"/>
          <w:vertAlign w:val="baseline"/>
        </w:rPr>
        <w:t xml:space="preserve"> Construyendo Legitimidad y Confianza, Transparencia, Rendición de Cuentas y Participación Ciudadana en los nombramientos de órganos autónomos y de autonomía limitada. Disponible en línea: http://www.fundar.org.mx/secciones/publicaciones/pdf/construyendo_leg.pdf</w:t>
      </w:r>
    </w:p>
  </w:footnote>
  <w:footnote w:id="38">
    <w:p w14:paraId="1F05BD86" w14:textId="77777777" w:rsidR="0032028D" w:rsidRPr="002E4396" w:rsidRDefault="0032028D" w:rsidP="00EC3482">
      <w:pPr>
        <w:pStyle w:val="Textonotapie"/>
        <w:jc w:val="both"/>
        <w:rPr>
          <w:rStyle w:val="Refdenotaalpie"/>
          <w:iCs/>
          <w:sz w:val="18"/>
          <w:szCs w:val="18"/>
        </w:rPr>
      </w:pPr>
      <w:r w:rsidRPr="002E4396">
        <w:rPr>
          <w:rStyle w:val="Refdenotaalpie"/>
          <w:iCs/>
          <w:sz w:val="22"/>
          <w:szCs w:val="18"/>
        </w:rPr>
        <w:footnoteRef/>
      </w:r>
      <w:r w:rsidRPr="002E4396">
        <w:rPr>
          <w:rStyle w:val="Refdenotaalpie"/>
          <w:iCs/>
          <w:sz w:val="22"/>
          <w:szCs w:val="18"/>
        </w:rPr>
        <w:t xml:space="preserve"> </w:t>
      </w:r>
      <w:proofErr w:type="spellStart"/>
      <w:r w:rsidRPr="002E4396">
        <w:rPr>
          <w:rStyle w:val="Refdenotaalpie"/>
          <w:iCs/>
          <w:sz w:val="22"/>
          <w:szCs w:val="18"/>
        </w:rPr>
        <w:t>Jardim</w:t>
      </w:r>
      <w:proofErr w:type="spellEnd"/>
      <w:r w:rsidRPr="002E4396">
        <w:rPr>
          <w:rStyle w:val="Refdenotaalpie"/>
          <w:iCs/>
          <w:sz w:val="22"/>
          <w:szCs w:val="18"/>
        </w:rPr>
        <w:t xml:space="preserve">, José María citado por Arellano </w:t>
      </w:r>
      <w:proofErr w:type="spellStart"/>
      <w:r w:rsidRPr="002E4396">
        <w:rPr>
          <w:rStyle w:val="Refdenotaalpie"/>
          <w:iCs/>
          <w:sz w:val="22"/>
          <w:szCs w:val="18"/>
        </w:rPr>
        <w:t>Gault</w:t>
      </w:r>
      <w:proofErr w:type="spellEnd"/>
      <w:r w:rsidRPr="002E4396">
        <w:rPr>
          <w:rStyle w:val="Refdenotaalpie"/>
          <w:iCs/>
          <w:sz w:val="22"/>
          <w:szCs w:val="18"/>
        </w:rPr>
        <w:t xml:space="preserve">, David y Walter </w:t>
      </w:r>
      <w:proofErr w:type="spellStart"/>
      <w:r w:rsidRPr="002E4396">
        <w:rPr>
          <w:rStyle w:val="Refdenotaalpie"/>
          <w:iCs/>
          <w:sz w:val="22"/>
          <w:szCs w:val="18"/>
        </w:rPr>
        <w:t>Lepore</w:t>
      </w:r>
      <w:proofErr w:type="spellEnd"/>
      <w:r w:rsidRPr="002E4396">
        <w:rPr>
          <w:rStyle w:val="Refdenotaalpie"/>
          <w:iCs/>
          <w:sz w:val="22"/>
          <w:szCs w:val="18"/>
        </w:rPr>
        <w:t xml:space="preserve"> en Una premisa olvidada, la gestión de la documentación. Cejudo, Guillermo et al (ed.), La política de transparencia en México, 2012, CIDE, México.</w:t>
      </w:r>
    </w:p>
  </w:footnote>
  <w:footnote w:id="39">
    <w:p w14:paraId="2966D7BA" w14:textId="77777777" w:rsidR="0032028D" w:rsidRPr="00917F81" w:rsidRDefault="0032028D" w:rsidP="00E35717">
      <w:pPr>
        <w:pStyle w:val="Textonotapie"/>
        <w:jc w:val="both"/>
        <w:rPr>
          <w:rStyle w:val="Refdenotaalpie"/>
          <w:iCs/>
          <w:vertAlign w:val="baseline"/>
        </w:rPr>
      </w:pPr>
      <w:r w:rsidRPr="00917F81">
        <w:rPr>
          <w:rStyle w:val="Refdenotaalpie"/>
          <w:iCs/>
          <w:vertAlign w:val="baseline"/>
        </w:rPr>
        <w:footnoteRef/>
      </w:r>
      <w:r w:rsidRPr="00917F81">
        <w:rPr>
          <w:rStyle w:val="Refdenotaalpie"/>
          <w:iCs/>
          <w:vertAlign w:val="baseline"/>
        </w:rPr>
        <w:t xml:space="preserve"> Observación General No 20</w:t>
      </w:r>
      <w:r w:rsidRPr="00917F81">
        <w:rPr>
          <w:rStyle w:val="Refdenotaalpie"/>
          <w:vertAlign w:val="baseline"/>
        </w:rPr>
        <w:t xml:space="preserve"> del CDESC. </w:t>
      </w:r>
      <w:r w:rsidRPr="00917F81">
        <w:rPr>
          <w:rStyle w:val="Refdenotaalpie"/>
          <w:iCs/>
          <w:vertAlign w:val="baseline"/>
        </w:rPr>
        <w:t>La No Discriminación y los derechos económicos, sociales y culturales (artículo 2, párrafo 2 del Pacto Internacional de Derechos Económicos, Sociales y Culturales)</w:t>
      </w:r>
      <w:r w:rsidRPr="00917F81">
        <w:rPr>
          <w:rStyle w:val="Refdenotaalpie"/>
          <w:vertAlign w:val="baseline"/>
        </w:rPr>
        <w:t xml:space="preserve">, 2009. Pág. 5. </w:t>
      </w:r>
      <w:r w:rsidRPr="00917F81">
        <w:rPr>
          <w:rStyle w:val="Refdenotaalpie"/>
          <w:iCs/>
          <w:vertAlign w:val="baseline"/>
        </w:rPr>
        <w:t xml:space="preserve">Disponible en línea: </w:t>
      </w:r>
      <w:hyperlink r:id="rId12" w:history="1">
        <w:r w:rsidRPr="00917F81">
          <w:rPr>
            <w:rStyle w:val="Refdenotaalpie"/>
            <w:iCs/>
            <w:vertAlign w:val="baseline"/>
          </w:rPr>
          <w:t>http://www.observatoriopoliticasocial.org/images/stories/biblioteca/pdf/documentos-sistema-naciones-unidas/observacionesgenerales/20_no_discriminacion.pdf</w:t>
        </w:r>
      </w:hyperlink>
    </w:p>
  </w:footnote>
  <w:footnote w:id="40">
    <w:p w14:paraId="7A7585BF" w14:textId="77777777" w:rsidR="0032028D" w:rsidRPr="00BE2833" w:rsidRDefault="0032028D" w:rsidP="00917F81">
      <w:pPr>
        <w:pStyle w:val="Textonotapie"/>
        <w:rPr>
          <w:sz w:val="16"/>
          <w:szCs w:val="16"/>
        </w:rPr>
      </w:pPr>
      <w:r w:rsidRPr="00BE2833">
        <w:rPr>
          <w:rStyle w:val="Refdenotaalpie"/>
        </w:rPr>
        <w:footnoteRef/>
      </w:r>
      <w:r w:rsidRPr="00BE2833">
        <w:rPr>
          <w:sz w:val="16"/>
          <w:szCs w:val="16"/>
        </w:rPr>
        <w:t xml:space="preserve"> Disponible en línea: </w:t>
      </w:r>
      <w:hyperlink r:id="rId13" w:history="1">
        <w:r w:rsidRPr="00BE2833">
          <w:rPr>
            <w:rStyle w:val="Hipervnculo"/>
            <w:sz w:val="16"/>
            <w:szCs w:val="16"/>
          </w:rPr>
          <w:t>http://opendatahandbook.org/es/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2EE62" w14:textId="33666FA9" w:rsidR="0032028D" w:rsidRPr="00DC2292" w:rsidRDefault="0032028D" w:rsidP="003E7F38">
    <w:pPr>
      <w:pStyle w:val="Encabezado"/>
      <w:jc w:val="right"/>
      <w:rPr>
        <w:rStyle w:val="Textoennegrita"/>
      </w:rPr>
    </w:pPr>
    <w:sdt>
      <w:sdtPr>
        <w:rPr>
          <w:rStyle w:val="Textoennegrita"/>
        </w:rPr>
        <w:id w:val="-139665727"/>
        <w:docPartObj>
          <w:docPartGallery w:val="Page Numbers (Margins)"/>
          <w:docPartUnique/>
        </w:docPartObj>
      </w:sdtPr>
      <w:sdtContent>
        <w:r w:rsidRPr="009C22A3">
          <w:rPr>
            <w:rStyle w:val="Textoennegrita"/>
            <w:noProof/>
            <w:lang w:val="es-MX" w:eastAsia="es-MX"/>
          </w:rPr>
          <mc:AlternateContent>
            <mc:Choice Requires="wps">
              <w:drawing>
                <wp:anchor distT="0" distB="0" distL="114300" distR="114300" simplePos="0" relativeHeight="251659264" behindDoc="0" locked="0" layoutInCell="0" allowOverlap="1" wp14:anchorId="05B76D24" wp14:editId="450B8F75">
                  <wp:simplePos x="0" y="0"/>
                  <wp:positionH relativeFrom="leftMargin">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477520" cy="477520"/>
                  <wp:effectExtent l="0" t="0" r="8255" b="8255"/>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8E2A257" w14:textId="77777777" w:rsidR="0032028D" w:rsidRDefault="0032028D">
                              <w:pPr>
                                <w:jc w:val="right"/>
                                <w:rPr>
                                  <w:rStyle w:val="Nmerodepgina"/>
                                  <w:szCs w:val="24"/>
                                </w:rPr>
                              </w:pPr>
                              <w:r>
                                <w:rPr>
                                  <w:color w:val="auto"/>
                                  <w:sz w:val="22"/>
                                  <w:szCs w:val="22"/>
                                </w:rPr>
                                <w:fldChar w:fldCharType="begin"/>
                              </w:r>
                              <w:r>
                                <w:instrText>PAGE    \* MERGEFORMAT</w:instrText>
                              </w:r>
                              <w:r>
                                <w:rPr>
                                  <w:color w:val="auto"/>
                                  <w:sz w:val="22"/>
                                  <w:szCs w:val="22"/>
                                </w:rPr>
                                <w:fldChar w:fldCharType="separate"/>
                              </w:r>
                              <w:r w:rsidR="00291E7F" w:rsidRPr="00291E7F">
                                <w:rPr>
                                  <w:rStyle w:val="Nmerodepgina"/>
                                  <w:b/>
                                  <w:bCs/>
                                  <w:noProof/>
                                  <w:color w:val="FFFFFF" w:themeColor="background1"/>
                                  <w:sz w:val="24"/>
                                  <w:szCs w:val="24"/>
                                  <w:lang w:val="es-ES"/>
                                </w:rPr>
                                <w:t>13</w:t>
                              </w:r>
                              <w:r>
                                <w:rPr>
                                  <w:rStyle w:val="Nmerodepgina"/>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B76D24" id="Elipse 2" o:spid="_x0000_s1026" style="position:absolute;left:0;text-align:left;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lef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" o:allowincell="f" fillcolor="#9dbb61" stroked="f">
                  <v:textbox inset="0,,0">
                    <w:txbxContent>
                      <w:p w14:paraId="68E2A257" w14:textId="77777777" w:rsidR="0032028D" w:rsidRDefault="0032028D">
                        <w:pPr>
                          <w:jc w:val="right"/>
                          <w:rPr>
                            <w:rStyle w:val="Nmerodepgina"/>
                            <w:szCs w:val="24"/>
                          </w:rPr>
                        </w:pPr>
                        <w:r>
                          <w:rPr>
                            <w:color w:val="auto"/>
                            <w:sz w:val="22"/>
                            <w:szCs w:val="22"/>
                          </w:rPr>
                          <w:fldChar w:fldCharType="begin"/>
                        </w:r>
                        <w:r>
                          <w:instrText>PAGE    \* MERGEFORMAT</w:instrText>
                        </w:r>
                        <w:r>
                          <w:rPr>
                            <w:color w:val="auto"/>
                            <w:sz w:val="22"/>
                            <w:szCs w:val="22"/>
                          </w:rPr>
                          <w:fldChar w:fldCharType="separate"/>
                        </w:r>
                        <w:r w:rsidR="00291E7F" w:rsidRPr="00291E7F">
                          <w:rPr>
                            <w:rStyle w:val="Nmerodepgina"/>
                            <w:b/>
                            <w:bCs/>
                            <w:noProof/>
                            <w:color w:val="FFFFFF" w:themeColor="background1"/>
                            <w:sz w:val="24"/>
                            <w:szCs w:val="24"/>
                            <w:lang w:val="es-ES"/>
                          </w:rPr>
                          <w:t>13</w:t>
                        </w:r>
                        <w:r>
                          <w:rPr>
                            <w:rStyle w:val="Nmerodepgina"/>
                            <w:b/>
                            <w:bCs/>
                            <w:color w:val="FFFFFF" w:themeColor="background1"/>
                            <w:sz w:val="24"/>
                            <w:szCs w:val="24"/>
                          </w:rPr>
                          <w:fldChar w:fldCharType="end"/>
                        </w:r>
                      </w:p>
                    </w:txbxContent>
                  </v:textbox>
                  <w10:wrap anchorx="margin" anchory="page"/>
                </v:oval>
              </w:pict>
            </mc:Fallback>
          </mc:AlternateContent>
        </w:r>
      </w:sdtContent>
    </w:sdt>
    <w:r w:rsidRPr="00DC2292">
      <w:rPr>
        <w:rStyle w:val="Textoennegrita"/>
      </w:rPr>
      <w:t>CENTRO DE INVESTIGACIÓN Y ANÁLISIS</w:t>
    </w:r>
  </w:p>
  <w:p w14:paraId="4C8FE690" w14:textId="77777777" w:rsidR="0032028D" w:rsidRPr="00DC2292" w:rsidRDefault="0032028D" w:rsidP="003E7F38">
    <w:pPr>
      <w:pStyle w:val="Encabezado"/>
      <w:jc w:val="right"/>
      <w:rPr>
        <w:rStyle w:val="Textoennegrita"/>
      </w:rPr>
    </w:pPr>
    <w:r w:rsidRPr="00DC2292">
      <w:rPr>
        <w:rStyle w:val="Textoennegrita"/>
      </w:rPr>
      <w:t>FUNDAR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56426D"/>
    <w:multiLevelType w:val="multilevel"/>
    <w:tmpl w:val="54DE5D9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1573150B"/>
    <w:multiLevelType w:val="hybridMultilevel"/>
    <w:tmpl w:val="DC6803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A876164"/>
    <w:multiLevelType w:val="hybridMultilevel"/>
    <w:tmpl w:val="75941BD2"/>
    <w:lvl w:ilvl="0" w:tplc="D4EA97F0">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BE30F83"/>
    <w:multiLevelType w:val="hybridMultilevel"/>
    <w:tmpl w:val="A6F2162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248424A4"/>
    <w:multiLevelType w:val="multilevel"/>
    <w:tmpl w:val="CF80E468"/>
    <w:lvl w:ilvl="0">
      <w:start w:val="11"/>
      <w:numFmt w:val="decimal"/>
      <w:lvlText w:val="%1"/>
      <w:lvlJc w:val="left"/>
      <w:pPr>
        <w:ind w:left="516" w:hanging="516"/>
      </w:pPr>
      <w:rPr>
        <w:rFonts w:hint="default"/>
        <w:b/>
      </w:rPr>
    </w:lvl>
    <w:lvl w:ilvl="1">
      <w:start w:val="1"/>
      <w:numFmt w:val="decimal"/>
      <w:lvlText w:val="%1.%2"/>
      <w:lvlJc w:val="left"/>
      <w:pPr>
        <w:ind w:left="1236" w:hanging="516"/>
      </w:pPr>
      <w:rPr>
        <w:rFonts w:hint="default"/>
        <w:b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6">
    <w:nsid w:val="27B45A5E"/>
    <w:multiLevelType w:val="hybridMultilevel"/>
    <w:tmpl w:val="DF18566E"/>
    <w:lvl w:ilvl="0" w:tplc="0C0A0001">
      <w:start w:val="1"/>
      <w:numFmt w:val="bullet"/>
      <w:lvlText w:val=""/>
      <w:lvlJc w:val="left"/>
      <w:pPr>
        <w:ind w:left="1778" w:hanging="360"/>
      </w:pPr>
      <w:rPr>
        <w:rFonts w:ascii="Symbol" w:hAnsi="Symbol" w:hint="default"/>
      </w:rPr>
    </w:lvl>
    <w:lvl w:ilvl="1" w:tplc="0C0A0003" w:tentative="1">
      <w:start w:val="1"/>
      <w:numFmt w:val="bullet"/>
      <w:lvlText w:val="o"/>
      <w:lvlJc w:val="left"/>
      <w:pPr>
        <w:ind w:left="2498" w:hanging="360"/>
      </w:pPr>
      <w:rPr>
        <w:rFonts w:ascii="Courier New" w:hAnsi="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7">
    <w:nsid w:val="29210549"/>
    <w:multiLevelType w:val="multilevel"/>
    <w:tmpl w:val="BDB45AFE"/>
    <w:lvl w:ilvl="0">
      <w:start w:val="13"/>
      <w:numFmt w:val="decimal"/>
      <w:lvlText w:val="%1"/>
      <w:lvlJc w:val="left"/>
      <w:pPr>
        <w:ind w:left="580" w:hanging="5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2BFB7889"/>
    <w:multiLevelType w:val="hybridMultilevel"/>
    <w:tmpl w:val="08A4CAAE"/>
    <w:lvl w:ilvl="0" w:tplc="4A087F5A">
      <w:start w:val="14"/>
      <w:numFmt w:val="decimal"/>
      <w:lvlText w:val="%1."/>
      <w:lvlJc w:val="left"/>
      <w:pPr>
        <w:ind w:left="780" w:hanging="420"/>
      </w:pPr>
      <w:rPr>
        <w:rFonts w:hint="default"/>
      </w:rPr>
    </w:lvl>
    <w:lvl w:ilvl="1" w:tplc="0FC0855C">
      <w:start w:val="1"/>
      <w:numFmt w:val="lowerLetter"/>
      <w:lvlText w:val="%2."/>
      <w:lvlJc w:val="left"/>
      <w:pPr>
        <w:ind w:left="1440" w:hanging="360"/>
      </w:pPr>
      <w:rPr>
        <w:color w:val="0F243E" w:themeColor="text2" w:themeShade="8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CF03F78"/>
    <w:multiLevelType w:val="multilevel"/>
    <w:tmpl w:val="63C85E64"/>
    <w:lvl w:ilvl="0">
      <w:start w:val="11"/>
      <w:numFmt w:val="decimal"/>
      <w:lvlText w:val="%1"/>
      <w:lvlJc w:val="left"/>
      <w:pPr>
        <w:ind w:left="516" w:hanging="516"/>
      </w:pPr>
      <w:rPr>
        <w:rFonts w:hint="default"/>
        <w:b/>
      </w:rPr>
    </w:lvl>
    <w:lvl w:ilvl="1">
      <w:start w:val="1"/>
      <w:numFmt w:val="decimal"/>
      <w:lvlText w:val="%1.%2"/>
      <w:lvlJc w:val="left"/>
      <w:pPr>
        <w:ind w:left="516" w:hanging="51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nsid w:val="2E16337A"/>
    <w:multiLevelType w:val="multilevel"/>
    <w:tmpl w:val="DE4CBA9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1">
    <w:nsid w:val="302008BA"/>
    <w:multiLevelType w:val="hybridMultilevel"/>
    <w:tmpl w:val="12FE04FC"/>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2">
    <w:nsid w:val="400000E1"/>
    <w:multiLevelType w:val="multilevel"/>
    <w:tmpl w:val="E758A50C"/>
    <w:lvl w:ilvl="0">
      <w:start w:val="13"/>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40C506B7"/>
    <w:multiLevelType w:val="hybridMultilevel"/>
    <w:tmpl w:val="895E3BEE"/>
    <w:lvl w:ilvl="0" w:tplc="7C9E364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AC03244"/>
    <w:multiLevelType w:val="hybridMultilevel"/>
    <w:tmpl w:val="C53890F2"/>
    <w:lvl w:ilvl="0" w:tplc="A36E46AC">
      <w:start w:val="2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68C519A3"/>
    <w:multiLevelType w:val="multilevel"/>
    <w:tmpl w:val="36B2C924"/>
    <w:lvl w:ilvl="0">
      <w:start w:val="22"/>
      <w:numFmt w:val="decimal"/>
      <w:lvlText w:val="%1."/>
      <w:lvlJc w:val="left"/>
      <w:pPr>
        <w:ind w:left="1140" w:hanging="4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108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5040" w:hanging="1440"/>
      </w:pPr>
      <w:rPr>
        <w:rFonts w:hint="default"/>
      </w:rPr>
    </w:lvl>
    <w:lvl w:ilvl="5">
      <w:start w:val="1"/>
      <w:numFmt w:val="decimal"/>
      <w:isLgl/>
      <w:lvlText w:val="%1.%2.%3.%4.%5.%6."/>
      <w:lvlJc w:val="left"/>
      <w:pPr>
        <w:ind w:left="6120" w:hanging="1800"/>
      </w:pPr>
      <w:rPr>
        <w:rFonts w:hint="default"/>
      </w:rPr>
    </w:lvl>
    <w:lvl w:ilvl="6">
      <w:start w:val="1"/>
      <w:numFmt w:val="decimal"/>
      <w:isLgl/>
      <w:lvlText w:val="%1.%2.%3.%4.%5.%6.%7."/>
      <w:lvlJc w:val="left"/>
      <w:pPr>
        <w:ind w:left="7200" w:hanging="2160"/>
      </w:pPr>
      <w:rPr>
        <w:rFonts w:hint="default"/>
      </w:rPr>
    </w:lvl>
    <w:lvl w:ilvl="7">
      <w:start w:val="1"/>
      <w:numFmt w:val="decimal"/>
      <w:isLgl/>
      <w:lvlText w:val="%1.%2.%3.%4.%5.%6.%7.%8."/>
      <w:lvlJc w:val="left"/>
      <w:pPr>
        <w:ind w:left="7920" w:hanging="2160"/>
      </w:pPr>
      <w:rPr>
        <w:rFonts w:hint="default"/>
      </w:rPr>
    </w:lvl>
    <w:lvl w:ilvl="8">
      <w:start w:val="1"/>
      <w:numFmt w:val="decimal"/>
      <w:isLgl/>
      <w:lvlText w:val="%1.%2.%3.%4.%5.%6.%7.%8.%9."/>
      <w:lvlJc w:val="left"/>
      <w:pPr>
        <w:ind w:left="9000" w:hanging="2520"/>
      </w:pPr>
      <w:rPr>
        <w:rFonts w:hint="default"/>
      </w:rPr>
    </w:lvl>
  </w:abstractNum>
  <w:abstractNum w:abstractNumId="16">
    <w:nsid w:val="72655C49"/>
    <w:multiLevelType w:val="multilevel"/>
    <w:tmpl w:val="7034F1F2"/>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7">
    <w:nsid w:val="727E19B5"/>
    <w:multiLevelType w:val="hybridMultilevel"/>
    <w:tmpl w:val="1F30E6E0"/>
    <w:lvl w:ilvl="0" w:tplc="ADCE596C">
      <w:start w:val="13"/>
      <w:numFmt w:val="decimal"/>
      <w:lvlText w:val="%1."/>
      <w:lvlJc w:val="left"/>
      <w:pPr>
        <w:ind w:left="732" w:hanging="372"/>
      </w:pPr>
      <w:rPr>
        <w:rFonts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73486CCC"/>
    <w:multiLevelType w:val="hybridMultilevel"/>
    <w:tmpl w:val="2620EA4E"/>
    <w:lvl w:ilvl="0" w:tplc="08C85876">
      <w:start w:val="19"/>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4"/>
  </w:num>
  <w:num w:numId="4">
    <w:abstractNumId w:val="1"/>
  </w:num>
  <w:num w:numId="5">
    <w:abstractNumId w:val="16"/>
  </w:num>
  <w:num w:numId="6">
    <w:abstractNumId w:val="19"/>
  </w:num>
  <w:num w:numId="7">
    <w:abstractNumId w:val="6"/>
  </w:num>
  <w:num w:numId="8">
    <w:abstractNumId w:val="13"/>
  </w:num>
  <w:num w:numId="9">
    <w:abstractNumId w:val="0"/>
  </w:num>
  <w:num w:numId="10">
    <w:abstractNumId w:val="12"/>
  </w:num>
  <w:num w:numId="11">
    <w:abstractNumId w:val="3"/>
  </w:num>
  <w:num w:numId="12">
    <w:abstractNumId w:val="7"/>
  </w:num>
  <w:num w:numId="13">
    <w:abstractNumId w:val="8"/>
  </w:num>
  <w:num w:numId="14">
    <w:abstractNumId w:val="14"/>
  </w:num>
  <w:num w:numId="15">
    <w:abstractNumId w:val="15"/>
  </w:num>
  <w:num w:numId="16">
    <w:abstractNumId w:val="11"/>
  </w:num>
  <w:num w:numId="17">
    <w:abstractNumId w:val="9"/>
  </w:num>
  <w:num w:numId="18">
    <w:abstractNumId w:val="5"/>
  </w:num>
  <w:num w:numId="19">
    <w:abstractNumId w:val="1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6F9"/>
    <w:rsid w:val="00002A42"/>
    <w:rsid w:val="00011BB5"/>
    <w:rsid w:val="00021283"/>
    <w:rsid w:val="000235F8"/>
    <w:rsid w:val="000242C9"/>
    <w:rsid w:val="00027467"/>
    <w:rsid w:val="0003055E"/>
    <w:rsid w:val="00031CAF"/>
    <w:rsid w:val="000419B3"/>
    <w:rsid w:val="00042AA1"/>
    <w:rsid w:val="000449EF"/>
    <w:rsid w:val="000538DC"/>
    <w:rsid w:val="00054B68"/>
    <w:rsid w:val="00063A28"/>
    <w:rsid w:val="00066378"/>
    <w:rsid w:val="00066F02"/>
    <w:rsid w:val="000701F4"/>
    <w:rsid w:val="00071AF5"/>
    <w:rsid w:val="00073784"/>
    <w:rsid w:val="00082E42"/>
    <w:rsid w:val="00084CBC"/>
    <w:rsid w:val="0008662E"/>
    <w:rsid w:val="000A275B"/>
    <w:rsid w:val="000B1AA2"/>
    <w:rsid w:val="000B4E6B"/>
    <w:rsid w:val="000C4844"/>
    <w:rsid w:val="000C6588"/>
    <w:rsid w:val="000E365D"/>
    <w:rsid w:val="000F183E"/>
    <w:rsid w:val="000F3C48"/>
    <w:rsid w:val="000F43E2"/>
    <w:rsid w:val="000F7254"/>
    <w:rsid w:val="00101B2B"/>
    <w:rsid w:val="00104FF4"/>
    <w:rsid w:val="00106D1D"/>
    <w:rsid w:val="0011134B"/>
    <w:rsid w:val="0011260A"/>
    <w:rsid w:val="0011663E"/>
    <w:rsid w:val="0011672D"/>
    <w:rsid w:val="001256F9"/>
    <w:rsid w:val="00132095"/>
    <w:rsid w:val="00137866"/>
    <w:rsid w:val="001414F1"/>
    <w:rsid w:val="00141662"/>
    <w:rsid w:val="001422DC"/>
    <w:rsid w:val="00144D77"/>
    <w:rsid w:val="001465A1"/>
    <w:rsid w:val="00155D65"/>
    <w:rsid w:val="00160223"/>
    <w:rsid w:val="00163393"/>
    <w:rsid w:val="00167A54"/>
    <w:rsid w:val="00171798"/>
    <w:rsid w:val="0017482A"/>
    <w:rsid w:val="001752EA"/>
    <w:rsid w:val="00183CC4"/>
    <w:rsid w:val="00185A47"/>
    <w:rsid w:val="0019145F"/>
    <w:rsid w:val="00191B2C"/>
    <w:rsid w:val="001A31B4"/>
    <w:rsid w:val="001A64C2"/>
    <w:rsid w:val="001B72CB"/>
    <w:rsid w:val="001C0226"/>
    <w:rsid w:val="001D42F5"/>
    <w:rsid w:val="001D4630"/>
    <w:rsid w:val="001E08E7"/>
    <w:rsid w:val="001E23FC"/>
    <w:rsid w:val="001E2B53"/>
    <w:rsid w:val="001E687E"/>
    <w:rsid w:val="001E7A58"/>
    <w:rsid w:val="001E7CCC"/>
    <w:rsid w:val="001F04B7"/>
    <w:rsid w:val="001F5E84"/>
    <w:rsid w:val="00201529"/>
    <w:rsid w:val="002033A8"/>
    <w:rsid w:val="002034BD"/>
    <w:rsid w:val="00205903"/>
    <w:rsid w:val="002059DC"/>
    <w:rsid w:val="00207E82"/>
    <w:rsid w:val="00211C73"/>
    <w:rsid w:val="00214ADB"/>
    <w:rsid w:val="00217BE3"/>
    <w:rsid w:val="002208F3"/>
    <w:rsid w:val="002219E2"/>
    <w:rsid w:val="0022263E"/>
    <w:rsid w:val="00222EE0"/>
    <w:rsid w:val="0023136D"/>
    <w:rsid w:val="00232517"/>
    <w:rsid w:val="002343F4"/>
    <w:rsid w:val="00236B94"/>
    <w:rsid w:val="00241E1B"/>
    <w:rsid w:val="00242983"/>
    <w:rsid w:val="002514E1"/>
    <w:rsid w:val="00251E12"/>
    <w:rsid w:val="00252E19"/>
    <w:rsid w:val="00256130"/>
    <w:rsid w:val="00262D12"/>
    <w:rsid w:val="002660F1"/>
    <w:rsid w:val="00274CCA"/>
    <w:rsid w:val="00280015"/>
    <w:rsid w:val="00280AB1"/>
    <w:rsid w:val="00280D7C"/>
    <w:rsid w:val="00281EB7"/>
    <w:rsid w:val="00284812"/>
    <w:rsid w:val="002864DD"/>
    <w:rsid w:val="00286755"/>
    <w:rsid w:val="00291E7F"/>
    <w:rsid w:val="002938FC"/>
    <w:rsid w:val="00296F85"/>
    <w:rsid w:val="002A0D24"/>
    <w:rsid w:val="002A0F6A"/>
    <w:rsid w:val="002A441B"/>
    <w:rsid w:val="002B065D"/>
    <w:rsid w:val="002B1810"/>
    <w:rsid w:val="002B2ECC"/>
    <w:rsid w:val="002B3FFE"/>
    <w:rsid w:val="002C1E75"/>
    <w:rsid w:val="002C2635"/>
    <w:rsid w:val="002C5284"/>
    <w:rsid w:val="002E4396"/>
    <w:rsid w:val="002E4EE2"/>
    <w:rsid w:val="002E5C5C"/>
    <w:rsid w:val="002F3D57"/>
    <w:rsid w:val="0030099C"/>
    <w:rsid w:val="00304B51"/>
    <w:rsid w:val="00312F07"/>
    <w:rsid w:val="0032028D"/>
    <w:rsid w:val="00324325"/>
    <w:rsid w:val="003249E5"/>
    <w:rsid w:val="0032609A"/>
    <w:rsid w:val="00330F75"/>
    <w:rsid w:val="00335533"/>
    <w:rsid w:val="00335E57"/>
    <w:rsid w:val="0034394F"/>
    <w:rsid w:val="003502F0"/>
    <w:rsid w:val="0035515F"/>
    <w:rsid w:val="003577A4"/>
    <w:rsid w:val="003607A3"/>
    <w:rsid w:val="00361F61"/>
    <w:rsid w:val="0038574B"/>
    <w:rsid w:val="00392F8D"/>
    <w:rsid w:val="003960C6"/>
    <w:rsid w:val="0039762A"/>
    <w:rsid w:val="003A5870"/>
    <w:rsid w:val="003B568D"/>
    <w:rsid w:val="003C110E"/>
    <w:rsid w:val="003C509C"/>
    <w:rsid w:val="003C6F1F"/>
    <w:rsid w:val="003D2F4F"/>
    <w:rsid w:val="003D6FDE"/>
    <w:rsid w:val="003E2F04"/>
    <w:rsid w:val="003E7749"/>
    <w:rsid w:val="003E7F38"/>
    <w:rsid w:val="003F1B9E"/>
    <w:rsid w:val="003F49A2"/>
    <w:rsid w:val="003F575B"/>
    <w:rsid w:val="00400FA5"/>
    <w:rsid w:val="0040195F"/>
    <w:rsid w:val="00403EB2"/>
    <w:rsid w:val="0041236D"/>
    <w:rsid w:val="00415DA1"/>
    <w:rsid w:val="00417333"/>
    <w:rsid w:val="004215E1"/>
    <w:rsid w:val="004223D4"/>
    <w:rsid w:val="00433EF5"/>
    <w:rsid w:val="00437ABD"/>
    <w:rsid w:val="00440C2A"/>
    <w:rsid w:val="0044418B"/>
    <w:rsid w:val="00445F51"/>
    <w:rsid w:val="004461FC"/>
    <w:rsid w:val="004464DF"/>
    <w:rsid w:val="0045132A"/>
    <w:rsid w:val="00454467"/>
    <w:rsid w:val="00454BB8"/>
    <w:rsid w:val="00461425"/>
    <w:rsid w:val="0046291D"/>
    <w:rsid w:val="00470B26"/>
    <w:rsid w:val="00472EF1"/>
    <w:rsid w:val="00491738"/>
    <w:rsid w:val="00492642"/>
    <w:rsid w:val="0049452B"/>
    <w:rsid w:val="00496352"/>
    <w:rsid w:val="00497600"/>
    <w:rsid w:val="004B2C67"/>
    <w:rsid w:val="004B357D"/>
    <w:rsid w:val="004B7142"/>
    <w:rsid w:val="004C10DB"/>
    <w:rsid w:val="004C119A"/>
    <w:rsid w:val="004C6DA2"/>
    <w:rsid w:val="004C7B22"/>
    <w:rsid w:val="004D3610"/>
    <w:rsid w:val="004D6B8B"/>
    <w:rsid w:val="004D6D07"/>
    <w:rsid w:val="004E0C41"/>
    <w:rsid w:val="004E4DDE"/>
    <w:rsid w:val="004F0D02"/>
    <w:rsid w:val="004F1741"/>
    <w:rsid w:val="004F1CB1"/>
    <w:rsid w:val="00503C75"/>
    <w:rsid w:val="005065E6"/>
    <w:rsid w:val="00507D7B"/>
    <w:rsid w:val="005106E9"/>
    <w:rsid w:val="0051165F"/>
    <w:rsid w:val="00516406"/>
    <w:rsid w:val="00521018"/>
    <w:rsid w:val="00525535"/>
    <w:rsid w:val="00525BA2"/>
    <w:rsid w:val="00537027"/>
    <w:rsid w:val="0053793D"/>
    <w:rsid w:val="00544BBD"/>
    <w:rsid w:val="00554D9B"/>
    <w:rsid w:val="0055563B"/>
    <w:rsid w:val="00555BF7"/>
    <w:rsid w:val="00566D05"/>
    <w:rsid w:val="00573F7C"/>
    <w:rsid w:val="005809B0"/>
    <w:rsid w:val="00581A1B"/>
    <w:rsid w:val="00583532"/>
    <w:rsid w:val="0059016C"/>
    <w:rsid w:val="00592588"/>
    <w:rsid w:val="00593732"/>
    <w:rsid w:val="0059731D"/>
    <w:rsid w:val="005973B3"/>
    <w:rsid w:val="005A2F7A"/>
    <w:rsid w:val="005C1472"/>
    <w:rsid w:val="005D0998"/>
    <w:rsid w:val="005D5861"/>
    <w:rsid w:val="005E20BE"/>
    <w:rsid w:val="005E3562"/>
    <w:rsid w:val="005E565D"/>
    <w:rsid w:val="005F21B7"/>
    <w:rsid w:val="005F2C5E"/>
    <w:rsid w:val="005F3819"/>
    <w:rsid w:val="005F549C"/>
    <w:rsid w:val="00606CBF"/>
    <w:rsid w:val="00610A1A"/>
    <w:rsid w:val="00611D94"/>
    <w:rsid w:val="006121B4"/>
    <w:rsid w:val="00623633"/>
    <w:rsid w:val="006327B4"/>
    <w:rsid w:val="006340A3"/>
    <w:rsid w:val="0063547E"/>
    <w:rsid w:val="006363A8"/>
    <w:rsid w:val="00640700"/>
    <w:rsid w:val="006447D6"/>
    <w:rsid w:val="00645B46"/>
    <w:rsid w:val="0065668E"/>
    <w:rsid w:val="00656982"/>
    <w:rsid w:val="00656C96"/>
    <w:rsid w:val="00657F63"/>
    <w:rsid w:val="006653D1"/>
    <w:rsid w:val="00674147"/>
    <w:rsid w:val="00674B71"/>
    <w:rsid w:val="00675C5F"/>
    <w:rsid w:val="00676A38"/>
    <w:rsid w:val="00687034"/>
    <w:rsid w:val="00696E17"/>
    <w:rsid w:val="006A37E7"/>
    <w:rsid w:val="006A5CA3"/>
    <w:rsid w:val="006B0709"/>
    <w:rsid w:val="006B13EB"/>
    <w:rsid w:val="006B6459"/>
    <w:rsid w:val="006C1625"/>
    <w:rsid w:val="006C5D2B"/>
    <w:rsid w:val="006D518C"/>
    <w:rsid w:val="006E0C68"/>
    <w:rsid w:val="006E4161"/>
    <w:rsid w:val="006E6155"/>
    <w:rsid w:val="006E61EA"/>
    <w:rsid w:val="006F0937"/>
    <w:rsid w:val="00701051"/>
    <w:rsid w:val="00704326"/>
    <w:rsid w:val="0070643A"/>
    <w:rsid w:val="00710B59"/>
    <w:rsid w:val="00712C3E"/>
    <w:rsid w:val="00715197"/>
    <w:rsid w:val="0072024D"/>
    <w:rsid w:val="00723F4C"/>
    <w:rsid w:val="007257D9"/>
    <w:rsid w:val="007357F7"/>
    <w:rsid w:val="007370A8"/>
    <w:rsid w:val="0073739B"/>
    <w:rsid w:val="00737A05"/>
    <w:rsid w:val="007428DC"/>
    <w:rsid w:val="00745598"/>
    <w:rsid w:val="00745C94"/>
    <w:rsid w:val="00752559"/>
    <w:rsid w:val="007673AD"/>
    <w:rsid w:val="00770659"/>
    <w:rsid w:val="00774830"/>
    <w:rsid w:val="00774B9B"/>
    <w:rsid w:val="007776CD"/>
    <w:rsid w:val="00781A0A"/>
    <w:rsid w:val="0078624E"/>
    <w:rsid w:val="00787A8C"/>
    <w:rsid w:val="007A7123"/>
    <w:rsid w:val="007B0F9A"/>
    <w:rsid w:val="007B15A2"/>
    <w:rsid w:val="007B27AB"/>
    <w:rsid w:val="007B2A84"/>
    <w:rsid w:val="007C09ED"/>
    <w:rsid w:val="007C264F"/>
    <w:rsid w:val="007C2F6B"/>
    <w:rsid w:val="007C4831"/>
    <w:rsid w:val="007C6240"/>
    <w:rsid w:val="007D21ED"/>
    <w:rsid w:val="007D6A1E"/>
    <w:rsid w:val="007E6868"/>
    <w:rsid w:val="007F2DB0"/>
    <w:rsid w:val="007F4427"/>
    <w:rsid w:val="007F4CEE"/>
    <w:rsid w:val="007F5FDF"/>
    <w:rsid w:val="007F6D89"/>
    <w:rsid w:val="008048DD"/>
    <w:rsid w:val="00804FC8"/>
    <w:rsid w:val="0080563E"/>
    <w:rsid w:val="00806109"/>
    <w:rsid w:val="00807ED9"/>
    <w:rsid w:val="00814919"/>
    <w:rsid w:val="008152B9"/>
    <w:rsid w:val="008173B5"/>
    <w:rsid w:val="00817A8C"/>
    <w:rsid w:val="00820321"/>
    <w:rsid w:val="00820634"/>
    <w:rsid w:val="008216E7"/>
    <w:rsid w:val="008225F3"/>
    <w:rsid w:val="008234D1"/>
    <w:rsid w:val="00823DF0"/>
    <w:rsid w:val="00832F8F"/>
    <w:rsid w:val="008358E6"/>
    <w:rsid w:val="0083759F"/>
    <w:rsid w:val="00840CF6"/>
    <w:rsid w:val="00843F74"/>
    <w:rsid w:val="00847225"/>
    <w:rsid w:val="0085794F"/>
    <w:rsid w:val="00860424"/>
    <w:rsid w:val="00865A80"/>
    <w:rsid w:val="00871E92"/>
    <w:rsid w:val="0088532C"/>
    <w:rsid w:val="008864CE"/>
    <w:rsid w:val="008A571C"/>
    <w:rsid w:val="008A7182"/>
    <w:rsid w:val="008A7D83"/>
    <w:rsid w:val="008B1F56"/>
    <w:rsid w:val="008B37BC"/>
    <w:rsid w:val="008B65D5"/>
    <w:rsid w:val="008B74BB"/>
    <w:rsid w:val="008C00DB"/>
    <w:rsid w:val="008C69B5"/>
    <w:rsid w:val="008D2571"/>
    <w:rsid w:val="008D2C4E"/>
    <w:rsid w:val="008E001B"/>
    <w:rsid w:val="008E3775"/>
    <w:rsid w:val="008E5129"/>
    <w:rsid w:val="008F2599"/>
    <w:rsid w:val="008F2804"/>
    <w:rsid w:val="008F3FB2"/>
    <w:rsid w:val="008F6586"/>
    <w:rsid w:val="008F6E02"/>
    <w:rsid w:val="00900587"/>
    <w:rsid w:val="009010D2"/>
    <w:rsid w:val="00904E47"/>
    <w:rsid w:val="00907F75"/>
    <w:rsid w:val="00913382"/>
    <w:rsid w:val="00916D56"/>
    <w:rsid w:val="00917F81"/>
    <w:rsid w:val="00926BDA"/>
    <w:rsid w:val="00931374"/>
    <w:rsid w:val="00943BEB"/>
    <w:rsid w:val="00944F30"/>
    <w:rsid w:val="009478B6"/>
    <w:rsid w:val="00951DC0"/>
    <w:rsid w:val="00960C12"/>
    <w:rsid w:val="00962E8C"/>
    <w:rsid w:val="00966C89"/>
    <w:rsid w:val="00967CA7"/>
    <w:rsid w:val="009748B5"/>
    <w:rsid w:val="00981EF1"/>
    <w:rsid w:val="00991FFE"/>
    <w:rsid w:val="0099468B"/>
    <w:rsid w:val="00994B56"/>
    <w:rsid w:val="009A0997"/>
    <w:rsid w:val="009A3712"/>
    <w:rsid w:val="009A6151"/>
    <w:rsid w:val="009A755D"/>
    <w:rsid w:val="009B20A7"/>
    <w:rsid w:val="009B7314"/>
    <w:rsid w:val="009C09A5"/>
    <w:rsid w:val="009C22A3"/>
    <w:rsid w:val="009C5831"/>
    <w:rsid w:val="009C5906"/>
    <w:rsid w:val="009D2F9C"/>
    <w:rsid w:val="009D7FE6"/>
    <w:rsid w:val="009E0585"/>
    <w:rsid w:val="009E13E1"/>
    <w:rsid w:val="009E2A86"/>
    <w:rsid w:val="009F07AF"/>
    <w:rsid w:val="009F5C24"/>
    <w:rsid w:val="00A036AB"/>
    <w:rsid w:val="00A03C17"/>
    <w:rsid w:val="00A22788"/>
    <w:rsid w:val="00A251C0"/>
    <w:rsid w:val="00A26AFA"/>
    <w:rsid w:val="00A31B43"/>
    <w:rsid w:val="00A32A20"/>
    <w:rsid w:val="00A35837"/>
    <w:rsid w:val="00A40336"/>
    <w:rsid w:val="00A43143"/>
    <w:rsid w:val="00A44252"/>
    <w:rsid w:val="00A476ED"/>
    <w:rsid w:val="00A51107"/>
    <w:rsid w:val="00A607CB"/>
    <w:rsid w:val="00A643BC"/>
    <w:rsid w:val="00A665C3"/>
    <w:rsid w:val="00A67D09"/>
    <w:rsid w:val="00A716AE"/>
    <w:rsid w:val="00A7316F"/>
    <w:rsid w:val="00A74733"/>
    <w:rsid w:val="00A91840"/>
    <w:rsid w:val="00A94FD6"/>
    <w:rsid w:val="00A95C9C"/>
    <w:rsid w:val="00AA0343"/>
    <w:rsid w:val="00AA3E95"/>
    <w:rsid w:val="00AB129D"/>
    <w:rsid w:val="00AB32F7"/>
    <w:rsid w:val="00AB7C64"/>
    <w:rsid w:val="00AB7D38"/>
    <w:rsid w:val="00AC030A"/>
    <w:rsid w:val="00AC2B27"/>
    <w:rsid w:val="00AC34E4"/>
    <w:rsid w:val="00AC4AEC"/>
    <w:rsid w:val="00AC76F2"/>
    <w:rsid w:val="00AD50A9"/>
    <w:rsid w:val="00AE141C"/>
    <w:rsid w:val="00AE3EFC"/>
    <w:rsid w:val="00AE3FD2"/>
    <w:rsid w:val="00AF2E34"/>
    <w:rsid w:val="00AF4570"/>
    <w:rsid w:val="00AF4DA5"/>
    <w:rsid w:val="00AF64B8"/>
    <w:rsid w:val="00AF75CB"/>
    <w:rsid w:val="00B013D5"/>
    <w:rsid w:val="00B0184D"/>
    <w:rsid w:val="00B11373"/>
    <w:rsid w:val="00B1461D"/>
    <w:rsid w:val="00B1534B"/>
    <w:rsid w:val="00B17366"/>
    <w:rsid w:val="00B330A9"/>
    <w:rsid w:val="00B3604E"/>
    <w:rsid w:val="00B42476"/>
    <w:rsid w:val="00B4292C"/>
    <w:rsid w:val="00B4327A"/>
    <w:rsid w:val="00B50573"/>
    <w:rsid w:val="00B507C5"/>
    <w:rsid w:val="00B5328C"/>
    <w:rsid w:val="00B544F3"/>
    <w:rsid w:val="00B55FFA"/>
    <w:rsid w:val="00B65585"/>
    <w:rsid w:val="00B65BFA"/>
    <w:rsid w:val="00B71BD4"/>
    <w:rsid w:val="00B74E4D"/>
    <w:rsid w:val="00B76657"/>
    <w:rsid w:val="00B87380"/>
    <w:rsid w:val="00B940FD"/>
    <w:rsid w:val="00B94548"/>
    <w:rsid w:val="00BA0DD9"/>
    <w:rsid w:val="00BA365D"/>
    <w:rsid w:val="00BA7024"/>
    <w:rsid w:val="00BB1336"/>
    <w:rsid w:val="00BB20ED"/>
    <w:rsid w:val="00BB4BEF"/>
    <w:rsid w:val="00BB79E1"/>
    <w:rsid w:val="00BC43BE"/>
    <w:rsid w:val="00BC4401"/>
    <w:rsid w:val="00BD4A88"/>
    <w:rsid w:val="00BD7921"/>
    <w:rsid w:val="00BE08F0"/>
    <w:rsid w:val="00BE63B4"/>
    <w:rsid w:val="00BE7E3D"/>
    <w:rsid w:val="00BF0195"/>
    <w:rsid w:val="00BF33C7"/>
    <w:rsid w:val="00BF479C"/>
    <w:rsid w:val="00C03729"/>
    <w:rsid w:val="00C07B3B"/>
    <w:rsid w:val="00C15244"/>
    <w:rsid w:val="00C1713F"/>
    <w:rsid w:val="00C2284E"/>
    <w:rsid w:val="00C27DC0"/>
    <w:rsid w:val="00C30938"/>
    <w:rsid w:val="00C325F2"/>
    <w:rsid w:val="00C356FB"/>
    <w:rsid w:val="00C37EDC"/>
    <w:rsid w:val="00C448F1"/>
    <w:rsid w:val="00C453D1"/>
    <w:rsid w:val="00C5015E"/>
    <w:rsid w:val="00C52496"/>
    <w:rsid w:val="00C5349D"/>
    <w:rsid w:val="00C560BA"/>
    <w:rsid w:val="00C75CFE"/>
    <w:rsid w:val="00C76D73"/>
    <w:rsid w:val="00C803C0"/>
    <w:rsid w:val="00C831DA"/>
    <w:rsid w:val="00C92A12"/>
    <w:rsid w:val="00C95AAD"/>
    <w:rsid w:val="00CA2092"/>
    <w:rsid w:val="00CA21D9"/>
    <w:rsid w:val="00CA272C"/>
    <w:rsid w:val="00CA4A4C"/>
    <w:rsid w:val="00CA6376"/>
    <w:rsid w:val="00CB26F4"/>
    <w:rsid w:val="00CB5D47"/>
    <w:rsid w:val="00CC3C26"/>
    <w:rsid w:val="00CD7369"/>
    <w:rsid w:val="00CE4517"/>
    <w:rsid w:val="00CF390D"/>
    <w:rsid w:val="00CF7E22"/>
    <w:rsid w:val="00D045EB"/>
    <w:rsid w:val="00D04A94"/>
    <w:rsid w:val="00D070A2"/>
    <w:rsid w:val="00D074D8"/>
    <w:rsid w:val="00D12411"/>
    <w:rsid w:val="00D12830"/>
    <w:rsid w:val="00D12C6B"/>
    <w:rsid w:val="00D138A3"/>
    <w:rsid w:val="00D1532F"/>
    <w:rsid w:val="00D16771"/>
    <w:rsid w:val="00D20E6F"/>
    <w:rsid w:val="00D262CE"/>
    <w:rsid w:val="00D26709"/>
    <w:rsid w:val="00D26E6A"/>
    <w:rsid w:val="00D34DDD"/>
    <w:rsid w:val="00D360DC"/>
    <w:rsid w:val="00D37822"/>
    <w:rsid w:val="00D40F74"/>
    <w:rsid w:val="00D416BF"/>
    <w:rsid w:val="00D4313C"/>
    <w:rsid w:val="00D431F4"/>
    <w:rsid w:val="00D43286"/>
    <w:rsid w:val="00D43312"/>
    <w:rsid w:val="00D475F5"/>
    <w:rsid w:val="00D50769"/>
    <w:rsid w:val="00D50E97"/>
    <w:rsid w:val="00D51968"/>
    <w:rsid w:val="00D521F5"/>
    <w:rsid w:val="00D61C53"/>
    <w:rsid w:val="00D722DE"/>
    <w:rsid w:val="00D90D63"/>
    <w:rsid w:val="00D939AD"/>
    <w:rsid w:val="00D95166"/>
    <w:rsid w:val="00DA08AC"/>
    <w:rsid w:val="00DA26E3"/>
    <w:rsid w:val="00DA2E63"/>
    <w:rsid w:val="00DB75D3"/>
    <w:rsid w:val="00DC2062"/>
    <w:rsid w:val="00DC5E7E"/>
    <w:rsid w:val="00DC6697"/>
    <w:rsid w:val="00DD0580"/>
    <w:rsid w:val="00DD1E7E"/>
    <w:rsid w:val="00DD3CDD"/>
    <w:rsid w:val="00DD5B38"/>
    <w:rsid w:val="00DD6D8B"/>
    <w:rsid w:val="00DE6FF0"/>
    <w:rsid w:val="00DE7000"/>
    <w:rsid w:val="00DF3E0A"/>
    <w:rsid w:val="00E017FD"/>
    <w:rsid w:val="00E065DB"/>
    <w:rsid w:val="00E2349D"/>
    <w:rsid w:val="00E2733B"/>
    <w:rsid w:val="00E32CD6"/>
    <w:rsid w:val="00E35717"/>
    <w:rsid w:val="00E3758A"/>
    <w:rsid w:val="00E460D5"/>
    <w:rsid w:val="00E51F9C"/>
    <w:rsid w:val="00E54031"/>
    <w:rsid w:val="00E57935"/>
    <w:rsid w:val="00E63506"/>
    <w:rsid w:val="00E64E21"/>
    <w:rsid w:val="00E65AB7"/>
    <w:rsid w:val="00E72A3F"/>
    <w:rsid w:val="00E72EB2"/>
    <w:rsid w:val="00E7327E"/>
    <w:rsid w:val="00E748ED"/>
    <w:rsid w:val="00E74A9D"/>
    <w:rsid w:val="00E75FB9"/>
    <w:rsid w:val="00E82348"/>
    <w:rsid w:val="00E82BBE"/>
    <w:rsid w:val="00E83057"/>
    <w:rsid w:val="00E90756"/>
    <w:rsid w:val="00E907C1"/>
    <w:rsid w:val="00E95AB8"/>
    <w:rsid w:val="00E96A85"/>
    <w:rsid w:val="00E971A3"/>
    <w:rsid w:val="00EA5BA5"/>
    <w:rsid w:val="00EB1AFE"/>
    <w:rsid w:val="00EB4A9D"/>
    <w:rsid w:val="00EC2BDF"/>
    <w:rsid w:val="00EC3482"/>
    <w:rsid w:val="00EC66A3"/>
    <w:rsid w:val="00EC6A2A"/>
    <w:rsid w:val="00EC7444"/>
    <w:rsid w:val="00ED1C88"/>
    <w:rsid w:val="00ED24F4"/>
    <w:rsid w:val="00EE65FB"/>
    <w:rsid w:val="00EF191E"/>
    <w:rsid w:val="00F0647C"/>
    <w:rsid w:val="00F10727"/>
    <w:rsid w:val="00F16BE3"/>
    <w:rsid w:val="00F2143F"/>
    <w:rsid w:val="00F238DA"/>
    <w:rsid w:val="00F24BB8"/>
    <w:rsid w:val="00F30F9D"/>
    <w:rsid w:val="00F424DC"/>
    <w:rsid w:val="00F4441F"/>
    <w:rsid w:val="00F61B28"/>
    <w:rsid w:val="00F66A44"/>
    <w:rsid w:val="00F67B8E"/>
    <w:rsid w:val="00F709B3"/>
    <w:rsid w:val="00F70F3B"/>
    <w:rsid w:val="00F7147D"/>
    <w:rsid w:val="00F74A1D"/>
    <w:rsid w:val="00F763E4"/>
    <w:rsid w:val="00F80AD2"/>
    <w:rsid w:val="00F83A58"/>
    <w:rsid w:val="00F84D36"/>
    <w:rsid w:val="00F96149"/>
    <w:rsid w:val="00F967FA"/>
    <w:rsid w:val="00FA1090"/>
    <w:rsid w:val="00FA37CC"/>
    <w:rsid w:val="00FA56F2"/>
    <w:rsid w:val="00FB576D"/>
    <w:rsid w:val="00FB6091"/>
    <w:rsid w:val="00FB657E"/>
    <w:rsid w:val="00FB7ED2"/>
    <w:rsid w:val="00FC0ABC"/>
    <w:rsid w:val="00FC570D"/>
    <w:rsid w:val="00FC7D47"/>
    <w:rsid w:val="00FD38FA"/>
    <w:rsid w:val="00FD75BF"/>
    <w:rsid w:val="00FE40D9"/>
    <w:rsid w:val="00FE5A34"/>
    <w:rsid w:val="00FE7A9B"/>
    <w:rsid w:val="00FF556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5A055E"/>
  <w14:defaultImageDpi w14:val="300"/>
  <w15:docId w15:val="{B0CCD319-88DD-40DF-8D32-7B308F7AC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6F9"/>
    <w:pPr>
      <w:spacing w:after="160" w:line="288" w:lineRule="auto"/>
      <w:ind w:left="2160"/>
    </w:pPr>
    <w:rPr>
      <w:color w:val="5A5A5A" w:themeColor="text1" w:themeTint="A5"/>
      <w:sz w:val="20"/>
      <w:szCs w:val="20"/>
      <w:lang w:eastAsia="en-US"/>
    </w:rPr>
  </w:style>
  <w:style w:type="paragraph" w:styleId="Ttulo1">
    <w:name w:val="heading 1"/>
    <w:basedOn w:val="Normal"/>
    <w:next w:val="Normal"/>
    <w:link w:val="Ttulo1Car"/>
    <w:uiPriority w:val="9"/>
    <w:qFormat/>
    <w:rsid w:val="00EC3482"/>
    <w:pPr>
      <w:tabs>
        <w:tab w:val="left" w:pos="284"/>
      </w:tabs>
      <w:spacing w:before="400" w:after="60" w:line="240" w:lineRule="auto"/>
      <w:ind w:left="1440"/>
      <w:contextualSpacing/>
      <w:outlineLvl w:val="0"/>
    </w:pPr>
    <w:rPr>
      <w:rFonts w:asciiTheme="majorHAnsi" w:eastAsiaTheme="majorEastAsia" w:hAnsiTheme="majorHAnsi" w:cstheme="majorBidi"/>
      <w:b/>
      <w:iCs/>
      <w:smallCaps/>
      <w:color w:val="0F243E" w:themeColor="text2" w:themeShade="7F"/>
      <w:spacing w:val="20"/>
      <w:sz w:val="24"/>
      <w:szCs w:val="24"/>
    </w:rPr>
  </w:style>
  <w:style w:type="paragraph" w:styleId="Ttulo2">
    <w:name w:val="heading 2"/>
    <w:basedOn w:val="Normal"/>
    <w:next w:val="Normal"/>
    <w:link w:val="Ttulo2Car"/>
    <w:uiPriority w:val="9"/>
    <w:unhideWhenUsed/>
    <w:qFormat/>
    <w:rsid w:val="001256F9"/>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tulo3">
    <w:name w:val="heading 3"/>
    <w:basedOn w:val="Normal"/>
    <w:next w:val="Normal"/>
    <w:link w:val="Ttulo3Car"/>
    <w:uiPriority w:val="9"/>
    <w:semiHidden/>
    <w:unhideWhenUsed/>
    <w:qFormat/>
    <w:rsid w:val="001256F9"/>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Ttulo4">
    <w:name w:val="heading 4"/>
    <w:basedOn w:val="Normal"/>
    <w:next w:val="Normal"/>
    <w:link w:val="Ttulo4Car"/>
    <w:uiPriority w:val="9"/>
    <w:semiHidden/>
    <w:unhideWhenUsed/>
    <w:qFormat/>
    <w:rsid w:val="001256F9"/>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tulo5">
    <w:name w:val="heading 5"/>
    <w:basedOn w:val="Normal"/>
    <w:next w:val="Normal"/>
    <w:link w:val="Ttulo5Car"/>
    <w:uiPriority w:val="9"/>
    <w:semiHidden/>
    <w:unhideWhenUsed/>
    <w:qFormat/>
    <w:rsid w:val="001256F9"/>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tulo6">
    <w:name w:val="heading 6"/>
    <w:basedOn w:val="Normal"/>
    <w:next w:val="Normal"/>
    <w:link w:val="Ttulo6Car"/>
    <w:uiPriority w:val="9"/>
    <w:semiHidden/>
    <w:unhideWhenUsed/>
    <w:qFormat/>
    <w:rsid w:val="001256F9"/>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tulo7">
    <w:name w:val="heading 7"/>
    <w:basedOn w:val="Normal"/>
    <w:next w:val="Normal"/>
    <w:link w:val="Ttulo7Car"/>
    <w:uiPriority w:val="9"/>
    <w:semiHidden/>
    <w:unhideWhenUsed/>
    <w:qFormat/>
    <w:rsid w:val="001256F9"/>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tulo8">
    <w:name w:val="heading 8"/>
    <w:basedOn w:val="Normal"/>
    <w:next w:val="Normal"/>
    <w:link w:val="Ttulo8Car"/>
    <w:uiPriority w:val="9"/>
    <w:semiHidden/>
    <w:unhideWhenUsed/>
    <w:qFormat/>
    <w:rsid w:val="001256F9"/>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tulo9">
    <w:name w:val="heading 9"/>
    <w:basedOn w:val="Normal"/>
    <w:next w:val="Normal"/>
    <w:link w:val="Ttulo9Car"/>
    <w:uiPriority w:val="9"/>
    <w:semiHidden/>
    <w:unhideWhenUsed/>
    <w:qFormat/>
    <w:rsid w:val="001256F9"/>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3482"/>
    <w:rPr>
      <w:rFonts w:asciiTheme="majorHAnsi" w:eastAsiaTheme="majorEastAsia" w:hAnsiTheme="majorHAnsi" w:cstheme="majorBidi"/>
      <w:b/>
      <w:iCs/>
      <w:smallCaps/>
      <w:color w:val="0F243E" w:themeColor="text2" w:themeShade="7F"/>
      <w:spacing w:val="20"/>
      <w:lang w:eastAsia="en-US"/>
    </w:rPr>
  </w:style>
  <w:style w:type="character" w:customStyle="1" w:styleId="Ttulo2Car">
    <w:name w:val="Título 2 Car"/>
    <w:basedOn w:val="Fuentedeprrafopredeter"/>
    <w:link w:val="Ttulo2"/>
    <w:uiPriority w:val="9"/>
    <w:rsid w:val="001256F9"/>
    <w:rPr>
      <w:rFonts w:asciiTheme="majorHAnsi" w:eastAsiaTheme="majorEastAsia" w:hAnsiTheme="majorHAnsi" w:cstheme="majorBidi"/>
      <w:smallCaps/>
      <w:color w:val="17365D" w:themeColor="text2" w:themeShade="BF"/>
      <w:spacing w:val="20"/>
      <w:sz w:val="28"/>
      <w:szCs w:val="28"/>
      <w:lang w:eastAsia="en-US"/>
    </w:rPr>
  </w:style>
  <w:style w:type="character" w:customStyle="1" w:styleId="Ttulo3Car">
    <w:name w:val="Título 3 Car"/>
    <w:basedOn w:val="Fuentedeprrafopredeter"/>
    <w:link w:val="Ttulo3"/>
    <w:uiPriority w:val="9"/>
    <w:semiHidden/>
    <w:rsid w:val="001256F9"/>
    <w:rPr>
      <w:rFonts w:asciiTheme="majorHAnsi" w:eastAsiaTheme="majorEastAsia" w:hAnsiTheme="majorHAnsi" w:cstheme="majorBidi"/>
      <w:smallCaps/>
      <w:color w:val="1F497D" w:themeColor="text2"/>
      <w:spacing w:val="20"/>
      <w:lang w:eastAsia="en-US"/>
    </w:rPr>
  </w:style>
  <w:style w:type="character" w:customStyle="1" w:styleId="Ttulo4Car">
    <w:name w:val="Título 4 Car"/>
    <w:basedOn w:val="Fuentedeprrafopredeter"/>
    <w:link w:val="Ttulo4"/>
    <w:uiPriority w:val="9"/>
    <w:semiHidden/>
    <w:rsid w:val="001256F9"/>
    <w:rPr>
      <w:rFonts w:asciiTheme="majorHAnsi" w:eastAsiaTheme="majorEastAsia" w:hAnsiTheme="majorHAnsi" w:cstheme="majorBidi"/>
      <w:b/>
      <w:bCs/>
      <w:smallCaps/>
      <w:color w:val="3071C3" w:themeColor="text2" w:themeTint="BF"/>
      <w:spacing w:val="20"/>
      <w:sz w:val="20"/>
      <w:szCs w:val="20"/>
      <w:lang w:eastAsia="en-US"/>
    </w:rPr>
  </w:style>
  <w:style w:type="character" w:customStyle="1" w:styleId="Ttulo5Car">
    <w:name w:val="Título 5 Car"/>
    <w:basedOn w:val="Fuentedeprrafopredeter"/>
    <w:link w:val="Ttulo5"/>
    <w:uiPriority w:val="9"/>
    <w:semiHidden/>
    <w:rsid w:val="001256F9"/>
    <w:rPr>
      <w:rFonts w:asciiTheme="majorHAnsi" w:eastAsiaTheme="majorEastAsia" w:hAnsiTheme="majorHAnsi" w:cstheme="majorBidi"/>
      <w:smallCaps/>
      <w:color w:val="3071C3" w:themeColor="text2" w:themeTint="BF"/>
      <w:spacing w:val="20"/>
      <w:sz w:val="20"/>
      <w:szCs w:val="20"/>
      <w:lang w:eastAsia="en-US"/>
    </w:rPr>
  </w:style>
  <w:style w:type="character" w:customStyle="1" w:styleId="Ttulo6Car">
    <w:name w:val="Título 6 Car"/>
    <w:basedOn w:val="Fuentedeprrafopredeter"/>
    <w:link w:val="Ttulo6"/>
    <w:uiPriority w:val="9"/>
    <w:semiHidden/>
    <w:rsid w:val="001256F9"/>
    <w:rPr>
      <w:rFonts w:asciiTheme="majorHAnsi" w:eastAsiaTheme="majorEastAsia" w:hAnsiTheme="majorHAnsi" w:cstheme="majorBidi"/>
      <w:smallCaps/>
      <w:color w:val="938953" w:themeColor="background2" w:themeShade="7F"/>
      <w:spacing w:val="20"/>
      <w:sz w:val="20"/>
      <w:szCs w:val="20"/>
      <w:lang w:eastAsia="en-US"/>
    </w:rPr>
  </w:style>
  <w:style w:type="character" w:customStyle="1" w:styleId="Ttulo7Car">
    <w:name w:val="Título 7 Car"/>
    <w:basedOn w:val="Fuentedeprrafopredeter"/>
    <w:link w:val="Ttulo7"/>
    <w:uiPriority w:val="9"/>
    <w:semiHidden/>
    <w:rsid w:val="001256F9"/>
    <w:rPr>
      <w:rFonts w:asciiTheme="majorHAnsi" w:eastAsiaTheme="majorEastAsia" w:hAnsiTheme="majorHAnsi" w:cstheme="majorBidi"/>
      <w:b/>
      <w:bCs/>
      <w:smallCaps/>
      <w:color w:val="938953" w:themeColor="background2" w:themeShade="7F"/>
      <w:spacing w:val="20"/>
      <w:sz w:val="16"/>
      <w:szCs w:val="16"/>
      <w:lang w:eastAsia="en-US"/>
    </w:rPr>
  </w:style>
  <w:style w:type="character" w:customStyle="1" w:styleId="Ttulo8Car">
    <w:name w:val="Título 8 Car"/>
    <w:basedOn w:val="Fuentedeprrafopredeter"/>
    <w:link w:val="Ttulo8"/>
    <w:uiPriority w:val="9"/>
    <w:semiHidden/>
    <w:rsid w:val="001256F9"/>
    <w:rPr>
      <w:rFonts w:asciiTheme="majorHAnsi" w:eastAsiaTheme="majorEastAsia" w:hAnsiTheme="majorHAnsi" w:cstheme="majorBidi"/>
      <w:b/>
      <w:smallCaps/>
      <w:color w:val="938953" w:themeColor="background2" w:themeShade="7F"/>
      <w:spacing w:val="20"/>
      <w:sz w:val="16"/>
      <w:szCs w:val="16"/>
      <w:lang w:eastAsia="en-US"/>
    </w:rPr>
  </w:style>
  <w:style w:type="character" w:customStyle="1" w:styleId="Ttulo9Car">
    <w:name w:val="Título 9 Car"/>
    <w:basedOn w:val="Fuentedeprrafopredeter"/>
    <w:link w:val="Ttulo9"/>
    <w:uiPriority w:val="9"/>
    <w:semiHidden/>
    <w:rsid w:val="001256F9"/>
    <w:rPr>
      <w:rFonts w:asciiTheme="majorHAnsi" w:eastAsiaTheme="majorEastAsia" w:hAnsiTheme="majorHAnsi" w:cstheme="majorBidi"/>
      <w:smallCaps/>
      <w:color w:val="938953" w:themeColor="background2" w:themeShade="7F"/>
      <w:spacing w:val="20"/>
      <w:sz w:val="16"/>
      <w:szCs w:val="16"/>
      <w:lang w:eastAsia="en-US"/>
    </w:rPr>
  </w:style>
  <w:style w:type="paragraph" w:styleId="Prrafodelista">
    <w:name w:val="List Paragraph"/>
    <w:basedOn w:val="Normal"/>
    <w:uiPriority w:val="34"/>
    <w:qFormat/>
    <w:rsid w:val="001256F9"/>
    <w:pPr>
      <w:ind w:left="720"/>
      <w:contextualSpacing/>
    </w:pPr>
  </w:style>
  <w:style w:type="paragraph" w:styleId="Puesto">
    <w:name w:val="Title"/>
    <w:next w:val="Normal"/>
    <w:link w:val="PuestoCar"/>
    <w:uiPriority w:val="10"/>
    <w:qFormat/>
    <w:rsid w:val="001256F9"/>
    <w:pPr>
      <w:spacing w:after="160"/>
      <w:contextualSpacing/>
    </w:pPr>
    <w:rPr>
      <w:rFonts w:asciiTheme="majorHAnsi" w:eastAsiaTheme="majorEastAsia" w:hAnsiTheme="majorHAnsi" w:cstheme="majorBidi"/>
      <w:smallCaps/>
      <w:color w:val="17365D" w:themeColor="text2" w:themeShade="BF"/>
      <w:spacing w:val="5"/>
      <w:sz w:val="72"/>
      <w:szCs w:val="72"/>
      <w:lang w:val="es-MX" w:eastAsia="en-US"/>
    </w:rPr>
  </w:style>
  <w:style w:type="character" w:customStyle="1" w:styleId="PuestoCar">
    <w:name w:val="Puesto Car"/>
    <w:basedOn w:val="Fuentedeprrafopredeter"/>
    <w:link w:val="Puesto"/>
    <w:uiPriority w:val="10"/>
    <w:rsid w:val="001256F9"/>
    <w:rPr>
      <w:rFonts w:asciiTheme="majorHAnsi" w:eastAsiaTheme="majorEastAsia" w:hAnsiTheme="majorHAnsi" w:cstheme="majorBidi"/>
      <w:smallCaps/>
      <w:color w:val="17365D" w:themeColor="text2" w:themeShade="BF"/>
      <w:spacing w:val="5"/>
      <w:sz w:val="72"/>
      <w:szCs w:val="72"/>
      <w:lang w:val="es-MX" w:eastAsia="en-US"/>
    </w:rPr>
  </w:style>
  <w:style w:type="character" w:styleId="nfasisintenso">
    <w:name w:val="Intense Emphasis"/>
    <w:uiPriority w:val="21"/>
    <w:qFormat/>
    <w:rsid w:val="001256F9"/>
    <w:rPr>
      <w:b/>
      <w:bCs/>
      <w:smallCaps/>
      <w:color w:val="4F81BD" w:themeColor="accent1"/>
      <w:spacing w:val="40"/>
    </w:rPr>
  </w:style>
  <w:style w:type="paragraph" w:styleId="Textonotapie">
    <w:name w:val="footnote text"/>
    <w:basedOn w:val="Normal"/>
    <w:link w:val="TextonotapieCar"/>
    <w:uiPriority w:val="99"/>
    <w:unhideWhenUsed/>
    <w:rsid w:val="001256F9"/>
    <w:pPr>
      <w:spacing w:after="0" w:line="240" w:lineRule="auto"/>
    </w:pPr>
  </w:style>
  <w:style w:type="character" w:customStyle="1" w:styleId="TextonotapieCar">
    <w:name w:val="Texto nota pie Car"/>
    <w:basedOn w:val="Fuentedeprrafopredeter"/>
    <w:link w:val="Textonotapie"/>
    <w:uiPriority w:val="99"/>
    <w:rsid w:val="001256F9"/>
    <w:rPr>
      <w:color w:val="5A5A5A" w:themeColor="text1" w:themeTint="A5"/>
      <w:sz w:val="20"/>
      <w:szCs w:val="20"/>
      <w:lang w:eastAsia="en-US"/>
    </w:rPr>
  </w:style>
  <w:style w:type="character" w:styleId="Refdenotaalpie">
    <w:name w:val="footnote reference"/>
    <w:aliases w:val="Footnote text"/>
    <w:basedOn w:val="Fuentedeprrafopredeter"/>
    <w:uiPriority w:val="99"/>
    <w:unhideWhenUsed/>
    <w:rsid w:val="001256F9"/>
    <w:rPr>
      <w:vertAlign w:val="superscript"/>
    </w:rPr>
  </w:style>
  <w:style w:type="character" w:styleId="Refdecomentario">
    <w:name w:val="annotation reference"/>
    <w:basedOn w:val="Fuentedeprrafopredeter"/>
    <w:unhideWhenUsed/>
    <w:rsid w:val="001256F9"/>
    <w:rPr>
      <w:sz w:val="16"/>
      <w:szCs w:val="16"/>
    </w:rPr>
  </w:style>
  <w:style w:type="paragraph" w:styleId="Textocomentario">
    <w:name w:val="annotation text"/>
    <w:basedOn w:val="Normal"/>
    <w:link w:val="TextocomentarioCar"/>
    <w:unhideWhenUsed/>
    <w:rsid w:val="001256F9"/>
    <w:pPr>
      <w:spacing w:line="240" w:lineRule="auto"/>
    </w:pPr>
  </w:style>
  <w:style w:type="character" w:customStyle="1" w:styleId="TextocomentarioCar">
    <w:name w:val="Texto comentario Car"/>
    <w:basedOn w:val="Fuentedeprrafopredeter"/>
    <w:link w:val="Textocomentario"/>
    <w:rsid w:val="001256F9"/>
    <w:rPr>
      <w:color w:val="5A5A5A" w:themeColor="text1" w:themeTint="A5"/>
      <w:sz w:val="20"/>
      <w:szCs w:val="20"/>
      <w:lang w:eastAsia="en-US"/>
    </w:rPr>
  </w:style>
  <w:style w:type="paragraph" w:styleId="Asuntodelcomentario">
    <w:name w:val="annotation subject"/>
    <w:basedOn w:val="Textocomentario"/>
    <w:next w:val="Textocomentario"/>
    <w:link w:val="AsuntodelcomentarioCar"/>
    <w:uiPriority w:val="99"/>
    <w:semiHidden/>
    <w:unhideWhenUsed/>
    <w:rsid w:val="001256F9"/>
    <w:rPr>
      <w:b/>
      <w:bCs/>
    </w:rPr>
  </w:style>
  <w:style w:type="character" w:customStyle="1" w:styleId="AsuntodelcomentarioCar">
    <w:name w:val="Asunto del comentario Car"/>
    <w:basedOn w:val="TextocomentarioCar"/>
    <w:link w:val="Asuntodelcomentario"/>
    <w:uiPriority w:val="99"/>
    <w:semiHidden/>
    <w:rsid w:val="001256F9"/>
    <w:rPr>
      <w:b/>
      <w:bCs/>
      <w:color w:val="5A5A5A" w:themeColor="text1" w:themeTint="A5"/>
      <w:sz w:val="20"/>
      <w:szCs w:val="20"/>
      <w:lang w:eastAsia="en-US"/>
    </w:rPr>
  </w:style>
  <w:style w:type="paragraph" w:styleId="Textodeglobo">
    <w:name w:val="Balloon Text"/>
    <w:basedOn w:val="Normal"/>
    <w:link w:val="TextodegloboCar"/>
    <w:uiPriority w:val="99"/>
    <w:semiHidden/>
    <w:unhideWhenUsed/>
    <w:rsid w:val="001256F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256F9"/>
    <w:rPr>
      <w:rFonts w:ascii="Segoe UI" w:hAnsi="Segoe UI" w:cs="Segoe UI"/>
      <w:color w:val="5A5A5A" w:themeColor="text1" w:themeTint="A5"/>
      <w:sz w:val="18"/>
      <w:szCs w:val="18"/>
      <w:lang w:eastAsia="en-US"/>
    </w:rPr>
  </w:style>
  <w:style w:type="paragraph" w:styleId="Encabezado">
    <w:name w:val="header"/>
    <w:basedOn w:val="Normal"/>
    <w:link w:val="EncabezadoCar"/>
    <w:uiPriority w:val="99"/>
    <w:unhideWhenUsed/>
    <w:rsid w:val="001256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56F9"/>
    <w:rPr>
      <w:color w:val="5A5A5A" w:themeColor="text1" w:themeTint="A5"/>
      <w:sz w:val="20"/>
      <w:szCs w:val="20"/>
      <w:lang w:eastAsia="en-US"/>
    </w:rPr>
  </w:style>
  <w:style w:type="paragraph" w:styleId="Piedepgina">
    <w:name w:val="footer"/>
    <w:basedOn w:val="Normal"/>
    <w:link w:val="PiedepginaCar"/>
    <w:uiPriority w:val="99"/>
    <w:unhideWhenUsed/>
    <w:rsid w:val="001256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56F9"/>
    <w:rPr>
      <w:color w:val="5A5A5A" w:themeColor="text1" w:themeTint="A5"/>
      <w:sz w:val="20"/>
      <w:szCs w:val="20"/>
      <w:lang w:eastAsia="en-US"/>
    </w:rPr>
  </w:style>
  <w:style w:type="character" w:styleId="Textoennegrita">
    <w:name w:val="Strong"/>
    <w:uiPriority w:val="22"/>
    <w:qFormat/>
    <w:rsid w:val="001256F9"/>
    <w:rPr>
      <w:b/>
      <w:bCs/>
      <w:spacing w:val="0"/>
    </w:rPr>
  </w:style>
  <w:style w:type="paragraph" w:styleId="Subttulo">
    <w:name w:val="Subtitle"/>
    <w:next w:val="Normal"/>
    <w:link w:val="SubttuloCar"/>
    <w:uiPriority w:val="11"/>
    <w:qFormat/>
    <w:rsid w:val="001256F9"/>
    <w:pPr>
      <w:spacing w:after="600"/>
    </w:pPr>
    <w:rPr>
      <w:smallCaps/>
      <w:color w:val="938953" w:themeColor="background2" w:themeShade="7F"/>
      <w:spacing w:val="5"/>
      <w:sz w:val="28"/>
      <w:szCs w:val="28"/>
      <w:lang w:val="es-MX" w:eastAsia="en-US"/>
    </w:rPr>
  </w:style>
  <w:style w:type="character" w:customStyle="1" w:styleId="SubttuloCar">
    <w:name w:val="Subtítulo Car"/>
    <w:basedOn w:val="Fuentedeprrafopredeter"/>
    <w:link w:val="Subttulo"/>
    <w:uiPriority w:val="11"/>
    <w:rsid w:val="001256F9"/>
    <w:rPr>
      <w:smallCaps/>
      <w:color w:val="938953" w:themeColor="background2" w:themeShade="7F"/>
      <w:spacing w:val="5"/>
      <w:sz w:val="28"/>
      <w:szCs w:val="28"/>
      <w:lang w:val="es-MX" w:eastAsia="en-US"/>
    </w:rPr>
  </w:style>
  <w:style w:type="paragraph" w:styleId="Descripcin">
    <w:name w:val="caption"/>
    <w:basedOn w:val="Normal"/>
    <w:next w:val="Normal"/>
    <w:uiPriority w:val="35"/>
    <w:semiHidden/>
    <w:unhideWhenUsed/>
    <w:qFormat/>
    <w:rsid w:val="001256F9"/>
    <w:rPr>
      <w:b/>
      <w:bCs/>
      <w:smallCaps/>
      <w:color w:val="1F497D" w:themeColor="text2"/>
      <w:spacing w:val="10"/>
      <w:sz w:val="18"/>
      <w:szCs w:val="18"/>
    </w:rPr>
  </w:style>
  <w:style w:type="character" w:styleId="nfasis">
    <w:name w:val="Emphasis"/>
    <w:uiPriority w:val="20"/>
    <w:qFormat/>
    <w:rsid w:val="001256F9"/>
    <w:rPr>
      <w:b/>
      <w:bCs/>
      <w:smallCaps/>
      <w:dstrike w:val="0"/>
      <w:color w:val="5A5A5A" w:themeColor="text1" w:themeTint="A5"/>
      <w:spacing w:val="20"/>
      <w:kern w:val="0"/>
      <w:vertAlign w:val="baseline"/>
    </w:rPr>
  </w:style>
  <w:style w:type="paragraph" w:styleId="Sinespaciado">
    <w:name w:val="No Spacing"/>
    <w:aliases w:val="Criterios"/>
    <w:basedOn w:val="Normal"/>
    <w:link w:val="SinespaciadoCar"/>
    <w:uiPriority w:val="1"/>
    <w:qFormat/>
    <w:rsid w:val="001256F9"/>
    <w:pPr>
      <w:spacing w:after="0" w:line="240" w:lineRule="auto"/>
    </w:pPr>
  </w:style>
  <w:style w:type="paragraph" w:styleId="Cita">
    <w:name w:val="Quote"/>
    <w:basedOn w:val="Normal"/>
    <w:next w:val="Normal"/>
    <w:link w:val="CitaCar"/>
    <w:uiPriority w:val="29"/>
    <w:qFormat/>
    <w:rsid w:val="001256F9"/>
    <w:rPr>
      <w:i/>
      <w:iCs/>
    </w:rPr>
  </w:style>
  <w:style w:type="character" w:customStyle="1" w:styleId="CitaCar">
    <w:name w:val="Cita Car"/>
    <w:basedOn w:val="Fuentedeprrafopredeter"/>
    <w:link w:val="Cita"/>
    <w:uiPriority w:val="29"/>
    <w:rsid w:val="001256F9"/>
    <w:rPr>
      <w:i/>
      <w:iCs/>
      <w:color w:val="5A5A5A" w:themeColor="text1" w:themeTint="A5"/>
      <w:sz w:val="20"/>
      <w:szCs w:val="20"/>
      <w:lang w:eastAsia="en-US"/>
    </w:rPr>
  </w:style>
  <w:style w:type="paragraph" w:styleId="Citadestacada">
    <w:name w:val="Intense Quote"/>
    <w:basedOn w:val="Normal"/>
    <w:next w:val="Normal"/>
    <w:link w:val="CitadestacadaCar"/>
    <w:uiPriority w:val="30"/>
    <w:qFormat/>
    <w:rsid w:val="001256F9"/>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destacadaCar">
    <w:name w:val="Cita destacada Car"/>
    <w:basedOn w:val="Fuentedeprrafopredeter"/>
    <w:link w:val="Citadestacada"/>
    <w:uiPriority w:val="30"/>
    <w:rsid w:val="001256F9"/>
    <w:rPr>
      <w:rFonts w:asciiTheme="majorHAnsi" w:eastAsiaTheme="majorEastAsia" w:hAnsiTheme="majorHAnsi" w:cstheme="majorBidi"/>
      <w:smallCaps/>
      <w:color w:val="365F91" w:themeColor="accent1" w:themeShade="BF"/>
      <w:sz w:val="20"/>
      <w:szCs w:val="20"/>
      <w:lang w:eastAsia="en-US"/>
    </w:rPr>
  </w:style>
  <w:style w:type="character" w:styleId="nfasissutil">
    <w:name w:val="Subtle Emphasis"/>
    <w:uiPriority w:val="19"/>
    <w:qFormat/>
    <w:rsid w:val="001256F9"/>
    <w:rPr>
      <w:smallCaps/>
      <w:dstrike w:val="0"/>
      <w:color w:val="5A5A5A" w:themeColor="text1" w:themeTint="A5"/>
      <w:vertAlign w:val="baseline"/>
    </w:rPr>
  </w:style>
  <w:style w:type="character" w:styleId="Referenciasutil">
    <w:name w:val="Subtle Reference"/>
    <w:uiPriority w:val="31"/>
    <w:qFormat/>
    <w:rsid w:val="001256F9"/>
    <w:rPr>
      <w:rFonts w:asciiTheme="majorHAnsi" w:eastAsiaTheme="majorEastAsia" w:hAnsiTheme="majorHAnsi" w:cstheme="majorBidi"/>
      <w:i/>
      <w:iCs/>
      <w:smallCaps/>
      <w:color w:val="5A5A5A" w:themeColor="text1" w:themeTint="A5"/>
      <w:spacing w:val="20"/>
    </w:rPr>
  </w:style>
  <w:style w:type="character" w:styleId="Referenciaintensa">
    <w:name w:val="Intense Reference"/>
    <w:uiPriority w:val="32"/>
    <w:qFormat/>
    <w:rsid w:val="001256F9"/>
    <w:rPr>
      <w:rFonts w:asciiTheme="majorHAnsi" w:eastAsiaTheme="majorEastAsia" w:hAnsiTheme="majorHAnsi" w:cstheme="majorBidi"/>
      <w:b/>
      <w:bCs/>
      <w:i/>
      <w:iCs/>
      <w:smallCaps/>
      <w:color w:val="17365D" w:themeColor="text2" w:themeShade="BF"/>
      <w:spacing w:val="20"/>
    </w:rPr>
  </w:style>
  <w:style w:type="character" w:styleId="Ttulodellibro">
    <w:name w:val="Book Title"/>
    <w:uiPriority w:val="33"/>
    <w:qFormat/>
    <w:rsid w:val="001256F9"/>
    <w:rPr>
      <w:rFonts w:asciiTheme="majorHAnsi" w:eastAsiaTheme="majorEastAsia" w:hAnsiTheme="majorHAnsi" w:cstheme="majorBidi"/>
      <w:b/>
      <w:bCs/>
      <w:smallCaps/>
      <w:color w:val="17365D" w:themeColor="text2" w:themeShade="BF"/>
      <w:spacing w:val="10"/>
      <w:u w:val="single"/>
    </w:rPr>
  </w:style>
  <w:style w:type="paragraph" w:styleId="TtulodeTDC">
    <w:name w:val="TOC Heading"/>
    <w:basedOn w:val="Ttulo1"/>
    <w:next w:val="Normal"/>
    <w:uiPriority w:val="39"/>
    <w:semiHidden/>
    <w:unhideWhenUsed/>
    <w:qFormat/>
    <w:rsid w:val="001256F9"/>
    <w:pPr>
      <w:outlineLvl w:val="9"/>
    </w:pPr>
    <w:rPr>
      <w:lang w:bidi="en-US"/>
    </w:rPr>
  </w:style>
  <w:style w:type="character" w:customStyle="1" w:styleId="SinespaciadoCar">
    <w:name w:val="Sin espaciado Car"/>
    <w:aliases w:val="Criterios Car"/>
    <w:basedOn w:val="Fuentedeprrafopredeter"/>
    <w:link w:val="Sinespaciado"/>
    <w:uiPriority w:val="1"/>
    <w:rsid w:val="001256F9"/>
    <w:rPr>
      <w:color w:val="5A5A5A" w:themeColor="text1" w:themeTint="A5"/>
      <w:sz w:val="20"/>
      <w:szCs w:val="20"/>
      <w:lang w:eastAsia="en-US"/>
    </w:rPr>
  </w:style>
  <w:style w:type="character" w:customStyle="1" w:styleId="apple-style-span">
    <w:name w:val="apple-style-span"/>
    <w:basedOn w:val="Fuentedeprrafopredeter"/>
    <w:rsid w:val="001256F9"/>
  </w:style>
  <w:style w:type="paragraph" w:customStyle="1" w:styleId="Default">
    <w:name w:val="Default"/>
    <w:rsid w:val="001256F9"/>
    <w:pPr>
      <w:widowControl w:val="0"/>
      <w:autoSpaceDE w:val="0"/>
      <w:autoSpaceDN w:val="0"/>
      <w:adjustRightInd w:val="0"/>
    </w:pPr>
    <w:rPr>
      <w:rFonts w:ascii="Arial" w:hAnsi="Arial" w:cs="Arial"/>
      <w:color w:val="000000"/>
      <w:lang w:val="es-ES" w:eastAsia="en-US"/>
    </w:rPr>
  </w:style>
  <w:style w:type="character" w:styleId="Hipervnculo">
    <w:name w:val="Hyperlink"/>
    <w:basedOn w:val="Fuentedeprrafopredeter"/>
    <w:uiPriority w:val="99"/>
    <w:unhideWhenUsed/>
    <w:rsid w:val="001256F9"/>
    <w:rPr>
      <w:color w:val="0000FF"/>
      <w:u w:val="single"/>
    </w:rPr>
  </w:style>
  <w:style w:type="character" w:styleId="Nmerodepgina">
    <w:name w:val="page number"/>
    <w:basedOn w:val="Fuentedeprrafopredeter"/>
    <w:uiPriority w:val="99"/>
    <w:unhideWhenUsed/>
    <w:rsid w:val="009C22A3"/>
  </w:style>
  <w:style w:type="character" w:styleId="Hipervnculovisitado">
    <w:name w:val="FollowedHyperlink"/>
    <w:basedOn w:val="Fuentedeprrafopredeter"/>
    <w:uiPriority w:val="99"/>
    <w:semiHidden/>
    <w:unhideWhenUsed/>
    <w:rsid w:val="003202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juridicas.unam.mx/publica/rev/decoin/cont/9/art/art2.htm" TargetMode="External"/><Relationship Id="rId13" Type="http://schemas.openxmlformats.org/officeDocument/2006/relationships/hyperlink" Target="http://opendatahandbook.org/es/" TargetMode="External"/><Relationship Id="rId3" Type="http://schemas.openxmlformats.org/officeDocument/2006/relationships/hyperlink" Target="http://www.ordenjuridico.gob.mx/TratInt/I2.pdf" TargetMode="External"/><Relationship Id="rId7" Type="http://schemas.openxmlformats.org/officeDocument/2006/relationships/hyperlink" Target="http://www.scjn.gob.mx/PLENO/ver_taquigraficas/09072012POsn.pdf" TargetMode="External"/><Relationship Id="rId12" Type="http://schemas.openxmlformats.org/officeDocument/2006/relationships/hyperlink" Target="http://www.observatoriopoliticasocial.org/images/stories/biblioteca/pdf/documentos-sistema-naciones-unidas/observacionesgenerales/20_no_discriminacion.pdf" TargetMode="External"/><Relationship Id="rId2" Type="http://schemas.openxmlformats.org/officeDocument/2006/relationships/hyperlink" Target="http://www.un.org/spanish/documents/ga/res/32/ares32.htm" TargetMode="External"/><Relationship Id="rId1" Type="http://schemas.openxmlformats.org/officeDocument/2006/relationships/hyperlink" Target="http://opendatahandbook.org/es/" TargetMode="External"/><Relationship Id="rId6" Type="http://schemas.openxmlformats.org/officeDocument/2006/relationships/hyperlink" Target="http://fundar.org.mx/op/?page_id=735" TargetMode="External"/><Relationship Id="rId11" Type="http://schemas.openxmlformats.org/officeDocument/2006/relationships/hyperlink" Target="http://rendiciondecuentas.org.mx/data/arch_docu/RI.pdf" TargetMode="External"/><Relationship Id="rId5" Type="http://schemas.openxmlformats.org/officeDocument/2006/relationships/hyperlink" Target="http://fundar.org.mx/op/?page_id=532" TargetMode="External"/><Relationship Id="rId10" Type="http://schemas.openxmlformats.org/officeDocument/2006/relationships/hyperlink" Target="http://sgc.uaeh.edu.mx/transparencia/images/LEGISLACION/LEYES_FEDERALES/CODIGO%20BUENAS%20PRACTICAS.pdf" TargetMode="External"/><Relationship Id="rId4" Type="http://schemas.openxmlformats.org/officeDocument/2006/relationships/hyperlink" Target="http://icj-usa.org/wp-content/uploads/2010/01/CIJ_IMPUNIDAD_No3.pdf" TargetMode="External"/><Relationship Id="rId9" Type="http://schemas.openxmlformats.org/officeDocument/2006/relationships/hyperlink" Target="http://www.article19.org/data/files/medialibrary/1803/Johannesburg-Principles.Sp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8BB7B-F14D-4E8A-8E07-23FA571D0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75</Pages>
  <Words>19569</Words>
  <Characters>107634</Characters>
  <Application>Microsoft Office Word</Application>
  <DocSecurity>0</DocSecurity>
  <Lines>896</Lines>
  <Paragraphs>253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Hernández</dc:creator>
  <cp:keywords/>
  <dc:description/>
  <cp:lastModifiedBy>Renata</cp:lastModifiedBy>
  <cp:revision>333</cp:revision>
  <dcterms:created xsi:type="dcterms:W3CDTF">2014-07-09T18:54:00Z</dcterms:created>
  <dcterms:modified xsi:type="dcterms:W3CDTF">2014-07-23T17:50:00Z</dcterms:modified>
</cp:coreProperties>
</file>