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>
          <w:b/>
        </w:rPr>
        <w:t>Fuentes de información del mapa</w:t>
      </w:r>
    </w:p>
    <w:p>
      <w:pPr>
        <w:pStyle w:val="style0"/>
        <w:spacing w:after="0" w:before="0" w:line="100" w:lineRule="atLeast"/>
      </w:pPr>
      <w:r>
        <w:rPr>
          <w:b/>
        </w:rPr>
      </w:r>
    </w:p>
    <w:p>
      <w:pPr>
        <w:pStyle w:val="style0"/>
        <w:spacing w:after="0" w:before="0" w:line="100" w:lineRule="atLeast"/>
        <w:jc w:val="both"/>
      </w:pPr>
      <w:r>
        <w:rPr/>
        <w:t>La información que puede visualizarse en el mapa procede de diferentes bases de datos, obtenidas de las siguientes fuentes.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25"/>
        <w:numPr>
          <w:ilvl w:val="0"/>
          <w:numId w:val="1"/>
        </w:numPr>
        <w:spacing w:after="0" w:before="0" w:line="360" w:lineRule="auto"/>
        <w:jc w:val="both"/>
      </w:pPr>
      <w:r>
        <w:rPr>
          <w:b/>
        </w:rPr>
        <w:t>Concesiones mineras, 2012.</w:t>
      </w:r>
    </w:p>
    <w:p>
      <w:pPr>
        <w:pStyle w:val="style0"/>
        <w:spacing w:after="0" w:before="0" w:line="360" w:lineRule="auto"/>
        <w:jc w:val="both"/>
      </w:pPr>
      <w:r>
        <w:rPr/>
        <w:t xml:space="preserve">Llano, Manuel. 2012. </w:t>
      </w:r>
      <w:r>
        <w:rPr>
          <w:i/>
        </w:rPr>
        <w:t>Concesiones mineras. Reconstrucción y digitalización a partir del portal del Sistema Integral de Administración Minera (SIAM) de la Secretaría de Economía, así como en base a solicitudes de información pública</w:t>
      </w:r>
      <w:r>
        <w:rPr/>
        <w:t>. Conservación Humana, A.C.</w:t>
      </w:r>
    </w:p>
    <w:p>
      <w:pPr>
        <w:pStyle w:val="style25"/>
        <w:numPr>
          <w:ilvl w:val="0"/>
          <w:numId w:val="1"/>
        </w:numPr>
        <w:spacing w:after="0" w:before="0" w:line="360" w:lineRule="auto"/>
        <w:jc w:val="both"/>
      </w:pPr>
      <w:r>
        <w:rPr>
          <w:b/>
        </w:rPr>
        <w:t>Núcleos agrarios, 2009</w:t>
      </w:r>
    </w:p>
    <w:p>
      <w:pPr>
        <w:pStyle w:val="style0"/>
        <w:spacing w:after="0" w:before="0" w:line="360" w:lineRule="auto"/>
        <w:jc w:val="both"/>
      </w:pPr>
      <w:r>
        <w:rPr/>
        <w:t xml:space="preserve">CIESAS. 2009. </w:t>
      </w:r>
      <w:r>
        <w:rPr>
          <w:i/>
        </w:rPr>
        <w:t>Núcleos agrarios. Descarga digital del sitio AntropoSIG del Centro de Investigaciones y Estudios Superiores en Antropología Social (CIESAS).</w:t>
      </w:r>
      <w:r>
        <w:rPr/>
        <w:t xml:space="preserve"> </w:t>
      </w:r>
    </w:p>
    <w:p>
      <w:pPr>
        <w:pStyle w:val="style25"/>
        <w:numPr>
          <w:ilvl w:val="0"/>
          <w:numId w:val="1"/>
        </w:numPr>
        <w:spacing w:after="0" w:before="0" w:line="360" w:lineRule="auto"/>
        <w:jc w:val="both"/>
      </w:pPr>
      <w:r>
        <w:rPr>
          <w:b/>
        </w:rPr>
        <w:t>Estados y municipios, 2010</w:t>
      </w:r>
    </w:p>
    <w:p>
      <w:pPr>
        <w:pStyle w:val="style0"/>
        <w:spacing w:after="0" w:before="0" w:line="360" w:lineRule="auto"/>
        <w:jc w:val="both"/>
      </w:pPr>
      <w:r>
        <w:rPr/>
        <w:t xml:space="preserve">INEGI. 2010. </w:t>
      </w:r>
      <w:r>
        <w:rPr>
          <w:i/>
        </w:rPr>
        <w:t>Marco geoestadístico 2010 versión 5.0, Áreas Geoestadísticas Estatales</w:t>
      </w:r>
      <w:r>
        <w:rPr/>
        <w:t xml:space="preserve">. </w:t>
      </w:r>
    </w:p>
    <w:p>
      <w:pPr>
        <w:pStyle w:val="style0"/>
        <w:spacing w:after="0" w:before="0" w:line="360" w:lineRule="auto"/>
        <w:jc w:val="both"/>
      </w:pPr>
      <w:r>
        <w:rPr/>
        <w:t xml:space="preserve">INEGI. 2010. </w:t>
      </w:r>
      <w:r>
        <w:rPr>
          <w:i/>
        </w:rPr>
        <w:t>Marco geoestadístico 2010 versión 5.0, Áreas Geoestadísticas Municipales</w:t>
      </w:r>
      <w:r>
        <w:rPr/>
        <w:t xml:space="preserve">. </w:t>
      </w:r>
    </w:p>
    <w:p>
      <w:pPr>
        <w:pStyle w:val="style25"/>
        <w:numPr>
          <w:ilvl w:val="0"/>
          <w:numId w:val="1"/>
        </w:numPr>
        <w:spacing w:after="0" w:before="0" w:line="360" w:lineRule="auto"/>
        <w:jc w:val="both"/>
      </w:pPr>
      <w:r>
        <w:rPr>
          <w:b/>
        </w:rPr>
        <w:t>Áreas Naturales Protegidas (Federal), 2013</w:t>
      </w:r>
    </w:p>
    <w:p>
      <w:pPr>
        <w:pStyle w:val="style0"/>
        <w:spacing w:after="0" w:before="0" w:line="360" w:lineRule="auto"/>
        <w:jc w:val="both"/>
      </w:pPr>
      <w:r>
        <w:rPr/>
        <w:t xml:space="preserve">CONANP. 2013. </w:t>
      </w:r>
      <w:r>
        <w:rPr>
          <w:i/>
        </w:rPr>
        <w:t>Cobertura de las Áreas Naturales Protegidas Federales de México.</w:t>
      </w:r>
    </w:p>
    <w:p>
      <w:pPr>
        <w:pStyle w:val="style25"/>
        <w:numPr>
          <w:ilvl w:val="0"/>
          <w:numId w:val="1"/>
        </w:numPr>
        <w:spacing w:after="0" w:before="0" w:line="360" w:lineRule="auto"/>
        <w:jc w:val="both"/>
      </w:pPr>
      <w:r>
        <w:rPr>
          <w:b/>
        </w:rPr>
        <w:t>Áreas Naturales Protegidas (Estatal y Municipal), 2012</w:t>
      </w:r>
    </w:p>
    <w:p>
      <w:pPr>
        <w:pStyle w:val="style0"/>
        <w:spacing w:after="0" w:before="0" w:line="360" w:lineRule="auto"/>
        <w:jc w:val="both"/>
      </w:pPr>
      <w:r>
        <w:rPr/>
        <w:t>Bezaury-Creel J.E., J.Fco. Torres-Origel, L.M. Ochoa-Ochoa, Marco Castro-Campos, N. Moreno-Díaz. 2012</w:t>
      </w:r>
      <w:r>
        <w:rPr>
          <w:i/>
        </w:rPr>
        <w:t>. Bases de Datos Geográficas de las Áreas Naturales Protegidas Estatales, del Distrito Federal, Municipales y Áreas de Valor Ambiental en México - Versión 3.0, Diciembre 31 2011</w:t>
      </w:r>
      <w:r>
        <w:rPr/>
        <w:t xml:space="preserve">. The Nature Conservancy / Comisión Nacional para el Conocimiento y Uso de la Biodiversidad / Comisión Nacional de Áreas Naturales Protegidas. </w:t>
      </w:r>
    </w:p>
    <w:p>
      <w:pPr>
        <w:pStyle w:val="style25"/>
        <w:numPr>
          <w:ilvl w:val="0"/>
          <w:numId w:val="1"/>
        </w:numPr>
        <w:spacing w:after="0" w:before="0" w:line="360" w:lineRule="auto"/>
        <w:jc w:val="both"/>
      </w:pPr>
      <w:r>
        <w:rPr>
          <w:b/>
        </w:rPr>
        <w:t>Lenguas Indígenas, 2008</w:t>
      </w:r>
    </w:p>
    <w:p>
      <w:pPr>
        <w:pStyle w:val="style0"/>
        <w:spacing w:after="0" w:before="0" w:line="360" w:lineRule="auto"/>
        <w:jc w:val="both"/>
      </w:pPr>
      <w:r>
        <w:rPr/>
        <w:t xml:space="preserve">Ávila Blomberg, Alejandro de, Norma Gpe. Moreno Díaz. 2008. </w:t>
      </w:r>
      <w:r>
        <w:rPr>
          <w:i/>
        </w:rPr>
        <w:t>Distribución de las lenguas indígenas de México</w:t>
      </w:r>
      <w:r>
        <w:rPr/>
        <w:t>. Jardín Etnobotánico de Oaxaca- Comisión Nacional para el Conocimiento y Uso de la Biodiversidad.</w:t>
      </w:r>
    </w:p>
    <w:p>
      <w:pPr>
        <w:pStyle w:val="style0"/>
        <w:spacing w:after="0" w:before="0" w:line="360" w:lineRule="auto"/>
        <w:jc w:val="both"/>
      </w:pPr>
      <w:r>
        <w:rPr/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jc w:val="both"/>
      </w:pPr>
      <w:r>
        <w:rPr>
          <w:b/>
        </w:rPr>
        <w:t xml:space="preserve">Nota metodológica sobre información de </w:t>
      </w:r>
      <w:bookmarkStart w:id="0" w:name="_GoBack"/>
      <w:bookmarkEnd w:id="0"/>
      <w:r>
        <w:rPr>
          <w:b/>
        </w:rPr>
        <w:t>concesiones mineras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360" w:lineRule="auto"/>
        <w:jc w:val="both"/>
      </w:pPr>
      <w:r>
        <w:rPr/>
        <w:t>Es posible que la información presentada en el mapa sobre la extensión de las concesiones mineras discrepe con la información presente en otras fuentes, ya que los diferentes estudios e información oficiales han presentado distintos resultados.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jc w:val="both"/>
      </w:pPr>
      <w:r>
        <w:rPr/>
        <w:t>Estas discrepancias se originan por: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25"/>
        <w:numPr>
          <w:ilvl w:val="0"/>
          <w:numId w:val="1"/>
        </w:numPr>
        <w:spacing w:after="0" w:before="0" w:line="360" w:lineRule="auto"/>
        <w:jc w:val="both"/>
      </w:pPr>
      <w:r>
        <w:rPr/>
        <w:t>Diferencias en la fecha de corte de la información</w:t>
      </w:r>
    </w:p>
    <w:p>
      <w:pPr>
        <w:pStyle w:val="style25"/>
        <w:numPr>
          <w:ilvl w:val="0"/>
          <w:numId w:val="1"/>
        </w:numPr>
        <w:spacing w:after="0" w:before="0" w:line="360" w:lineRule="auto"/>
        <w:jc w:val="both"/>
      </w:pPr>
      <w:r>
        <w:rPr/>
        <w:t>Traslape entre concesiones</w:t>
      </w:r>
    </w:p>
    <w:p>
      <w:pPr>
        <w:pStyle w:val="style25"/>
        <w:numPr>
          <w:ilvl w:val="0"/>
          <w:numId w:val="1"/>
        </w:numPr>
        <w:spacing w:after="0" w:before="0" w:line="360" w:lineRule="auto"/>
        <w:jc w:val="both"/>
      </w:pPr>
      <w:r>
        <w:rPr/>
        <w:t>Concesiones que se extienden fuera del territorio nacional</w:t>
      </w:r>
    </w:p>
    <w:p>
      <w:pPr>
        <w:pStyle w:val="style0"/>
        <w:spacing w:after="0" w:before="0" w:line="360" w:lineRule="auto"/>
        <w:jc w:val="both"/>
      </w:pPr>
      <w:r>
        <w:rPr/>
        <w:t xml:space="preserve"> 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s-MX"/>
    </w:rPr>
  </w:style>
  <w:style w:styleId="style15" w:type="character">
    <w:name w:val="Default Paragraph Font"/>
    <w:next w:val="style15"/>
    <w:rPr/>
  </w:style>
  <w:style w:styleId="style16" w:type="character">
    <w:name w:val="Encabezado Car"/>
    <w:basedOn w:val="style15"/>
    <w:next w:val="style16"/>
    <w:rPr/>
  </w:style>
  <w:style w:styleId="style17" w:type="character">
    <w:name w:val="Pie de página Car"/>
    <w:basedOn w:val="style15"/>
    <w:next w:val="style17"/>
    <w:rPr/>
  </w:style>
  <w:style w:styleId="style18" w:type="character">
    <w:name w:val="ListLabel 1"/>
    <w:next w:val="style18"/>
    <w:rPr>
      <w:rFonts w:cs="Calibri"/>
    </w:rPr>
  </w:style>
  <w:style w:styleId="style19" w:type="character">
    <w:name w:val="ListLabel 2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  <w:style w:styleId="style26" w:type="paragraph">
    <w:name w:val="Header"/>
    <w:basedOn w:val="style0"/>
    <w:next w:val="style26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27" w:type="paragraph">
    <w:name w:val="Footer"/>
    <w:basedOn w:val="style0"/>
    <w:next w:val="style27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2013-12-06T15:48:00.00Z</dcterms:created>
  <dc:creator>Manuu</dc:creator>
  <cp:lastModifiedBy>Aroa de la Fuente López</cp:lastModifiedBy>
  <dcterms:modified xsi:type="dcterms:W3CDTF">2013-12-06T21:04:00.00Z</dcterms:modified>
  <cp:revision>5</cp:revision>
</cp:coreProperties>
</file>