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E86AB"/>
          <w:sz w:val="56"/>
          <w:szCs w:val="56"/>
        </w:rPr>
        <w:t xml:space="preserve">Die 7 Lebensbereiche</w:t>
      </w:r>
    </w:p>
    <w:p>
      <w:pPr>
        <w:spacing w:after="800" w:before="200"/>
        <w:jc w:val="center"/>
      </w:pPr>
      <w:r>
        <w:rPr>
          <w:color w:val="1A1A2E"/>
          <w:sz w:val="30"/>
          <w:szCs w:val="30"/>
        </w:rPr>
        <w:t xml:space="preserve">Persönliche Standortbestimmung, Leitbilder &amp; Entwicklungsplan</w:t>
      </w:r>
    </w:p>
    <w:p>
      <w:pPr>
        <w:spacing w:after="100"/>
        <w:jc w:val="center"/>
      </w:pPr>
      <w:r>
        <w:rPr>
          <w:i/>
          <w:iCs/>
        </w:rPr>
        <w:t xml:space="preserve">Basierend auf KAC – Session 05 (Thaddaeus Koroma)</w:t>
      </w:r>
    </w:p>
    <w:p>
      <w:pPr>
        <w:spacing w:after="100"/>
        <w:jc w:val="center"/>
      </w:pPr>
      <w:r>
        <w:t xml:space="preserve">ergänzt um persönliches Rad des Lebens, Leitbild-Vorschläge und tägliche Routinen</w:t>
      </w:r>
    </w:p>
    <w:p>
      <w:pPr>
        <w:spacing w:before="600"/>
        <w:jc w:val="center"/>
      </w:pPr>
      <w:r>
        <w:rPr>
          <w:color w:val="666666"/>
        </w:rPr>
        <w:t xml:space="preserve">Stand: 29. Juli 2026</w:t>
      </w:r>
    </w:p>
    <w:p>
      <w:r>
        <w:br w:type="page"/>
      </w:r>
    </w:p>
    <w:p>
      <w:pPr>
        <w:pStyle w:val="Heading1"/>
        <w:spacing w:after="200" w:before="400"/>
      </w:pPr>
      <w:r>
        <w:rPr>
          <w:b/>
          <w:bCs/>
          <w:color w:val="1A1A2E"/>
        </w:rPr>
        <w:t xml:space="preserve">Wie wir arbeiten — Methodik</w:t>
      </w:r>
    </w:p>
    <w:p>
      <w:pPr>
        <w:spacing w:after="150"/>
      </w:pPr>
      <w:r>
        <w:t xml:space="preserve">Dieses Dokument ist ein lebendiges Arbeitsdokument, kein einmaliger Report. Es wird Bereich für Bereich vertieft. Vier Prinzipien ziehen sich durch alle 7 Lebensbereiche:</w:t>
      </w:r>
    </w:p>
    <w:p>
      <w:pPr>
        <w:pStyle w:val="Heading2"/>
        <w:spacing w:after="150" w:before="300"/>
      </w:pPr>
      <w:r>
        <w:rPr>
          <w:b/>
          <w:bCs/>
          <w:color w:val="2E86AB"/>
        </w:rPr>
        <w:t xml:space="preserve">Pareto-Prinzip (80/20)</w:t>
      </w:r>
    </w:p>
    <w:p>
      <w:pPr>
        <w:spacing w:after="150"/>
      </w:pPr>
      <w:r>
        <w:t xml:space="preserve">In jedem Bereich zählt nicht die Menge an Aktivität, sondern die richtige. Wir suchen pro Bereich die ca. 20% der Handlungen, die 80% der Wirkung bringen — und kürzen bewusst den Rest.</w:t>
      </w:r>
    </w:p>
    <w:p>
      <w:pPr>
        <w:pStyle w:val="Heading2"/>
        <w:spacing w:after="150" w:before="300"/>
      </w:pPr>
      <w:r>
        <w:rPr>
          <w:b/>
          <w:bCs/>
          <w:color w:val="2E86AB"/>
        </w:rPr>
        <w:t xml:space="preserve">Kaizen</w:t>
      </w:r>
    </w:p>
    <w:p>
      <w:pPr>
        <w:spacing w:after="150"/>
      </w:pPr>
      <w:r>
        <w:t xml:space="preserve">Kleine, tägliche Verbesserungen statt großer, unrealistischer Sprünge. Konsistenz schlägt Intensität. Die Routinen in diesem Dokument sind bewusst klein und wiederholbar gehalten.</w:t>
      </w:r>
    </w:p>
    <w:p>
      <w:pPr>
        <w:pStyle w:val="Heading2"/>
        <w:spacing w:after="150" w:before="300"/>
      </w:pPr>
      <w:r>
        <w:rPr>
          <w:b/>
          <w:bCs/>
          <w:color w:val="2E86AB"/>
        </w:rPr>
        <w:t xml:space="preserve">Dispenza-Methode: Identität vor Realität</w:t>
      </w:r>
    </w:p>
    <w:p>
      <w:pPr>
        <w:spacing w:after="150"/>
      </w:pPr>
      <w:r>
        <w:t xml:space="preserve">Nach Dr. Joe Dispenza wird man die Person, die man sein will, indem man sich täglich emotional mit dieser Identität verbindet — bevor die äußeren Umstände es bestätigen. Diese Praxis zieht sich durch alle Bereiche, besonders durch Emotion &amp; Mental und Spiritualität.</w:t>
      </w:r>
    </w:p>
    <w:p>
      <w:pPr>
        <w:pStyle w:val="Heading2"/>
        <w:spacing w:after="150" w:before="300"/>
      </w:pPr>
      <w:r>
        <w:rPr>
          <w:b/>
          <w:bCs/>
          <w:color w:val="2E86AB"/>
        </w:rPr>
        <w:t xml:space="preserve">Kiyosaki-Denken: Cashflow-Quadrant</w:t>
      </w:r>
    </w:p>
    <w:p>
      <w:pPr>
        <w:spacing w:after="150"/>
      </w:pPr>
      <w:r>
        <w:t xml:space="preserve">Für B/K/M und Finanzen gilt die Unterscheidung zwischen Angestellten-/Selbstständigen-Denken und Business-Owner-/Investoren-Denken — der Weg raus aus "Zeit gegen Geld".</w:t>
      </w:r>
    </w:p>
    <w:p>
      <w:r>
        <w:br w:type="page"/>
      </w:r>
    </w:p>
    <w:p>
      <w:pPr>
        <w:pStyle w:val="Heading1"/>
        <w:spacing w:after="200" w:before="400"/>
      </w:pPr>
      <w:r>
        <w:rPr>
          <w:b/>
          <w:bCs/>
          <w:color w:val="1A1A2E"/>
        </w:rPr>
        <w:t xml:space="preserve">Rad des Lebens — Standortbestimmung</w:t>
      </w:r>
    </w:p>
    <w:p>
      <w:pPr>
        <w:spacing w:after="150"/>
      </w:pPr>
      <w:r>
        <w:t xml:space="preserve">Eine ehrliche Selbsteinschätzung (1–10) aller 7 Bereiche als Ausgangspunkt. Physis und B/K/M stehen mit 2/10 am niedrigsten — beide mit großem Hebel auf die übrigen Bereiche (Physis als körperliches "Kapital", B/K/M als Quelle von Sinn und Einkommen). Deshalb werden beide parallel als erste Fokusbereiche vertieft.</w:t>
      </w:r>
    </w:p>
    <w:p>
      <w:pPr>
        <w:spacing w:after="200" w:before="200"/>
        <w:jc w:val="center"/>
      </w:pPr>
      <w:r>
        <w:drawing>
          <wp:inline distT="0" distB="0" distL="0" distR="0">
            <wp:extent cx="40957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238625"/>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c>
          <w:tcPr>
            <w:tcW w:type="dxa" w:w="6500"/>
            <w:shd w:fill="2E86AB" w:val="clear"/>
            <w:tcMar>
              <w:top w:type="dxa" w:w="100"/>
              <w:left w:type="dxa" w:w="120"/>
              <w:bottom w:type="dxa" w:w="100"/>
              <w:right w:type="dxa" w:w="120"/>
            </w:tcMar>
          </w:tcPr>
          <w:p>
            <w:r>
              <w:rPr>
                <w:b/>
                <w:bCs/>
                <w:color w:val="FFFFFF"/>
              </w:rPr>
              <w:t xml:space="preserve">Bereich</w:t>
            </w:r>
          </w:p>
        </w:tc>
        <w:tc>
          <w:tcPr>
            <w:tcW w:type="dxa" w:w="2900"/>
            <w:shd w:fill="2E86AB" w:val="clear"/>
            <w:tcMar>
              <w:top w:type="dxa" w:w="100"/>
              <w:left w:type="dxa" w:w="120"/>
              <w:bottom w:type="dxa" w:w="100"/>
              <w:right w:type="dxa" w:w="120"/>
            </w:tcMar>
          </w:tcPr>
          <w:p>
            <w:r>
              <w:rPr>
                <w:b/>
                <w:bCs/>
                <w:color w:val="FFFFFF"/>
              </w:rPr>
              <w:t xml:space="preserve">Score (1-10)</w:t>
            </w:r>
          </w:p>
        </w:tc>
      </w:tr>
      <w:tr>
        <w:tc>
          <w:tcPr>
            <w:tcW w:type="dxa" w:w="6500"/>
            <w:shd w:fill="FFFFFF" w:val="clear"/>
            <w:tcMar>
              <w:top w:type="dxa" w:w="100"/>
              <w:left w:type="dxa" w:w="120"/>
              <w:bottom w:type="dxa" w:w="100"/>
              <w:right w:type="dxa" w:w="120"/>
            </w:tcMar>
          </w:tcPr>
          <w:p>
            <w:r>
              <w:rPr>
                <w:b w:val="false"/>
                <w:bCs w:val="false"/>
              </w:rPr>
              <w:t xml:space="preserve">Physis</w:t>
            </w:r>
          </w:p>
        </w:tc>
        <w:tc>
          <w:tcPr>
            <w:tcW w:type="dxa" w:w="2900"/>
            <w:shd w:fill="FFFFFF" w:val="clear"/>
            <w:tcMar>
              <w:top w:type="dxa" w:w="100"/>
              <w:left w:type="dxa" w:w="120"/>
              <w:bottom w:type="dxa" w:w="100"/>
              <w:right w:type="dxa" w:w="120"/>
            </w:tcMar>
          </w:tcPr>
          <w:p>
            <w:r>
              <w:rPr>
                <w:b w:val="false"/>
                <w:bCs w:val="false"/>
              </w:rPr>
              <w:t xml:space="preserve">2</w:t>
            </w:r>
          </w:p>
        </w:tc>
      </w:tr>
      <w:tr>
        <w:tc>
          <w:tcPr>
            <w:tcW w:type="dxa" w:w="6500"/>
            <w:shd w:fill="EAF3F9" w:val="clear"/>
            <w:tcMar>
              <w:top w:type="dxa" w:w="100"/>
              <w:left w:type="dxa" w:w="120"/>
              <w:bottom w:type="dxa" w:w="100"/>
              <w:right w:type="dxa" w:w="120"/>
            </w:tcMar>
          </w:tcPr>
          <w:p>
            <w:r>
              <w:rPr>
                <w:b w:val="false"/>
                <w:bCs w:val="false"/>
              </w:rPr>
              <w:t xml:space="preserve">Emotion &amp; Mental</w:t>
            </w:r>
          </w:p>
        </w:tc>
        <w:tc>
          <w:tcPr>
            <w:tcW w:type="dxa" w:w="2900"/>
            <w:shd w:fill="EAF3F9" w:val="clear"/>
            <w:tcMar>
              <w:top w:type="dxa" w:w="100"/>
              <w:left w:type="dxa" w:w="120"/>
              <w:bottom w:type="dxa" w:w="100"/>
              <w:right w:type="dxa" w:w="120"/>
            </w:tcMar>
          </w:tcPr>
          <w:p>
            <w:r>
              <w:rPr>
                <w:b w:val="false"/>
                <w:bCs w:val="false"/>
              </w:rPr>
              <w:t xml:space="preserve">5</w:t>
            </w:r>
          </w:p>
        </w:tc>
      </w:tr>
      <w:tr>
        <w:tc>
          <w:tcPr>
            <w:tcW w:type="dxa" w:w="6500"/>
            <w:shd w:fill="FFFFFF" w:val="clear"/>
            <w:tcMar>
              <w:top w:type="dxa" w:w="100"/>
              <w:left w:type="dxa" w:w="120"/>
              <w:bottom w:type="dxa" w:w="100"/>
              <w:right w:type="dxa" w:w="120"/>
            </w:tcMar>
          </w:tcPr>
          <w:p>
            <w:r>
              <w:rPr>
                <w:b w:val="false"/>
                <w:bCs w:val="false"/>
              </w:rPr>
              <w:t xml:space="preserve">Beziehungen</w:t>
            </w:r>
          </w:p>
        </w:tc>
        <w:tc>
          <w:tcPr>
            <w:tcW w:type="dxa" w:w="2900"/>
            <w:shd w:fill="FFFFFF" w:val="clear"/>
            <w:tcMar>
              <w:top w:type="dxa" w:w="100"/>
              <w:left w:type="dxa" w:w="120"/>
              <w:bottom w:type="dxa" w:w="100"/>
              <w:right w:type="dxa" w:w="120"/>
            </w:tcMar>
          </w:tcPr>
          <w:p>
            <w:r>
              <w:rPr>
                <w:b w:val="false"/>
                <w:bCs w:val="false"/>
              </w:rPr>
              <w:t xml:space="preserve">4</w:t>
            </w:r>
          </w:p>
        </w:tc>
      </w:tr>
      <w:tr>
        <w:tc>
          <w:tcPr>
            <w:tcW w:type="dxa" w:w="6500"/>
            <w:shd w:fill="EAF3F9" w:val="clear"/>
            <w:tcMar>
              <w:top w:type="dxa" w:w="100"/>
              <w:left w:type="dxa" w:w="120"/>
              <w:bottom w:type="dxa" w:w="100"/>
              <w:right w:type="dxa" w:w="120"/>
            </w:tcMar>
          </w:tcPr>
          <w:p>
            <w:r>
              <w:rPr>
                <w:b w:val="false"/>
                <w:bCs w:val="false"/>
              </w:rPr>
              <w:t xml:space="preserve">Zeit</w:t>
            </w:r>
          </w:p>
        </w:tc>
        <w:tc>
          <w:tcPr>
            <w:tcW w:type="dxa" w:w="2900"/>
            <w:shd w:fill="EAF3F9" w:val="clear"/>
            <w:tcMar>
              <w:top w:type="dxa" w:w="100"/>
              <w:left w:type="dxa" w:w="120"/>
              <w:bottom w:type="dxa" w:w="100"/>
              <w:right w:type="dxa" w:w="120"/>
            </w:tcMar>
          </w:tcPr>
          <w:p>
            <w:r>
              <w:rPr>
                <w:b w:val="false"/>
                <w:bCs w:val="false"/>
              </w:rPr>
              <w:t xml:space="preserve">2-3</w:t>
            </w:r>
          </w:p>
        </w:tc>
      </w:tr>
      <w:tr>
        <w:tc>
          <w:tcPr>
            <w:tcW w:type="dxa" w:w="6500"/>
            <w:shd w:fill="FFFFFF" w:val="clear"/>
            <w:tcMar>
              <w:top w:type="dxa" w:w="100"/>
              <w:left w:type="dxa" w:w="120"/>
              <w:bottom w:type="dxa" w:w="100"/>
              <w:right w:type="dxa" w:w="120"/>
            </w:tcMar>
          </w:tcPr>
          <w:p>
            <w:r>
              <w:rPr>
                <w:b w:val="false"/>
                <w:bCs w:val="false"/>
              </w:rPr>
              <w:t xml:space="preserve">B/K/M</w:t>
            </w:r>
          </w:p>
        </w:tc>
        <w:tc>
          <w:tcPr>
            <w:tcW w:type="dxa" w:w="2900"/>
            <w:shd w:fill="FFFFFF" w:val="clear"/>
            <w:tcMar>
              <w:top w:type="dxa" w:w="100"/>
              <w:left w:type="dxa" w:w="120"/>
              <w:bottom w:type="dxa" w:w="100"/>
              <w:right w:type="dxa" w:w="120"/>
            </w:tcMar>
          </w:tcPr>
          <w:p>
            <w:r>
              <w:rPr>
                <w:b w:val="false"/>
                <w:bCs w:val="false"/>
              </w:rPr>
              <w:t xml:space="preserve">2</w:t>
            </w:r>
          </w:p>
        </w:tc>
      </w:tr>
      <w:tr>
        <w:tc>
          <w:tcPr>
            <w:tcW w:type="dxa" w:w="6500"/>
            <w:shd w:fill="EAF3F9" w:val="clear"/>
            <w:tcMar>
              <w:top w:type="dxa" w:w="100"/>
              <w:left w:type="dxa" w:w="120"/>
              <w:bottom w:type="dxa" w:w="100"/>
              <w:right w:type="dxa" w:w="120"/>
            </w:tcMar>
          </w:tcPr>
          <w:p>
            <w:r>
              <w:rPr>
                <w:b w:val="false"/>
                <w:bCs w:val="false"/>
              </w:rPr>
              <w:t xml:space="preserve">Finanzen</w:t>
            </w:r>
          </w:p>
        </w:tc>
        <w:tc>
          <w:tcPr>
            <w:tcW w:type="dxa" w:w="2900"/>
            <w:shd w:fill="EAF3F9" w:val="clear"/>
            <w:tcMar>
              <w:top w:type="dxa" w:w="100"/>
              <w:left w:type="dxa" w:w="120"/>
              <w:bottom w:type="dxa" w:w="100"/>
              <w:right w:type="dxa" w:w="120"/>
            </w:tcMar>
          </w:tcPr>
          <w:p>
            <w:r>
              <w:rPr>
                <w:b w:val="false"/>
                <w:bCs w:val="false"/>
              </w:rPr>
              <w:t xml:space="preserve">3</w:t>
            </w:r>
          </w:p>
        </w:tc>
      </w:tr>
      <w:tr>
        <w:tc>
          <w:tcPr>
            <w:tcW w:type="dxa" w:w="6500"/>
            <w:shd w:fill="FFFFFF" w:val="clear"/>
            <w:tcMar>
              <w:top w:type="dxa" w:w="100"/>
              <w:left w:type="dxa" w:w="120"/>
              <w:bottom w:type="dxa" w:w="100"/>
              <w:right w:type="dxa" w:w="120"/>
            </w:tcMar>
          </w:tcPr>
          <w:p>
            <w:r>
              <w:rPr>
                <w:b w:val="false"/>
                <w:bCs w:val="false"/>
              </w:rPr>
              <w:t xml:space="preserve">Spiritualität</w:t>
            </w:r>
          </w:p>
        </w:tc>
        <w:tc>
          <w:tcPr>
            <w:tcW w:type="dxa" w:w="2900"/>
            <w:shd w:fill="FFFFFF" w:val="clear"/>
            <w:tcMar>
              <w:top w:type="dxa" w:w="100"/>
              <w:left w:type="dxa" w:w="120"/>
              <w:bottom w:type="dxa" w:w="100"/>
              <w:right w:type="dxa" w:w="120"/>
            </w:tcMar>
          </w:tcPr>
          <w:p>
            <w:r>
              <w:rPr>
                <w:b w:val="false"/>
                <w:bCs w:val="false"/>
              </w:rPr>
              <w:t xml:space="preserve">3</w:t>
            </w:r>
          </w:p>
        </w:tc>
      </w:tr>
    </w:tbl>
    <w:p>
      <w:r>
        <w:br w:type="page"/>
      </w:r>
    </w:p>
    <w:p>
      <w:pPr>
        <w:pStyle w:val="Heading1"/>
        <w:spacing w:after="100" w:before="300"/>
      </w:pPr>
      <w:r>
        <w:rPr>
          <w:b/>
          <w:bCs/>
          <w:color w:val="1A1A2E"/>
        </w:rPr>
        <w:t xml:space="preserve">1. Physis</w:t>
      </w:r>
    </w:p>
    <w:p>
      <w:pPr>
        <w:spacing w:after="200"/>
      </w:pPr>
      <w:r>
        <w:rPr>
          <w:b/>
          <w:bCs/>
          <w:color w:val="2E86AB"/>
        </w:rPr>
        <w:t xml:space="preserve">Score: 2/10</w:t>
      </w:r>
    </w:p>
    <w:p>
      <w:pPr>
        <w:pStyle w:val="Heading2"/>
        <w:spacing w:after="150" w:before="300"/>
      </w:pPr>
      <w:r>
        <w:rPr>
          <w:b/>
          <w:bCs/>
          <w:color w:val="2E86AB"/>
        </w:rPr>
        <w:t xml:space="preserve">IST-Zustand</w:t>
      </w:r>
    </w:p>
    <w:p>
      <w:pPr>
        <w:spacing w:after="150"/>
      </w:pPr>
      <w:r>
        <w:t xml:space="preserve">Aktuelles Gewicht ca. 120 kg. Schlaf und Regeneration sind nicht optimiert — kein stabiles System für Belastbarkeit oder Performance.</w:t>
      </w:r>
    </w:p>
    <w:p>
      <w:pPr>
        <w:pStyle w:val="Heading2"/>
        <w:spacing w:after="150" w:before="300"/>
      </w:pPr>
      <w:r>
        <w:rPr>
          <w:b/>
          <w:bCs/>
          <w:color w:val="2E86AB"/>
        </w:rPr>
        <w:t xml:space="preserve">SOLL-Zustand / Vision</w:t>
      </w:r>
    </w:p>
    <w:p>
      <w:pPr>
        <w:spacing w:after="150"/>
      </w:pPr>
      <w:r>
        <w:t xml:space="preserve">Zielgewicht 100 kg. Optimierter Schlaf als Basis für Regeneration, damit Leistungsfähigkeit und Belastbarkeit im Alltag steigen.</w:t>
      </w:r>
    </w:p>
    <w:p>
      <w:pPr>
        <w:pStyle w:val="Heading2"/>
        <w:spacing w:after="150" w:before="300"/>
      </w:pPr>
      <w:r>
        <w:rPr>
          <w:b/>
          <w:bCs/>
          <w:color w:val="2E86AB"/>
        </w:rPr>
        <w:t xml:space="preserve">Leitbild-Vorschläge</w:t>
      </w:r>
    </w:p>
    <w:p>
      <w:pPr>
        <w:pStyle w:val="ListParagraph"/>
        <w:numPr>
          <w:ilvl w:val="0"/>
          <w:numId w:val="2"/>
        </w:numPr>
        <w:spacing w:after="80"/>
      </w:pPr>
      <w:r>
        <w:t xml:space="preserve">Peter Attia — Longevity-Medizin: evidenzbasierter Blick auf Schlaf, Regeneration, Belastbarkeit und gesunde Jahre statt nur Zahlen auf der Waage ("Outlive").</w:t>
      </w:r>
    </w:p>
    <w:p>
      <w:pPr>
        <w:pStyle w:val="ListParagraph"/>
        <w:numPr>
          <w:ilvl w:val="0"/>
          <w:numId w:val="2"/>
        </w:numPr>
        <w:spacing w:after="80"/>
      </w:pPr>
      <w:r>
        <w:t xml:space="preserve">David Goggins — mentale Härte und Disziplin als Gegenpol zur Komfortzone, insbesondere für den Start der Transformation.</w:t>
      </w:r>
    </w:p>
    <w:p>
      <w:pPr>
        <w:pStyle w:val="Heading2"/>
        <w:spacing w:after="150" w:before="300"/>
      </w:pPr>
      <w:r>
        <w:rPr>
          <w:b/>
          <w:bCs/>
          <w:color w:val="2E86AB"/>
        </w:rPr>
        <w:t xml:space="preserve">Tägliche Routinen (vertieft — Fokusbereich)</w:t>
      </w:r>
    </w:p>
    <w:p>
      <w:pPr>
        <w:pStyle w:val="ListParagraph"/>
        <w:numPr>
          <w:ilvl w:val="0"/>
          <w:numId w:val="2"/>
        </w:numPr>
        <w:spacing w:after="80"/>
      </w:pPr>
      <w:r>
        <w:t xml:space="preserve">Morgenroutine: feste Aufwachzeit, Tageslicht/kurzer Spaziergang, Wasser vor Koffein.</w:t>
      </w:r>
    </w:p>
    <w:p>
      <w:pPr>
        <w:pStyle w:val="ListParagraph"/>
        <w:numPr>
          <w:ilvl w:val="0"/>
          <w:numId w:val="2"/>
        </w:numPr>
        <w:spacing w:after="80"/>
      </w:pPr>
      <w:r>
        <w:t xml:space="preserve">Ernährung: moderates Kaloriendefizit, Proteinfokus (~1,6–2 g/kg Körpergewicht), Alkohol/Zucker gezielt reduzieren statt verbieten.</w:t>
      </w:r>
    </w:p>
    <w:p>
      <w:pPr>
        <w:pStyle w:val="ListParagraph"/>
        <w:numPr>
          <w:ilvl w:val="0"/>
          <w:numId w:val="2"/>
        </w:numPr>
        <w:spacing w:after="80"/>
      </w:pPr>
      <w:r>
        <w:t xml:space="preserve">Bewegung: 4–5x/Woche Kraft- und Cardio-Mix, tägliches Schritte-Ziel (8.000–10.000).</w:t>
      </w:r>
    </w:p>
    <w:p>
      <w:pPr>
        <w:pStyle w:val="ListParagraph"/>
        <w:numPr>
          <w:ilvl w:val="0"/>
          <w:numId w:val="2"/>
        </w:numPr>
        <w:spacing w:after="80"/>
      </w:pPr>
      <w:r>
        <w:t xml:space="preserve">Schlaf: feste Schlafenszeit, Bildschirm-Cutoff 60 Min. vorher, kühles/dunkles Zimmer, Koffein-Cutoff ab Nachmittag.</w:t>
      </w:r>
    </w:p>
    <w:p>
      <w:pPr>
        <w:pStyle w:val="ListParagraph"/>
        <w:numPr>
          <w:ilvl w:val="0"/>
          <w:numId w:val="2"/>
        </w:numPr>
        <w:spacing w:after="80"/>
      </w:pPr>
      <w:r>
        <w:t xml:space="preserve">Regeneration: Atemübungen oder kurze Ruhephasen (NSDR), ein bewusster Ruhetag pro Woche.</w:t>
      </w:r>
    </w:p>
    <w:p>
      <w:pPr>
        <w:pStyle w:val="ListParagraph"/>
        <w:numPr>
          <w:ilvl w:val="0"/>
          <w:numId w:val="2"/>
        </w:numPr>
        <w:spacing w:after="80"/>
      </w:pPr>
      <w:r>
        <w:t xml:space="preserve">Wöchentliches Tracking im Journal: Gewicht, Schlafqualität (1-10), Energielevel (1-10).</w:t>
      </w:r>
    </w:p>
    <w:p>
      <w:pPr>
        <w:pBdr>
          <w:bottom w:val="single" w:color="CCCCCC" w:sz="6" w:space="4"/>
        </w:pBdr>
        <w:spacing w:after="300"/>
      </w:pPr>
    </w:p>
    <w:p>
      <w:pPr>
        <w:pStyle w:val="Heading1"/>
        <w:spacing w:after="100" w:before="300"/>
      </w:pPr>
      <w:r>
        <w:rPr>
          <w:b/>
          <w:bCs/>
          <w:color w:val="1A1A2E"/>
        </w:rPr>
        <w:t xml:space="preserve">2. Emotion &amp; Mental</w:t>
      </w:r>
    </w:p>
    <w:p>
      <w:pPr>
        <w:spacing w:after="200"/>
      </w:pPr>
      <w:r>
        <w:rPr>
          <w:b/>
          <w:bCs/>
          <w:color w:val="2E86AB"/>
        </w:rPr>
        <w:t xml:space="preserve">Score: 5/10</w:t>
      </w:r>
    </w:p>
    <w:p>
      <w:pPr>
        <w:pStyle w:val="Heading2"/>
        <w:spacing w:after="150" w:before="300"/>
      </w:pPr>
      <w:r>
        <w:rPr>
          <w:b/>
          <w:bCs/>
          <w:color w:val="2E86AB"/>
        </w:rPr>
        <w:t xml:space="preserve">IST-Zustand</w:t>
      </w:r>
    </w:p>
    <w:p>
      <w:pPr>
        <w:spacing w:after="150"/>
      </w:pPr>
      <w:r>
        <w:t xml:space="preserve">Nimmt ca. 5 von 10 Dingen persönlich — lässt aber auch Dinge, die persönlich genommen werden sollten, zu leicht abprallen. Schwierigkeiten, Emotionen zu zeigen; internalisiert Stress, vermeidet Konflikte.</w:t>
      </w:r>
    </w:p>
    <w:p>
      <w:pPr>
        <w:pStyle w:val="Heading2"/>
        <w:spacing w:after="150" w:before="300"/>
      </w:pPr>
      <w:r>
        <w:rPr>
          <w:b/>
          <w:bCs/>
          <w:color w:val="2E86AB"/>
        </w:rPr>
        <w:t xml:space="preserve">SOLL-Zustand / Vision</w:t>
      </w:r>
    </w:p>
    <w:p>
      <w:pPr>
        <w:spacing w:after="150"/>
      </w:pPr>
      <w:r>
        <w:t xml:space="preserve">Emotionen bewusst regulieren und zeigen können. Gesunde Konfliktfähigkeit — Konflikte als Klärung statt als Bedrohung erleben.</w:t>
      </w:r>
    </w:p>
    <w:p>
      <w:pPr>
        <w:pStyle w:val="Heading2"/>
        <w:spacing w:after="150" w:before="300"/>
      </w:pPr>
      <w:r>
        <w:rPr>
          <w:b/>
          <w:bCs/>
          <w:color w:val="2E86AB"/>
        </w:rPr>
        <w:t xml:space="preserve">Leitbild-Vorschläge</w:t>
      </w:r>
    </w:p>
    <w:p>
      <w:pPr>
        <w:pStyle w:val="ListParagraph"/>
        <w:numPr>
          <w:ilvl w:val="0"/>
          <w:numId w:val="2"/>
        </w:numPr>
        <w:spacing w:after="80"/>
      </w:pPr>
      <w:r>
        <w:t xml:space="preserve">Dr. Joe Dispenza — die übergreifende Methode für dieses ganze Mindmap-Projekt: sich täglich mit der Emotion und Frequenz der Zielidentität verbinden, um sie zu werden, bevor die äußere Realität es bestätigt.</w:t>
      </w:r>
    </w:p>
    <w:p>
      <w:pPr>
        <w:pStyle w:val="ListParagraph"/>
        <w:numPr>
          <w:ilvl w:val="0"/>
          <w:numId w:val="2"/>
        </w:numPr>
        <w:spacing w:after="80"/>
      </w:pPr>
      <w:r>
        <w:t xml:space="preserve">Marshall Rosenberg — Gewaltfreie Kommunikation: ein konkretes Werkzeug, um Gefühle auszudrücken und Konflikte zu klären, ohne sie zu vermeiden oder eskalieren zu lassen.</w:t>
      </w:r>
    </w:p>
    <w:p>
      <w:pPr>
        <w:pStyle w:val="Heading2"/>
        <w:spacing w:after="150" w:before="300"/>
      </w:pPr>
      <w:r>
        <w:rPr>
          <w:b/>
          <w:bCs/>
          <w:color w:val="2E86AB"/>
        </w:rPr>
        <w:t xml:space="preserve">Erste Routinen-Ansätze</w:t>
      </w:r>
    </w:p>
    <w:p>
      <w:pPr>
        <w:pStyle w:val="ListParagraph"/>
        <w:numPr>
          <w:ilvl w:val="0"/>
          <w:numId w:val="2"/>
        </w:numPr>
        <w:spacing w:after="80"/>
      </w:pPr>
      <w:r>
        <w:t xml:space="preserve">Tägliches Kurz-Journaling (5 Min.): Welche Emotion habe ich heute unterdrückt statt gezeigt?</w:t>
      </w:r>
    </w:p>
    <w:p>
      <w:pPr>
        <w:pStyle w:val="ListParagraph"/>
        <w:numPr>
          <w:ilvl w:val="0"/>
          <w:numId w:val="2"/>
        </w:numPr>
        <w:spacing w:after="80"/>
      </w:pPr>
      <w:r>
        <w:t xml:space="preserve">Bei aufkommendem Konflikt: eine bewusste Pause vor der Reaktion, dann in Ich-Botschaften formulieren.</w:t>
      </w:r>
    </w:p>
    <w:p>
      <w:pPr>
        <w:pStyle w:val="ListParagraph"/>
        <w:numPr>
          <w:ilvl w:val="0"/>
          <w:numId w:val="2"/>
        </w:numPr>
        <w:spacing w:after="80"/>
      </w:pPr>
      <w:r>
        <w:t xml:space="preserve">Abendliche Dispenza-Praxis: 5–10 Min. Meditation, in der die Zielidentität (ruhig, klar, konfliktfähig) emotional vorweggenommen wird.</w:t>
      </w:r>
    </w:p>
    <w:p>
      <w:pPr>
        <w:pBdr>
          <w:bottom w:val="single" w:color="CCCCCC" w:sz="6" w:space="4"/>
        </w:pBdr>
        <w:spacing w:after="300"/>
      </w:pPr>
    </w:p>
    <w:p>
      <w:pPr>
        <w:pStyle w:val="Heading1"/>
        <w:spacing w:after="100" w:before="300"/>
      </w:pPr>
      <w:r>
        <w:rPr>
          <w:b/>
          <w:bCs/>
          <w:color w:val="1A1A2E"/>
        </w:rPr>
        <w:t xml:space="preserve">3. Beziehungen</w:t>
      </w:r>
    </w:p>
    <w:p>
      <w:pPr>
        <w:spacing w:after="200"/>
      </w:pPr>
      <w:r>
        <w:rPr>
          <w:b/>
          <w:bCs/>
          <w:color w:val="2E86AB"/>
        </w:rPr>
        <w:t xml:space="preserve">Score: 4/10</w:t>
      </w:r>
    </w:p>
    <w:p>
      <w:pPr>
        <w:pStyle w:val="Heading2"/>
        <w:spacing w:after="150" w:before="300"/>
      </w:pPr>
      <w:r>
        <w:rPr>
          <w:b/>
          <w:bCs/>
          <w:color w:val="2E86AB"/>
        </w:rPr>
        <w:t xml:space="preserve">IST-Zustand</w:t>
      </w:r>
    </w:p>
    <w:p>
      <w:pPr>
        <w:spacing w:after="150"/>
      </w:pPr>
      <w:r>
        <w:t xml:space="preserve">Erkennt Menschentypen über die Liebessprachen bereits gut. Hat eher Wegbegleiter als tiefe Freundschaften um sich herum, aber beides ist vorhanden.</w:t>
      </w:r>
    </w:p>
    <w:p>
      <w:pPr>
        <w:pStyle w:val="Heading2"/>
        <w:spacing w:after="150" w:before="300"/>
      </w:pPr>
      <w:r>
        <w:rPr>
          <w:b/>
          <w:bCs/>
          <w:color w:val="2E86AB"/>
        </w:rPr>
        <w:t xml:space="preserve">SOLL-Zustand / Vision</w:t>
      </w:r>
    </w:p>
    <w:p>
      <w:pPr>
        <w:spacing w:after="150"/>
      </w:pPr>
      <w:r>
        <w:t xml:space="preserve">Eine Art große "Familie" bzw. ein starkes Netzwerk aufbauen, das trägt, wenn es gebraucht wird — getreu dem Prinzip "Your Network is your Networth".</w:t>
      </w:r>
    </w:p>
    <w:p>
      <w:pPr>
        <w:pStyle w:val="Heading2"/>
        <w:spacing w:after="150" w:before="300"/>
      </w:pPr>
      <w:r>
        <w:rPr>
          <w:b/>
          <w:bCs/>
          <w:color w:val="2E86AB"/>
        </w:rPr>
        <w:t xml:space="preserve">Leitbild-Vorschläge</w:t>
      </w:r>
    </w:p>
    <w:p>
      <w:pPr>
        <w:pStyle w:val="ListParagraph"/>
        <w:numPr>
          <w:ilvl w:val="0"/>
          <w:numId w:val="2"/>
        </w:numPr>
        <w:spacing w:after="80"/>
      </w:pPr>
      <w:r>
        <w:t xml:space="preserve">Keith Ferrazzi — "Never Eat Alone": Beziehungsaufbau als aktive, großzügige Praxis statt Zufallsprodukt.</w:t>
      </w:r>
    </w:p>
    <w:p>
      <w:pPr>
        <w:pStyle w:val="ListParagraph"/>
        <w:numPr>
          <w:ilvl w:val="0"/>
          <w:numId w:val="2"/>
        </w:numPr>
        <w:spacing w:after="80"/>
      </w:pPr>
      <w:r>
        <w:t xml:space="preserve">Gary Chapman — 5 Sprachen der Liebe: bereits bekanntes Werkzeug, konsequent auf alle nahen Beziehungen anwenden, nicht nur auf Partnerschaft.</w:t>
      </w:r>
    </w:p>
    <w:p>
      <w:pPr>
        <w:pStyle w:val="Heading2"/>
        <w:spacing w:after="150" w:before="300"/>
      </w:pPr>
      <w:r>
        <w:rPr>
          <w:b/>
          <w:bCs/>
          <w:color w:val="2E86AB"/>
        </w:rPr>
        <w:t xml:space="preserve">Erste Routinen-Ansätze</w:t>
      </w:r>
    </w:p>
    <w:p>
      <w:pPr>
        <w:pStyle w:val="ListParagraph"/>
        <w:numPr>
          <w:ilvl w:val="0"/>
          <w:numId w:val="2"/>
        </w:numPr>
        <w:spacing w:after="80"/>
      </w:pPr>
      <w:r>
        <w:t xml:space="preserve">Wöchentlich mindestens ein bewusstes Gespräch mit einem Wegbegleiter vertiefen (echtes Interesse statt Small Talk).</w:t>
      </w:r>
    </w:p>
    <w:p>
      <w:pPr>
        <w:pStyle w:val="ListParagraph"/>
        <w:numPr>
          <w:ilvl w:val="0"/>
          <w:numId w:val="2"/>
        </w:numPr>
        <w:spacing w:after="80"/>
      </w:pPr>
      <w:r>
        <w:t xml:space="preserve">Monatlich einen neuen Kontakt in Richtung Zielnetzwerk aufbauen (Menschen, die bereits dort sind, wo du hinwillst).</w:t>
      </w:r>
    </w:p>
    <w:p>
      <w:pPr>
        <w:pStyle w:val="ListParagraph"/>
        <w:numPr>
          <w:ilvl w:val="0"/>
          <w:numId w:val="2"/>
        </w:numPr>
        <w:spacing w:after="80"/>
      </w:pPr>
      <w:r>
        <w:t xml:space="preserve">Wegbegleiter vs. Freund bewusst unterscheiden und Energie entsprechend investieren.</w:t>
      </w:r>
    </w:p>
    <w:p>
      <w:pPr>
        <w:pBdr>
          <w:bottom w:val="single" w:color="CCCCCC" w:sz="6" w:space="4"/>
        </w:pBdr>
        <w:spacing w:after="300"/>
      </w:pPr>
    </w:p>
    <w:p>
      <w:pPr>
        <w:pStyle w:val="Heading1"/>
        <w:spacing w:after="100" w:before="300"/>
      </w:pPr>
      <w:r>
        <w:rPr>
          <w:b/>
          <w:bCs/>
          <w:color w:val="1A1A2E"/>
        </w:rPr>
        <w:t xml:space="preserve">4. Zeit</w:t>
      </w:r>
    </w:p>
    <w:p>
      <w:pPr>
        <w:spacing w:after="200"/>
      </w:pPr>
      <w:r>
        <w:rPr>
          <w:b/>
          <w:bCs/>
          <w:color w:val="2E86AB"/>
        </w:rPr>
        <w:t xml:space="preserve">Score: 2-3/10</w:t>
      </w:r>
    </w:p>
    <w:p>
      <w:pPr>
        <w:pStyle w:val="Heading2"/>
        <w:spacing w:after="150" w:before="300"/>
      </w:pPr>
      <w:r>
        <w:rPr>
          <w:b/>
          <w:bCs/>
          <w:color w:val="2E86AB"/>
        </w:rPr>
        <w:t xml:space="preserve">IST-Zustand</w:t>
      </w:r>
    </w:p>
    <w:p>
      <w:pPr>
        <w:spacing w:after="150"/>
      </w:pPr>
      <w:r>
        <w:t xml:space="preserve">Keine To-Do-Listen oder Strategie im Griff, wirkt ineffizient trotz hoher Aktivität — viel tun, aber nicht unbedingt das Richtige.</w:t>
      </w:r>
    </w:p>
    <w:p>
      <w:pPr>
        <w:pStyle w:val="Heading2"/>
        <w:spacing w:after="150" w:before="300"/>
      </w:pPr>
      <w:r>
        <w:rPr>
          <w:b/>
          <w:bCs/>
          <w:color w:val="2E86AB"/>
        </w:rPr>
        <w:t xml:space="preserve">SOLL-Zustand / Vision</w:t>
      </w:r>
    </w:p>
    <w:p>
      <w:pPr>
        <w:spacing w:after="150"/>
      </w:pPr>
      <w:r>
        <w:t xml:space="preserve">Priorisierung und Strategie statt reiner Betriebsamkeit — taktische Handlungen, die auf strategische Ziele einzahlen.</w:t>
      </w:r>
    </w:p>
    <w:p>
      <w:pPr>
        <w:pStyle w:val="Heading2"/>
        <w:spacing w:after="150" w:before="300"/>
      </w:pPr>
      <w:r>
        <w:rPr>
          <w:b/>
          <w:bCs/>
          <w:color w:val="2E86AB"/>
        </w:rPr>
        <w:t xml:space="preserve">Leitbild-Vorschläge</w:t>
      </w:r>
    </w:p>
    <w:p>
      <w:pPr>
        <w:pStyle w:val="ListParagraph"/>
        <w:numPr>
          <w:ilvl w:val="0"/>
          <w:numId w:val="2"/>
        </w:numPr>
        <w:spacing w:after="80"/>
      </w:pPr>
      <w:r>
        <w:t xml:space="preserve">Greg McKeown — Essentialism: "weniger, aber besser" statt To-Do-Listen-Aktionismus.</w:t>
      </w:r>
    </w:p>
    <w:p>
      <w:pPr>
        <w:pStyle w:val="ListParagraph"/>
        <w:numPr>
          <w:ilvl w:val="0"/>
          <w:numId w:val="2"/>
        </w:numPr>
        <w:spacing w:after="80"/>
      </w:pPr>
      <w:r>
        <w:t xml:space="preserve">Cal Newport — Deep Work / Time-Blocking: Fokuszeit strukturieren statt reagieren.</w:t>
      </w:r>
    </w:p>
    <w:p>
      <w:pPr>
        <w:pStyle w:val="Heading2"/>
        <w:spacing w:after="150" w:before="300"/>
      </w:pPr>
      <w:r>
        <w:rPr>
          <w:b/>
          <w:bCs/>
          <w:color w:val="2E86AB"/>
        </w:rPr>
        <w:t xml:space="preserve">Erste Routinen-Ansätze</w:t>
      </w:r>
    </w:p>
    <w:p>
      <w:pPr>
        <w:pStyle w:val="ListParagraph"/>
        <w:numPr>
          <w:ilvl w:val="0"/>
          <w:numId w:val="2"/>
        </w:numPr>
        <w:spacing w:after="80"/>
      </w:pPr>
      <w:r>
        <w:t xml:space="preserve">Wöchentliche Strategie-Session (30 Min.): 3 Prioritäten für die Woche festlegen, statt einer langen To-Do-Liste zu folgen.</w:t>
      </w:r>
    </w:p>
    <w:p>
      <w:pPr>
        <w:pStyle w:val="ListParagraph"/>
        <w:numPr>
          <w:ilvl w:val="0"/>
          <w:numId w:val="2"/>
        </w:numPr>
        <w:spacing w:after="80"/>
      </w:pPr>
      <w:r>
        <w:t xml:space="preserve">Pareto-Check: täglich fragen, welche 20% der geplanten Aktivitäten 80% der Wirkung bringen — den Rest streichen oder verschieben.</w:t>
      </w:r>
    </w:p>
    <w:p>
      <w:pPr>
        <w:pStyle w:val="ListParagraph"/>
        <w:numPr>
          <w:ilvl w:val="0"/>
          <w:numId w:val="2"/>
        </w:numPr>
        <w:spacing w:after="80"/>
      </w:pPr>
      <w:r>
        <w:t xml:space="preserve">Zeitblöcke statt Liste: feste Blöcke für Physis, B/K/M und Erholung im Kalender verankern.</w:t>
      </w:r>
    </w:p>
    <w:p>
      <w:pPr>
        <w:pBdr>
          <w:bottom w:val="single" w:color="CCCCCC" w:sz="6" w:space="4"/>
        </w:pBdr>
        <w:spacing w:after="300"/>
      </w:pPr>
    </w:p>
    <w:p>
      <w:pPr>
        <w:pStyle w:val="Heading1"/>
        <w:spacing w:after="100" w:before="300"/>
      </w:pPr>
      <w:r>
        <w:rPr>
          <w:b/>
          <w:bCs/>
          <w:color w:val="1A1A2E"/>
        </w:rPr>
        <w:t xml:space="preserve">5. B/K/M — Beruf, Karriere, Mission</w:t>
      </w:r>
    </w:p>
    <w:p>
      <w:pPr>
        <w:spacing w:after="200"/>
      </w:pPr>
      <w:r>
        <w:rPr>
          <w:b/>
          <w:bCs/>
          <w:color w:val="2E86AB"/>
        </w:rPr>
        <w:t xml:space="preserve">Score: 2/10</w:t>
      </w:r>
    </w:p>
    <w:p>
      <w:pPr>
        <w:pStyle w:val="Heading2"/>
        <w:spacing w:after="150" w:before="300"/>
      </w:pPr>
      <w:r>
        <w:rPr>
          <w:b/>
          <w:bCs/>
          <w:color w:val="2E86AB"/>
        </w:rPr>
        <w:t xml:space="preserve">IST-Zustand</w:t>
      </w:r>
    </w:p>
    <w:p>
      <w:pPr>
        <w:spacing w:after="150"/>
      </w:pPr>
      <w:r>
        <w:t xml:space="preserve">Die innere Berufung ist teilweise klar, das aktuelle Business ist aber noch nicht zielführend aufgestellt.</w:t>
      </w:r>
    </w:p>
    <w:p>
      <w:pPr>
        <w:pStyle w:val="Heading2"/>
        <w:spacing w:after="150" w:before="300"/>
      </w:pPr>
      <w:r>
        <w:rPr>
          <w:b/>
          <w:bCs/>
          <w:color w:val="2E86AB"/>
        </w:rPr>
        <w:t xml:space="preserve">SOLL-Zustand / Vision</w:t>
      </w:r>
    </w:p>
    <w:p>
      <w:pPr>
        <w:spacing w:after="150"/>
      </w:pPr>
      <w:r>
        <w:t xml:space="preserve">Die Berufung schärfen und ein wirklich zielführendes Business aufbauen — die innere und äußere Mission in Einklang bringen.</w:t>
      </w:r>
    </w:p>
    <w:p>
      <w:pPr>
        <w:pStyle w:val="Heading2"/>
        <w:spacing w:after="150" w:before="300"/>
      </w:pPr>
      <w:r>
        <w:rPr>
          <w:b/>
          <w:bCs/>
          <w:color w:val="2E86AB"/>
        </w:rPr>
        <w:t xml:space="preserve">Leitbild-Vorschläge</w:t>
      </w:r>
    </w:p>
    <w:p>
      <w:pPr>
        <w:pStyle w:val="ListParagraph"/>
        <w:numPr>
          <w:ilvl w:val="0"/>
          <w:numId w:val="2"/>
        </w:numPr>
        <w:spacing w:after="80"/>
      </w:pPr>
      <w:r>
        <w:t xml:space="preserve">Simon Sinek — "Start with Why": die innere Mission als Fundament, bevor Strategie und Taktik folgen.</w:t>
      </w:r>
    </w:p>
    <w:p>
      <w:pPr>
        <w:pStyle w:val="ListParagraph"/>
        <w:numPr>
          <w:ilvl w:val="0"/>
          <w:numId w:val="2"/>
        </w:numPr>
        <w:spacing w:after="80"/>
      </w:pPr>
      <w:r>
        <w:t xml:space="preserve">Robert Kiyosaki — Cashflow-Quadrant: den Weg vom Angestellten-/Selbstständigen-Denken hin zu Business-Owner/Investor-Denken nachvollziehen.</w:t>
      </w:r>
    </w:p>
    <w:p>
      <w:pPr>
        <w:pStyle w:val="Heading2"/>
        <w:spacing w:after="150" w:before="300"/>
      </w:pPr>
      <w:r>
        <w:rPr>
          <w:b/>
          <w:bCs/>
          <w:color w:val="2E86AB"/>
        </w:rPr>
        <w:t xml:space="preserve">Tägliche Routinen (vertieft — Fokusbereich)</w:t>
      </w:r>
    </w:p>
    <w:p>
      <w:pPr>
        <w:pStyle w:val="ListParagraph"/>
        <w:numPr>
          <w:ilvl w:val="0"/>
          <w:numId w:val="2"/>
        </w:numPr>
        <w:spacing w:after="80"/>
      </w:pPr>
      <w:r>
        <w:t xml:space="preserve">Tägliches 10-Minuten-Journaling: "Was hat sich heute nach Berufung angefühlt, was nicht?"</w:t>
      </w:r>
    </w:p>
    <w:p>
      <w:pPr>
        <w:pStyle w:val="ListParagraph"/>
        <w:numPr>
          <w:ilvl w:val="0"/>
          <w:numId w:val="2"/>
        </w:numPr>
        <w:spacing w:after="80"/>
      </w:pPr>
      <w:r>
        <w:t xml:space="preserve">Wöchentlicher Business-Review mit Pareto-Analyse: welche 20% der Aktivitäten brachten 80% des Ergebnisses — Rest kürzen oder delegieren.</w:t>
      </w:r>
    </w:p>
    <w:p>
      <w:pPr>
        <w:pStyle w:val="ListParagraph"/>
        <w:numPr>
          <w:ilvl w:val="0"/>
          <w:numId w:val="2"/>
        </w:numPr>
        <w:spacing w:after="80"/>
      </w:pPr>
      <w:r>
        <w:t xml:space="preserve">Täglicher Skill-Block (60–90 Min.) gezielt am zielführenden Business statt an Nebensächlichkeiten.</w:t>
      </w:r>
    </w:p>
    <w:p>
      <w:pPr>
        <w:pBdr>
          <w:bottom w:val="single" w:color="CCCCCC" w:sz="6" w:space="4"/>
        </w:pBdr>
        <w:spacing w:after="300"/>
      </w:pPr>
    </w:p>
    <w:p>
      <w:pPr>
        <w:pStyle w:val="Heading1"/>
        <w:spacing w:after="100" w:before="300"/>
      </w:pPr>
      <w:r>
        <w:rPr>
          <w:b/>
          <w:bCs/>
          <w:color w:val="1A1A2E"/>
        </w:rPr>
        <w:t xml:space="preserve">6. Finanzen</w:t>
      </w:r>
    </w:p>
    <w:p>
      <w:pPr>
        <w:spacing w:after="200"/>
      </w:pPr>
      <w:r>
        <w:rPr>
          <w:b/>
          <w:bCs/>
          <w:color w:val="2E86AB"/>
        </w:rPr>
        <w:t xml:space="preserve">Score: 3/10</w:t>
      </w:r>
    </w:p>
    <w:p>
      <w:pPr>
        <w:pStyle w:val="Heading2"/>
        <w:spacing w:after="150" w:before="300"/>
      </w:pPr>
      <w:r>
        <w:rPr>
          <w:b/>
          <w:bCs/>
          <w:color w:val="2E86AB"/>
        </w:rPr>
        <w:t xml:space="preserve">IST-Zustand</w:t>
      </w:r>
    </w:p>
    <w:p>
      <w:pPr>
        <w:spacing w:after="150"/>
      </w:pPr>
      <w:r>
        <w:t xml:space="preserve">Noch kein Kontensystem im Griff. Arbeitet aktuell noch "Zeit gegen Geld" im Job.</w:t>
      </w:r>
    </w:p>
    <w:p>
      <w:pPr>
        <w:pStyle w:val="Heading2"/>
        <w:spacing w:after="150" w:before="300"/>
      </w:pPr>
      <w:r>
        <w:rPr>
          <w:b/>
          <w:bCs/>
          <w:color w:val="2E86AB"/>
        </w:rPr>
        <w:t xml:space="preserve">SOLL-Zustand / Vision</w:t>
      </w:r>
    </w:p>
    <w:p>
      <w:pPr>
        <w:spacing w:after="150"/>
      </w:pPr>
      <w:r>
        <w:t xml:space="preserve">Raus aus dem reinen Zeit-gegen-Geld-Modell, langfristig selbstständig unterwegs sein — u.a. im Bereich Trading/Investments. Für die Berufung arbeiten, nicht nur für die Rechnung.</w:t>
      </w:r>
    </w:p>
    <w:p>
      <w:pPr>
        <w:pStyle w:val="Heading2"/>
        <w:spacing w:after="150" w:before="300"/>
      </w:pPr>
      <w:r>
        <w:rPr>
          <w:b/>
          <w:bCs/>
          <w:color w:val="2E86AB"/>
        </w:rPr>
        <w:t xml:space="preserve">Leitbild-Vorschläge</w:t>
      </w:r>
    </w:p>
    <w:p>
      <w:pPr>
        <w:pStyle w:val="ListParagraph"/>
        <w:numPr>
          <w:ilvl w:val="0"/>
          <w:numId w:val="2"/>
        </w:numPr>
        <w:spacing w:after="80"/>
      </w:pPr>
      <w:r>
        <w:t xml:space="preserve">Robert Kiyosaki — "Rich Dad Poor Dad": finanzielle Bildung, Vermögenswerte vs. Verbindlichkeiten, passives Einkommen als Ziel.</w:t>
      </w:r>
    </w:p>
    <w:p>
      <w:pPr>
        <w:pStyle w:val="ListParagraph"/>
        <w:numPr>
          <w:ilvl w:val="0"/>
          <w:numId w:val="2"/>
        </w:numPr>
        <w:spacing w:after="80"/>
      </w:pPr>
      <w:r>
        <w:t xml:space="preserve">Warren Buffett — als Gegengewicht zu risikoreichem Trading: langfristige Investment-Disziplin und Geduld als bewährtes Prinzip.</w:t>
      </w:r>
    </w:p>
    <w:p>
      <w:pPr>
        <w:pStyle w:val="Heading2"/>
        <w:spacing w:after="150" w:before="300"/>
      </w:pPr>
      <w:r>
        <w:rPr>
          <w:b/>
          <w:bCs/>
          <w:color w:val="2E86AB"/>
        </w:rPr>
        <w:t xml:space="preserve">Erste Routinen-Ansätze</w:t>
      </w:r>
    </w:p>
    <w:p>
      <w:pPr>
        <w:pStyle w:val="ListParagraph"/>
        <w:numPr>
          <w:ilvl w:val="0"/>
          <w:numId w:val="2"/>
        </w:numPr>
        <w:spacing w:after="80"/>
      </w:pPr>
      <w:r>
        <w:t xml:space="preserve">Ein einfaches Kontensystem einrichten (z.B. getrennte Konten für Fixkosten, Investitionen, Rücklage, Spaß).</w:t>
      </w:r>
    </w:p>
    <w:p>
      <w:pPr>
        <w:pStyle w:val="ListParagraph"/>
        <w:numPr>
          <w:ilvl w:val="0"/>
          <w:numId w:val="2"/>
        </w:numPr>
        <w:spacing w:after="80"/>
      </w:pPr>
      <w:r>
        <w:t xml:space="preserve">Wöchentlicher Finanz-Check (15 Min.): Ausgaben, Sparquote, Fortschritt Richtung passives Einkommen.</w:t>
      </w:r>
    </w:p>
    <w:p>
      <w:pPr>
        <w:pStyle w:val="ListParagraph"/>
        <w:numPr>
          <w:ilvl w:val="0"/>
          <w:numId w:val="2"/>
        </w:numPr>
        <w:spacing w:after="80"/>
      </w:pPr>
      <w:r>
        <w:t xml:space="preserve">Trading/Investment-Wissen aufbauen, bevor Kapital eingesetzt wird — erst Simulation/kleine Beträge, dann skalieren.</w:t>
      </w:r>
    </w:p>
    <w:p>
      <w:pPr>
        <w:spacing w:after="150"/>
      </w:pPr>
      <w:r>
        <w:rPr>
          <w:i/>
          <w:iCs/>
          <w:color w:val="884444"/>
        </w:rPr>
        <w:t xml:space="preserve">Hinweis: Gerade im Trading-/Investment-Umfeld kursieren viele unseriöse "Gurus". Mentoren und Programme in diesem Bereich bewusst prüfen, bevor Geld investiert wird.</w:t>
      </w:r>
    </w:p>
    <w:p>
      <w:pPr>
        <w:pBdr>
          <w:bottom w:val="single" w:color="CCCCCC" w:sz="6" w:space="4"/>
        </w:pBdr>
        <w:spacing w:after="300"/>
      </w:pPr>
    </w:p>
    <w:p>
      <w:pPr>
        <w:pStyle w:val="Heading1"/>
        <w:spacing w:after="100" w:before="300"/>
      </w:pPr>
      <w:r>
        <w:rPr>
          <w:b/>
          <w:bCs/>
          <w:color w:val="1A1A2E"/>
        </w:rPr>
        <w:t xml:space="preserve">7. Spiritualität</w:t>
      </w:r>
    </w:p>
    <w:p>
      <w:pPr>
        <w:spacing w:after="200"/>
      </w:pPr>
      <w:r>
        <w:rPr>
          <w:b/>
          <w:bCs/>
          <w:color w:val="2E86AB"/>
        </w:rPr>
        <w:t xml:space="preserve">Score: 3/10</w:t>
      </w:r>
    </w:p>
    <w:p>
      <w:pPr>
        <w:pStyle w:val="Heading2"/>
        <w:spacing w:after="150" w:before="300"/>
      </w:pPr>
      <w:r>
        <w:rPr>
          <w:b/>
          <w:bCs/>
          <w:color w:val="2E86AB"/>
        </w:rPr>
        <w:t xml:space="preserve">IST-Zustand</w:t>
      </w:r>
    </w:p>
    <w:p>
      <w:pPr>
        <w:spacing w:after="150"/>
      </w:pPr>
      <w:r>
        <w:t xml:space="preserve">Kennt das eigene Herz teilweise. Die "Gesetzmäßigkeiten" waren einmal bekannt, sind aber eingerostet und müssen aufgefrischt werden.</w:t>
      </w:r>
    </w:p>
    <w:p>
      <w:pPr>
        <w:pStyle w:val="Heading2"/>
        <w:spacing w:after="150" w:before="300"/>
      </w:pPr>
      <w:r>
        <w:rPr>
          <w:b/>
          <w:bCs/>
          <w:color w:val="2E86AB"/>
        </w:rPr>
        <w:t xml:space="preserve">SOLL-Zustand / Vision</w:t>
      </w:r>
    </w:p>
    <w:p>
      <w:pPr>
        <w:spacing w:after="150"/>
      </w:pPr>
      <w:r>
        <w:t xml:space="preserve">Die Gesetzmäßigkeiten auffrischen und auf ein neues Level bringen — die Mitte finden.</w:t>
      </w:r>
    </w:p>
    <w:p>
      <w:pPr>
        <w:pStyle w:val="Heading2"/>
        <w:spacing w:after="150" w:before="300"/>
      </w:pPr>
      <w:r>
        <w:rPr>
          <w:b/>
          <w:bCs/>
          <w:color w:val="2E86AB"/>
        </w:rPr>
        <w:t xml:space="preserve">Leitbild-Vorschläge</w:t>
      </w:r>
    </w:p>
    <w:p>
      <w:pPr>
        <w:pStyle w:val="ListParagraph"/>
        <w:numPr>
          <w:ilvl w:val="0"/>
          <w:numId w:val="2"/>
        </w:numPr>
        <w:spacing w:after="80"/>
      </w:pPr>
      <w:r>
        <w:t xml:space="preserve">Dr. Joe Dispenza — "Becoming Supernatural": Gesetzmäßigkeiten von Bewusstsein, Emotion und Identität systematisch weiter vertiefen.</w:t>
      </w:r>
    </w:p>
    <w:p>
      <w:pPr>
        <w:pStyle w:val="ListParagraph"/>
        <w:numPr>
          <w:ilvl w:val="0"/>
          <w:numId w:val="2"/>
        </w:numPr>
        <w:spacing w:after="80"/>
      </w:pPr>
      <w:r>
        <w:t xml:space="preserve">Eckhart Tolle — "The Power of Now": Präsenz und Mitte als tägliche Praxis, nicht als abstraktes Konzept.</w:t>
      </w:r>
    </w:p>
    <w:p>
      <w:pPr>
        <w:pStyle w:val="Heading2"/>
        <w:spacing w:after="150" w:before="300"/>
      </w:pPr>
      <w:r>
        <w:rPr>
          <w:b/>
          <w:bCs/>
          <w:color w:val="2E86AB"/>
        </w:rPr>
        <w:t xml:space="preserve">Erste Routinen-Ansätze</w:t>
      </w:r>
    </w:p>
    <w:p>
      <w:pPr>
        <w:pStyle w:val="ListParagraph"/>
        <w:numPr>
          <w:ilvl w:val="0"/>
          <w:numId w:val="2"/>
        </w:numPr>
        <w:spacing w:after="80"/>
      </w:pPr>
      <w:r>
        <w:t xml:space="preserve">Tägliche kurze Präsenz-/Atempraxis (5–10 Min.), um "die Mitte" bewusst aufzusuchen.</w:t>
      </w:r>
    </w:p>
    <w:p>
      <w:pPr>
        <w:pStyle w:val="ListParagraph"/>
        <w:numPr>
          <w:ilvl w:val="0"/>
          <w:numId w:val="2"/>
        </w:numPr>
        <w:spacing w:after="80"/>
      </w:pPr>
      <w:r>
        <w:t xml:space="preserve">Wöchentlich eine der bekannten Gesetzmäßigkeiten (aus früherem Wissen) reflektieren und schriftlich auffrischen.</w:t>
      </w:r>
    </w:p>
    <w:p>
      <w:pPr>
        <w:pBdr>
          <w:bottom w:val="single" w:color="CCCCCC" w:sz="6" w:space="4"/>
        </w:pBdr>
        <w:spacing w:after="300"/>
      </w:pPr>
    </w:p>
    <w:p>
      <w:pPr>
        <w:pStyle w:val="Heading1"/>
        <w:spacing w:after="200" w:before="400"/>
      </w:pPr>
      <w:r>
        <w:rPr>
          <w:b/>
          <w:bCs/>
          <w:color w:val="1A1A2E"/>
        </w:rPr>
        <w:t xml:space="preserve">Meta-Prinzipien aus KAC Session 05</w:t>
      </w:r>
    </w:p>
    <w:p>
      <w:pPr>
        <w:spacing w:after="150"/>
      </w:pPr>
      <w:r>
        <w:t xml:space="preserve">Übergreifende Erkenntnisse aus der Coaching-Session, die die Arbeit an allen 7 Bereichen einordnen:</w:t>
      </w:r>
    </w:p>
    <w:p>
      <w:pPr>
        <w:pStyle w:val="Heading2"/>
        <w:spacing w:after="150" w:before="300"/>
      </w:pPr>
      <w:r>
        <w:rPr>
          <w:b/>
          <w:bCs/>
          <w:color w:val="2E86AB"/>
        </w:rPr>
        <w:t xml:space="preserve">Champions-Prinzip</w:t>
      </w:r>
    </w:p>
    <w:p>
      <w:pPr>
        <w:spacing w:after="150"/>
      </w:pPr>
      <w:r>
        <w:t xml:space="preserve">Champions strengen sich früh an, damit es später leichter wird — die meisten machen es sich früh so leicht wie möglich und haben es später schwer.</w:t>
      </w:r>
    </w:p>
    <w:p>
      <w:pPr>
        <w:pStyle w:val="Heading2"/>
        <w:spacing w:after="150" w:before="300"/>
      </w:pPr>
      <w:r>
        <w:rPr>
          <w:b/>
          <w:bCs/>
          <w:color w:val="2E86AB"/>
        </w:rPr>
        <w:t xml:space="preserve">Alphazustand &amp; 5-Jahres-Rhythmen</w:t>
      </w:r>
    </w:p>
    <w:p>
      <w:pPr>
        <w:spacing w:after="150"/>
      </w:pPr>
      <w:r>
        <w:t xml:space="preserve">0–4 Jahre: extrem beeinflussbarer "Alphazustand", geprägt durch die Eltern. Zwischen 18 und 25 beginnt das Leben in 5-Jahres-Sprüngen zu kippen — daher das Gefühl "wo ist die Zeit hin". Das Umfeld der Kindheit (Schule, Nachbarschaft, bester Freund als "nächstgelegener", nicht zwingend bester Kontakt) prägt das Denken oft unbemerkt.</w:t>
      </w:r>
    </w:p>
    <w:p>
      <w:pPr>
        <w:pStyle w:val="Heading2"/>
        <w:spacing w:after="150" w:before="300"/>
      </w:pPr>
      <w:r>
        <w:rPr>
          <w:b/>
          <w:bCs/>
          <w:color w:val="2E86AB"/>
        </w:rPr>
        <w:t xml:space="preserve">"Verlogen" und "Verzogen"-Muster</w:t>
      </w:r>
    </w:p>
    <w:p>
      <w:pPr>
        <w:spacing w:after="150"/>
      </w:pPr>
      <w:r>
        <w:t xml:space="preserve">Verlogen: der Glaube, man wüsste schon alles, was zu Regeln führt, die nicht kompatibel mit der Realität sind (z.B. "vor 30 Millionär sein müssen"). Verzogen: die Anspruchshaltung aus der Schulzeit, dass gute Noten automatisch ein gutes Leben garantieren. Beide Muster rauben Raum und Zeit — dabei gilt: wer sich Raum nimmt, dem verschwindet der Zeitdruck.</w:t>
      </w:r>
    </w:p>
    <w:p>
      <w:pPr>
        <w:pStyle w:val="Heading2"/>
        <w:spacing w:after="150" w:before="300"/>
      </w:pPr>
      <w:r>
        <w:rPr>
          <w:b/>
          <w:bCs/>
          <w:color w:val="2E86AB"/>
        </w:rPr>
        <w:t xml:space="preserve">"45 ist der neue Anfang"</w:t>
      </w:r>
    </w:p>
    <w:p>
      <w:pPr>
        <w:spacing w:after="150"/>
      </w:pPr>
      <w:r>
        <w:t xml:space="preserve">Die neue Erkenntnis: Da, wo die meisten aufhören, beginnt das eigentliche Leben. Erfolg ist, wenn Vorbereitung auf Gelegenheit trifft — nicht Tempo um jeden Preis. Wer sich 10 Jahre Zeit nimmt, um Finanzen und andere Bereiche wirklich in den Griff zu bekommen, kann biologisch jünger sein als das eigene Alter und mit 45 auf High Performance starten.</w:t>
      </w:r>
    </w:p>
    <w:p>
      <w:pPr>
        <w:pStyle w:val="Heading2"/>
        <w:spacing w:after="150" w:before="300"/>
      </w:pPr>
      <w:r>
        <w:rPr>
          <w:b/>
          <w:bCs/>
          <w:color w:val="2E86AB"/>
        </w:rPr>
        <w:t xml:space="preserve">Ego-Arbeit</w:t>
      </w:r>
    </w:p>
    <w:p>
      <w:pPr>
        <w:spacing w:after="150"/>
      </w:pPr>
      <w:r>
        <w:t xml:space="preserve">Es ist Zeit, das Ego "umzubringen", um wachsen zu können — die alte Perspektive respektieren, aber bewusst erweitern statt sie zu verteidigen.</w:t>
      </w:r>
    </w:p>
    <w:p>
      <w:pPr>
        <w:pStyle w:val="Heading2"/>
        <w:spacing w:after="150" w:before="300"/>
      </w:pPr>
      <w:r>
        <w:rPr>
          <w:b/>
          <w:bCs/>
          <w:color w:val="2E86AB"/>
        </w:rPr>
        <w:t xml:space="preserve">Rückwärts-Verbindung ("Connecting the dots")</w:t>
      </w:r>
    </w:p>
    <w:p>
      <w:pPr>
        <w:spacing w:after="150"/>
      </w:pPr>
      <w:r>
        <w:t xml:space="preserve">Man kann die Punkte nur rückblickend verbinden, nicht vorausschauend. Der kürzeste Weg ist meist nicht der beste Weg — manchmal sind die "besten" Leute im Umfeld genau die, die am meisten aufhalten, weil der gesunde Abstand fehlt.</w:t>
      </w:r>
    </w:p>
    <w:p>
      <w:r>
        <w:br w:type="page"/>
      </w:r>
    </w:p>
    <w:p>
      <w:pPr>
        <w:pStyle w:val="Heading1"/>
        <w:spacing w:after="200" w:before="400"/>
      </w:pPr>
      <w:r>
        <w:rPr>
          <w:b/>
          <w:bCs/>
          <w:color w:val="1A1A2E"/>
        </w:rPr>
        <w:t xml:space="preserve">Journal-Fragen aus der Session</w:t>
      </w:r>
    </w:p>
    <w:p>
      <w:pPr>
        <w:pStyle w:val="ListParagraph"/>
        <w:numPr>
          <w:ilvl w:val="0"/>
          <w:numId w:val="2"/>
        </w:numPr>
        <w:spacing w:after="80"/>
      </w:pPr>
      <w:r>
        <w:t xml:space="preserve">Gib dir für jeden der 7 Lebensbereiche eine ehrliche Bewertung von 1–10 (siehe Rad des Lebens oben).</w:t>
      </w:r>
    </w:p>
    <w:p>
      <w:pPr>
        <w:pStyle w:val="ListParagraph"/>
        <w:numPr>
          <w:ilvl w:val="0"/>
          <w:numId w:val="2"/>
        </w:numPr>
        <w:spacing w:after="80"/>
      </w:pPr>
      <w:r>
        <w:t xml:space="preserve">Was ist das Rad des Lebens für mich persönlich — wo stufe ich mich in einem Jahr ein, wenn ich konsequent an den Fokusbereichen arbeite?</w:t>
      </w:r>
    </w:p>
    <w:p>
      <w:pPr>
        <w:pStyle w:val="ListParagraph"/>
        <w:numPr>
          <w:ilvl w:val="0"/>
          <w:numId w:val="2"/>
        </w:numPr>
        <w:spacing w:after="80"/>
      </w:pPr>
      <w:r>
        <w:t xml:space="preserve">Warum sind Menschen unter 25 oft "verlogen/verzogen" unterwegs — und wo erkenne ich diese Muster noch bei mir selbst?</w:t>
      </w:r>
    </w:p>
    <w:p>
      <w:pPr>
        <w:pStyle w:val="ListParagraph"/>
        <w:numPr>
          <w:ilvl w:val="0"/>
          <w:numId w:val="2"/>
        </w:numPr>
        <w:spacing w:after="80"/>
      </w:pPr>
      <w:r>
        <w:t xml:space="preserve">Welche früh geformten Regeln stehen mir heute im Weg?</w:t>
      </w:r>
    </w:p>
    <w:p>
      <w:pPr>
        <w:pStyle w:val="ListParagraph"/>
        <w:numPr>
          <w:ilvl w:val="0"/>
          <w:numId w:val="2"/>
        </w:numPr>
        <w:spacing w:after="80"/>
      </w:pPr>
      <w:r>
        <w:t xml:space="preserve">Warum sind Skills und Erfahrung nicht dasselbe — und wo verwechsle ich das bei mir?</w:t>
      </w:r>
    </w:p>
    <w:p>
      <w:r>
        <w:br w:type="page"/>
      </w:r>
    </w:p>
    <w:p>
      <w:pPr>
        <w:pStyle w:val="Heading1"/>
        <w:spacing w:after="200" w:before="400"/>
      </w:pPr>
      <w:r>
        <w:rPr>
          <w:b/>
          <w:bCs/>
          <w:color w:val="1A1A2E"/>
        </w:rPr>
        <w:t xml:space="preserve">Nächste Schritte</w:t>
      </w:r>
    </w:p>
    <w:p>
      <w:pPr>
        <w:spacing w:after="150"/>
      </w:pPr>
      <w:r>
        <w:t xml:space="preserve">Dieses Dokument ist der erste vollständige Entwurf. Als Nächstes vertiefen wir gemeinsam, Runde für Runde:</w:t>
      </w:r>
    </w:p>
    <w:p>
      <w:pPr>
        <w:pStyle w:val="ListParagraph"/>
        <w:numPr>
          <w:ilvl w:val="0"/>
          <w:numId w:val="2"/>
        </w:numPr>
        <w:spacing w:after="80"/>
      </w:pPr>
      <w:r>
        <w:t xml:space="preserve">Physis und B/K/M: konkrete Wochenpläne aus den Routinen-Ansätzen ableiten (Trainingsplan, Ernährungsrahmen, Business-Fokus-Aktivitäten).</w:t>
      </w:r>
    </w:p>
    <w:p>
      <w:pPr>
        <w:pStyle w:val="ListParagraph"/>
        <w:numPr>
          <w:ilvl w:val="0"/>
          <w:numId w:val="2"/>
        </w:numPr>
        <w:spacing w:after="80"/>
      </w:pPr>
      <w:r>
        <w:t xml:space="preserve">Die übrigen 5 Bereiche: von "erste Ansätze" zu vollständigen Routinen ausbauen, sobald Physis und B/K/M laufen.</w:t>
      </w:r>
    </w:p>
    <w:p>
      <w:pPr>
        <w:pStyle w:val="ListParagraph"/>
        <w:numPr>
          <w:ilvl w:val="0"/>
          <w:numId w:val="2"/>
        </w:numPr>
        <w:spacing w:after="80"/>
      </w:pPr>
      <w:r>
        <w:t xml:space="preserve">Leitbilder verfeinern: aus den vorgeschlagenen Personen/Prinzipien konkrete Bücher, Videos oder Praktiken auswählen, die du aktiv studierst.</w:t>
      </w:r>
    </w:p>
    <w:p>
      <w:pPr>
        <w:pStyle w:val="ListParagraph"/>
        <w:numPr>
          <w:ilvl w:val="0"/>
          <w:numId w:val="2"/>
        </w:numPr>
        <w:spacing w:after="80"/>
      </w:pPr>
      <w:r>
        <w:t xml:space="preserve">Fortschritt: das Rad des Lebens alle paar Monate neu bewerten und die Entwicklung sichtbar machen.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c1006c8dc6588c1a1ca29afac82fe2d36a961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2026-07-29T15:34:38.905Z</dcterms:created>
  <dcterms:modified xsi:type="dcterms:W3CDTF">2026-07-29T15:34:38.905Z</dcterms:modified>
</cp:coreProperties>
</file>

<file path=docProps/custom.xml><?xml version="1.0" encoding="utf-8"?>
<Properties xmlns="http://schemas.openxmlformats.org/officeDocument/2006/custom-properties" xmlns:vt="http://schemas.openxmlformats.org/officeDocument/2006/docPropsVTypes"/>
</file>