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30FB6" w14:textId="66A48C2C" w:rsidR="00A063A4" w:rsidRPr="00A063A4" w:rsidRDefault="00A063A4" w:rsidP="00A063A4">
      <w:pPr>
        <w:jc w:val="center"/>
        <w:rPr>
          <w:b/>
          <w:bCs/>
        </w:rPr>
      </w:pPr>
      <w:r w:rsidRPr="00A063A4">
        <w:rPr>
          <w:b/>
          <w:bCs/>
        </w:rPr>
        <w:t>Supporting Wildfire Mitigation Investment Prioritization</w:t>
      </w:r>
    </w:p>
    <w:p w14:paraId="6E483581" w14:textId="3FCAEAF5" w:rsidR="00A063A4" w:rsidRPr="00A063A4" w:rsidRDefault="00A063A4" w:rsidP="00A063A4">
      <w:pPr>
        <w:jc w:val="center"/>
      </w:pPr>
      <w:r w:rsidRPr="00A063A4">
        <w:t>Thelonious Funk</w:t>
      </w:r>
      <w:r>
        <w:t xml:space="preserve">, </w:t>
      </w:r>
      <w:r w:rsidRPr="00A063A4">
        <w:t>Alan T. Murray</w:t>
      </w:r>
    </w:p>
    <w:p w14:paraId="61A85FE9" w14:textId="77777777" w:rsidR="00A063A4" w:rsidRDefault="00A063A4" w:rsidP="00A063A4">
      <w:pPr>
        <w:jc w:val="center"/>
        <w:rPr>
          <w:i/>
          <w:iCs/>
        </w:rPr>
      </w:pPr>
      <w:r w:rsidRPr="00A063A4">
        <w:rPr>
          <w:i/>
          <w:iCs/>
        </w:rPr>
        <w:t>Department of Geography, University of California at Santa Barbara</w:t>
      </w:r>
    </w:p>
    <w:p w14:paraId="5E228032" w14:textId="77777777" w:rsidR="00A063A4" w:rsidRPr="00A063A4" w:rsidRDefault="00A063A4" w:rsidP="00A063A4">
      <w:pPr>
        <w:jc w:val="center"/>
        <w:rPr>
          <w:i/>
          <w:iCs/>
        </w:rPr>
      </w:pPr>
    </w:p>
    <w:p w14:paraId="296425BA" w14:textId="77777777" w:rsidR="008F31E2" w:rsidRDefault="008F31E2" w:rsidP="00A063A4">
      <w:pPr>
        <w:rPr>
          <w:b/>
          <w:bCs/>
        </w:rPr>
      </w:pPr>
    </w:p>
    <w:p w14:paraId="71CFB038" w14:textId="4B557B33" w:rsidR="00A063A4" w:rsidRPr="00A063A4" w:rsidRDefault="00A063A4" w:rsidP="00A063A4">
      <w:pPr>
        <w:rPr>
          <w:b/>
          <w:bCs/>
        </w:rPr>
      </w:pPr>
      <w:r>
        <w:rPr>
          <w:b/>
          <w:bCs/>
        </w:rPr>
        <w:t>Abstract</w:t>
      </w:r>
    </w:p>
    <w:p w14:paraId="2F9A605A" w14:textId="13745AE5" w:rsidR="00A063A4" w:rsidRPr="00A063A4" w:rsidRDefault="00A063A4" w:rsidP="00A063A4">
      <w:pPr>
        <w:ind w:firstLine="720"/>
      </w:pPr>
      <w:r w:rsidRPr="00A063A4">
        <w:t>Site prioritization for wildfire mitigation must consider a variety of spatial and non-spatial attributes, simultaneously considered and integrated. This paper explores challenges in attribute derivation, selection and integration. Further, support tools are proposed to facilitate this process. Mitigation efforts in a high wildfire danger region of Southern California illustrate the challenges and opportunities for spatial analytics in land prioritization. </w:t>
      </w:r>
    </w:p>
    <w:p w14:paraId="5CDA3933" w14:textId="09C8B3B6" w:rsidR="00A063A4" w:rsidRDefault="00A063A4" w:rsidP="00A063A4"/>
    <w:p w14:paraId="0A0E60D6" w14:textId="77777777" w:rsidR="008F31E2" w:rsidRDefault="008F31E2" w:rsidP="00A063A4"/>
    <w:p w14:paraId="60BF9AC1" w14:textId="5B17ECB7" w:rsidR="00A063A4" w:rsidRDefault="00A063A4" w:rsidP="00A063A4">
      <w:pPr>
        <w:rPr>
          <w:b/>
          <w:bCs/>
        </w:rPr>
      </w:pPr>
      <w:r w:rsidRPr="00A063A4">
        <w:rPr>
          <w:b/>
          <w:bCs/>
        </w:rPr>
        <w:t>1. Introduction</w:t>
      </w:r>
    </w:p>
    <w:p w14:paraId="1483EA7A" w14:textId="231E0FAD" w:rsidR="000933F0" w:rsidRDefault="009D3CD3" w:rsidP="005143B7">
      <w:r>
        <w:tab/>
      </w:r>
      <w:r w:rsidR="00622ECD">
        <w:t xml:space="preserve">Given limited resources, hazard mitigation commonly requires prioritization and related decisions to be made. In such </w:t>
      </w:r>
      <w:r w:rsidR="005143B7">
        <w:t>efforts</w:t>
      </w:r>
      <w:r w:rsidR="00622ECD">
        <w:t xml:space="preserve">, decision makers (DMs) are </w:t>
      </w:r>
      <w:r w:rsidR="005143B7">
        <w:t xml:space="preserve">often </w:t>
      </w:r>
      <w:r w:rsidR="00622ECD">
        <w:t xml:space="preserve">required to consider variety of spatial and aspatial </w:t>
      </w:r>
      <w:r w:rsidR="005143B7">
        <w:t xml:space="preserve">data, objectives, constraints, and uncertainty, integrating </w:t>
      </w:r>
      <w:r w:rsidR="005D4EB6">
        <w:t>them into a problem that may be solved (Malczewski &amp; Rinner, 2015).</w:t>
      </w:r>
      <w:r w:rsidR="005143B7">
        <w:t xml:space="preserve"> This process has come to be called GIS-MCDA: an integration between Geographic Information Science (GIS) and Multi-Criteria Decision Analysis (Malczewski, 1999). Numerous authors can be attributed for defining and advancing this field over the past three decades; Malczewski, Jankowski, </w:t>
      </w:r>
      <w:proofErr w:type="spellStart"/>
      <w:r w:rsidR="005143B7">
        <w:t>Ligmann-Zielinksa</w:t>
      </w:r>
      <w:proofErr w:type="spellEnd"/>
      <w:r w:rsidR="005143B7">
        <w:t xml:space="preserve">, Siskos, </w:t>
      </w:r>
      <w:r w:rsidR="005D4EB6">
        <w:t xml:space="preserve">Greco, </w:t>
      </w:r>
      <w:r w:rsidR="005143B7">
        <w:t xml:space="preserve">Church, Murray, and Saaty to name a few. </w:t>
      </w:r>
    </w:p>
    <w:p w14:paraId="64174BA2" w14:textId="5CA8E128" w:rsidR="00C75B39" w:rsidRDefault="005143B7" w:rsidP="005143B7">
      <w:r>
        <w:tab/>
      </w:r>
      <w:r w:rsidR="006B43F2">
        <w:t xml:space="preserve">Several of these authors, notably Malczewski and Jankowski, have emphasized the importance of criteria weighting as one of the core steps to the GIS-MCDA process (Malczewski, 1999, 2006; Jankowski, 1995; Malczewski &amp; Rinner, 2015). </w:t>
      </w:r>
      <w:r w:rsidR="005D4EB6">
        <w:t xml:space="preserve">Many methods for criterion weighting exist, and commonly fall under the categories of rating, ranking, pairwise comparison, and entropy (Malczewski &amp; Rinner, 2015). </w:t>
      </w:r>
      <w:r w:rsidR="003C6A5D">
        <w:t>These techniques</w:t>
      </w:r>
      <w:r w:rsidR="005D4EB6">
        <w:t xml:space="preserve">, minus that of entropy, typically rely on the expert opinion of decision makers, and are commonly performed without spatial consideration. </w:t>
      </w:r>
    </w:p>
    <w:p w14:paraId="4C3E78C8" w14:textId="1320B278" w:rsidR="003C6A5D" w:rsidRPr="00A063A4" w:rsidRDefault="003C6A5D" w:rsidP="003C6A5D">
      <w:r>
        <w:tab/>
        <w:t>In improving the robustness and accuracy of weight elicitation, recent literature has called for further applications of inverse and exploratory approaches to be made (Jankowski, 2020; Malczewski, NEED TO FIND). To answer these calls, w</w:t>
      </w:r>
      <w:r>
        <w:t xml:space="preserve">e propose spatially explicit and exploratory </w:t>
      </w:r>
      <w:r w:rsidR="00231800">
        <w:t>methods</w:t>
      </w:r>
      <w:r>
        <w:t xml:space="preserve"> to derive weights from a DMs’ set of preferred alternatives. Further, we present a web-based framework for further weight space and data exploration.</w:t>
      </w:r>
    </w:p>
    <w:p w14:paraId="0A62F311" w14:textId="13AC7523" w:rsidR="003C6A5D" w:rsidRDefault="003C6A5D" w:rsidP="005143B7"/>
    <w:p w14:paraId="400871CC" w14:textId="77777777" w:rsidR="008F31E2" w:rsidRDefault="008F31E2" w:rsidP="005143B7"/>
    <w:p w14:paraId="3387CFC8" w14:textId="127AD250" w:rsidR="003C6A5D" w:rsidRPr="003C6A5D" w:rsidRDefault="003C6A5D" w:rsidP="005143B7">
      <w:pPr>
        <w:rPr>
          <w:b/>
          <w:bCs/>
        </w:rPr>
      </w:pPr>
      <w:r w:rsidRPr="003C6A5D">
        <w:rPr>
          <w:b/>
          <w:bCs/>
        </w:rPr>
        <w:t>2. Literature Review</w:t>
      </w:r>
    </w:p>
    <w:p w14:paraId="161ECBD5" w14:textId="462D1CCF" w:rsidR="00EE3B04" w:rsidRDefault="00EE3B04" w:rsidP="00EE3B04">
      <w:pPr>
        <w:pStyle w:val="NormalWeb"/>
      </w:pPr>
      <w:r>
        <w:t>“</w:t>
      </w:r>
      <w:r>
        <w:rPr>
          <w:rFonts w:ascii="TypjhbBnytqfAdvTT5ada87cc" w:hAnsi="TypjhbBnytqfAdvTT5ada87cc"/>
          <w:sz w:val="20"/>
          <w:szCs w:val="20"/>
        </w:rPr>
        <w:t xml:space="preserve">An additive </w:t>
      </w:r>
      <w:proofErr w:type="spellStart"/>
      <w:r>
        <w:rPr>
          <w:rFonts w:ascii="TypjhbBnytqfAdvTT5ada87cc" w:hAnsi="TypjhbBnytqfAdvTT5ada87cc"/>
          <w:sz w:val="20"/>
          <w:szCs w:val="20"/>
        </w:rPr>
        <w:t>multiattribute</w:t>
      </w:r>
      <w:proofErr w:type="spellEnd"/>
      <w:r>
        <w:rPr>
          <w:rFonts w:ascii="TypjhbBnytqfAdvTT5ada87cc" w:hAnsi="TypjhbBnytqfAdvTT5ada87cc"/>
          <w:sz w:val="20"/>
          <w:szCs w:val="20"/>
        </w:rPr>
        <w:t xml:space="preserve"> utility method has a similar form to the weighted linear combination (see Sect. </w:t>
      </w:r>
      <w:r>
        <w:rPr>
          <w:rFonts w:ascii="TypjhbBnytqfAdvTT5ada87cc" w:hAnsi="TypjhbBnytqfAdvTT5ada87cc"/>
          <w:color w:val="0000FF"/>
          <w:sz w:val="20"/>
          <w:szCs w:val="20"/>
        </w:rPr>
        <w:t>4.2</w:t>
      </w:r>
      <w:r>
        <w:rPr>
          <w:rFonts w:ascii="TypjhbBnytqfAdvTT5ada87cc" w:hAnsi="TypjhbBnytqfAdvTT5ada87cc"/>
          <w:sz w:val="20"/>
          <w:szCs w:val="20"/>
        </w:rPr>
        <w:t xml:space="preserve">), except that the values are replaced by utilities. Although the method has a prominent place in classic decision analysis and theory, it has rarely been applied for tackling spatial decision problems using GIS (e.g., Keisler and Sundell </w:t>
      </w:r>
      <w:r>
        <w:rPr>
          <w:rFonts w:ascii="TypjhbBnytqfAdvTT5ada87cc" w:hAnsi="TypjhbBnytqfAdvTT5ada87cc"/>
          <w:color w:val="0000FF"/>
          <w:sz w:val="20"/>
          <w:szCs w:val="20"/>
        </w:rPr>
        <w:t>1997</w:t>
      </w:r>
      <w:r>
        <w:rPr>
          <w:rFonts w:ascii="TypjhbBnytqfAdvTT5ada87cc" w:hAnsi="TypjhbBnytqfAdvTT5ada87cc"/>
          <w:sz w:val="20"/>
          <w:szCs w:val="20"/>
        </w:rPr>
        <w:t xml:space="preserve">; Store and Kangas </w:t>
      </w:r>
      <w:r>
        <w:rPr>
          <w:rFonts w:ascii="TypjhbBnytqfAdvTT5ada87cc" w:hAnsi="TypjhbBnytqfAdvTT5ada87cc"/>
          <w:color w:val="0000FF"/>
          <w:sz w:val="20"/>
          <w:szCs w:val="20"/>
        </w:rPr>
        <w:t>2001</w:t>
      </w:r>
      <w:r>
        <w:rPr>
          <w:rFonts w:ascii="TypjhbBnytqfAdvTT5ada87cc" w:hAnsi="TypjhbBnytqfAdvTT5ada87cc"/>
          <w:sz w:val="20"/>
          <w:szCs w:val="20"/>
        </w:rPr>
        <w:t xml:space="preserve">; </w:t>
      </w:r>
      <w:proofErr w:type="spellStart"/>
      <w:r>
        <w:rPr>
          <w:rFonts w:ascii="TypjhbBnytqfAdvTT5ada87cc" w:hAnsi="TypjhbBnytqfAdvTT5ada87cc"/>
          <w:sz w:val="20"/>
          <w:szCs w:val="20"/>
        </w:rPr>
        <w:t>Vacik</w:t>
      </w:r>
      <w:proofErr w:type="spellEnd"/>
      <w:r>
        <w:rPr>
          <w:rFonts w:ascii="TypjhbBnytqfAdvTT5ada87cc" w:hAnsi="TypjhbBnytqfAdvTT5ada87cc"/>
          <w:sz w:val="20"/>
          <w:szCs w:val="20"/>
        </w:rPr>
        <w:t xml:space="preserve"> and Lexer </w:t>
      </w:r>
      <w:r>
        <w:rPr>
          <w:rFonts w:ascii="TypjhbBnytqfAdvTT5ada87cc" w:hAnsi="TypjhbBnytqfAdvTT5ada87cc"/>
          <w:color w:val="0000FF"/>
          <w:sz w:val="20"/>
          <w:szCs w:val="20"/>
        </w:rPr>
        <w:t>2001</w:t>
      </w:r>
      <w:r>
        <w:rPr>
          <w:rFonts w:ascii="TypjhbBnytqfAdvTT5ada87cc" w:hAnsi="TypjhbBnytqfAdvTT5ada87cc"/>
          <w:sz w:val="20"/>
          <w:szCs w:val="20"/>
        </w:rPr>
        <w:t xml:space="preserve">; </w:t>
      </w:r>
      <w:proofErr w:type="spellStart"/>
      <w:r>
        <w:rPr>
          <w:rFonts w:ascii="TypjhbBnytqfAdvTT5ada87cc" w:hAnsi="TypjhbBnytqfAdvTT5ada87cc"/>
          <w:sz w:val="20"/>
          <w:szCs w:val="20"/>
        </w:rPr>
        <w:t>Ligmann</w:t>
      </w:r>
      <w:proofErr w:type="spellEnd"/>
      <w:r>
        <w:rPr>
          <w:rFonts w:ascii="TypjhbBnytqfAdvTT5ada87cc" w:hAnsi="TypjhbBnytqfAdvTT5ada87cc"/>
          <w:sz w:val="20"/>
          <w:szCs w:val="20"/>
        </w:rPr>
        <w:t xml:space="preserve">-Zielinska </w:t>
      </w:r>
      <w:r>
        <w:rPr>
          <w:rFonts w:ascii="TypjhbBnytqfAdvTT5ada87cc" w:hAnsi="TypjhbBnytqfAdvTT5ada87cc"/>
          <w:color w:val="0000FF"/>
          <w:sz w:val="20"/>
          <w:szCs w:val="20"/>
        </w:rPr>
        <w:t>2009</w:t>
      </w:r>
      <w:r>
        <w:rPr>
          <w:rFonts w:ascii="TypjhbBnytqfAdvTT5ada87cc" w:hAnsi="TypjhbBnytqfAdvTT5ada87cc"/>
          <w:sz w:val="20"/>
          <w:szCs w:val="20"/>
        </w:rPr>
        <w:t xml:space="preserve">). One of the barriers in applying the utility function method for solving spatial decision problems is a set of underlying assumptions such as preferential independence and utility independence (Keeney and </w:t>
      </w:r>
      <w:proofErr w:type="spellStart"/>
      <w:r>
        <w:rPr>
          <w:rFonts w:ascii="TypjhbBnytqfAdvTT5ada87cc" w:hAnsi="TypjhbBnytqfAdvTT5ada87cc"/>
          <w:sz w:val="20"/>
          <w:szCs w:val="20"/>
        </w:rPr>
        <w:t>Raiffa</w:t>
      </w:r>
      <w:proofErr w:type="spellEnd"/>
      <w:r>
        <w:rPr>
          <w:rFonts w:ascii="TypjhbBnytqfAdvTT5ada87cc" w:hAnsi="TypjhbBnytqfAdvTT5ada87cc"/>
          <w:sz w:val="20"/>
          <w:szCs w:val="20"/>
        </w:rPr>
        <w:t xml:space="preserve"> </w:t>
      </w:r>
      <w:r>
        <w:rPr>
          <w:rFonts w:ascii="TypjhbBnytqfAdvTT5ada87cc" w:hAnsi="TypjhbBnytqfAdvTT5ada87cc"/>
          <w:color w:val="0000FF"/>
          <w:sz w:val="20"/>
          <w:szCs w:val="20"/>
        </w:rPr>
        <w:t>1976</w:t>
      </w:r>
      <w:r>
        <w:rPr>
          <w:rFonts w:ascii="TypjhbBnytqfAdvTT5ada87cc" w:hAnsi="TypjhbBnytqfAdvTT5ada87cc"/>
          <w:sz w:val="20"/>
          <w:szCs w:val="20"/>
        </w:rPr>
        <w:t>). Usually, it is quite dif</w:t>
      </w:r>
      <w:r>
        <w:rPr>
          <w:rFonts w:ascii="LflpptNsyyvwAdvTT5ada87cc+fb" w:hAnsi="LflpptNsyyvwAdvTT5ada87cc+fb"/>
          <w:sz w:val="20"/>
          <w:szCs w:val="20"/>
        </w:rPr>
        <w:t>fi</w:t>
      </w:r>
      <w:r>
        <w:rPr>
          <w:rFonts w:ascii="TypjhbBnytqfAdvTT5ada87cc" w:hAnsi="TypjhbBnytqfAdvTT5ada87cc"/>
          <w:sz w:val="20"/>
          <w:szCs w:val="20"/>
        </w:rPr>
        <w:t>cult, impractical, or even impossible to obtain a mathematical representation of the decision maker</w:t>
      </w:r>
      <w:r>
        <w:rPr>
          <w:rFonts w:ascii="RjdpkrTvvktpAdvTT3713a231+20" w:hAnsi="RjdpkrTvvktpAdvTT3713a231+20"/>
          <w:sz w:val="20"/>
          <w:szCs w:val="20"/>
        </w:rPr>
        <w:t>’</w:t>
      </w:r>
      <w:r>
        <w:rPr>
          <w:rFonts w:ascii="TypjhbBnytqfAdvTT5ada87cc" w:hAnsi="TypjhbBnytqfAdvTT5ada87cc"/>
          <w:sz w:val="20"/>
          <w:szCs w:val="20"/>
        </w:rPr>
        <w:t>s preferences in the form of utility functions (</w:t>
      </w:r>
      <w:proofErr w:type="spellStart"/>
      <w:r>
        <w:rPr>
          <w:rFonts w:ascii="TypjhbBnytqfAdvTT5ada87cc" w:hAnsi="TypjhbBnytqfAdvTT5ada87cc"/>
          <w:sz w:val="20"/>
          <w:szCs w:val="20"/>
        </w:rPr>
        <w:t>ReVelle</w:t>
      </w:r>
      <w:proofErr w:type="spellEnd"/>
      <w:r>
        <w:rPr>
          <w:rFonts w:ascii="TypjhbBnytqfAdvTT5ada87cc" w:hAnsi="TypjhbBnytqfAdvTT5ada87cc"/>
          <w:sz w:val="20"/>
          <w:szCs w:val="20"/>
        </w:rPr>
        <w:t xml:space="preserve"> et al. </w:t>
      </w:r>
      <w:r>
        <w:rPr>
          <w:rFonts w:ascii="TypjhbBnytqfAdvTT5ada87cc" w:hAnsi="TypjhbBnytqfAdvTT5ada87cc"/>
          <w:color w:val="0000FF"/>
          <w:sz w:val="20"/>
          <w:szCs w:val="20"/>
        </w:rPr>
        <w:t>1981</w:t>
      </w:r>
      <w:r>
        <w:rPr>
          <w:rFonts w:ascii="TypjhbBnytqfAdvTT5ada87cc" w:hAnsi="TypjhbBnytqfAdvTT5ada87cc"/>
          <w:sz w:val="20"/>
          <w:szCs w:val="20"/>
        </w:rPr>
        <w:t xml:space="preserve">; Lai and Hopkins </w:t>
      </w:r>
      <w:r>
        <w:rPr>
          <w:rFonts w:ascii="TypjhbBnytqfAdvTT5ada87cc" w:hAnsi="TypjhbBnytqfAdvTT5ada87cc"/>
          <w:color w:val="0000FF"/>
          <w:sz w:val="20"/>
          <w:szCs w:val="20"/>
        </w:rPr>
        <w:t>1989</w:t>
      </w:r>
      <w:r>
        <w:rPr>
          <w:rFonts w:ascii="TypjhbBnytqfAdvTT5ada87cc" w:hAnsi="TypjhbBnytqfAdvTT5ada87cc"/>
          <w:sz w:val="20"/>
          <w:szCs w:val="20"/>
        </w:rPr>
        <w:t xml:space="preserve">). The procedures for assessing utility functions with even a moderate number of attributes can be time consuming and tedious. Also, they place considerable information processing demands on the decision maker. It can be </w:t>
      </w:r>
      <w:r>
        <w:rPr>
          <w:rFonts w:ascii="TypjhbBnytqfAdvTT5ada87cc" w:hAnsi="TypjhbBnytqfAdvTT5ada87cc"/>
          <w:sz w:val="20"/>
          <w:szCs w:val="20"/>
        </w:rPr>
        <w:lastRenderedPageBreak/>
        <w:t>argued that decision makers are unable or reluctant to articulate their preferences without knowing the possible consequences associated with alternative decisions (</w:t>
      </w:r>
      <w:proofErr w:type="spellStart"/>
      <w:r>
        <w:rPr>
          <w:rFonts w:ascii="TypjhbBnytqfAdvTT5ada87cc" w:hAnsi="TypjhbBnytqfAdvTT5ada87cc"/>
          <w:sz w:val="20"/>
          <w:szCs w:val="20"/>
        </w:rPr>
        <w:t>ReVelle</w:t>
      </w:r>
      <w:proofErr w:type="spellEnd"/>
      <w:r>
        <w:rPr>
          <w:rFonts w:ascii="TypjhbBnytqfAdvTT5ada87cc" w:hAnsi="TypjhbBnytqfAdvTT5ada87cc"/>
          <w:sz w:val="20"/>
          <w:szCs w:val="20"/>
        </w:rPr>
        <w:t xml:space="preserve"> et al. </w:t>
      </w:r>
      <w:r>
        <w:rPr>
          <w:rFonts w:ascii="TypjhbBnytqfAdvTT5ada87cc" w:hAnsi="TypjhbBnytqfAdvTT5ada87cc"/>
          <w:color w:val="0000FF"/>
          <w:sz w:val="20"/>
          <w:szCs w:val="20"/>
        </w:rPr>
        <w:t>1981</w:t>
      </w:r>
      <w:r>
        <w:rPr>
          <w:rFonts w:ascii="TypjhbBnytqfAdvTT5ada87cc" w:hAnsi="TypjhbBnytqfAdvTT5ada87cc"/>
          <w:sz w:val="20"/>
          <w:szCs w:val="20"/>
        </w:rPr>
        <w:t>)</w:t>
      </w:r>
      <w:r>
        <w:rPr>
          <w:rFonts w:ascii="TypjhbBnytqfAdvTT5ada87cc" w:hAnsi="TypjhbBnytqfAdvTT5ada87cc"/>
          <w:sz w:val="20"/>
          <w:szCs w:val="20"/>
        </w:rPr>
        <w:t xml:space="preserve"> (Malczewski &amp; Rinner, 2015, p. 205). </w:t>
      </w:r>
    </w:p>
    <w:p w14:paraId="3E613E50" w14:textId="367E553D" w:rsidR="00CF6A17" w:rsidRDefault="00CF6A17" w:rsidP="005143B7"/>
    <w:p w14:paraId="41F6AB49" w14:textId="14AACFC4" w:rsidR="001217D2" w:rsidRPr="00F11E84" w:rsidRDefault="00F11E84" w:rsidP="005143B7">
      <w:pPr>
        <w:rPr>
          <w:b/>
          <w:bCs/>
        </w:rPr>
      </w:pPr>
      <w:r w:rsidRPr="00F11E84">
        <w:rPr>
          <w:b/>
          <w:bCs/>
        </w:rPr>
        <w:t xml:space="preserve">3. Data </w:t>
      </w:r>
    </w:p>
    <w:p w14:paraId="0083596F" w14:textId="77777777" w:rsidR="00F11E84" w:rsidRDefault="00F11E84" w:rsidP="005143B7"/>
    <w:p w14:paraId="1852749C" w14:textId="7FD8C85E" w:rsidR="00F11E84" w:rsidRDefault="00F11E84" w:rsidP="005143B7">
      <w:pPr>
        <w:rPr>
          <w:b/>
          <w:bCs/>
        </w:rPr>
      </w:pPr>
      <w:r w:rsidRPr="00F11E84">
        <w:rPr>
          <w:b/>
          <w:bCs/>
        </w:rPr>
        <w:t>4. Methods</w:t>
      </w:r>
    </w:p>
    <w:p w14:paraId="7A1C5867" w14:textId="5F752766" w:rsidR="009B2098" w:rsidRDefault="00AC0F0D" w:rsidP="00AC0F0D">
      <w:pPr>
        <w:spacing w:before="100" w:beforeAutospacing="1" w:after="100" w:afterAutospacing="1"/>
        <w:ind w:firstLine="720"/>
      </w:pPr>
      <w:r>
        <w:t xml:space="preserve">It has been noted previously that </w:t>
      </w:r>
      <w:r w:rsidR="009B2098">
        <w:t>criteria</w:t>
      </w:r>
      <w:r w:rsidR="00D02D93">
        <w:t xml:space="preserve"> </w:t>
      </w:r>
      <w:r>
        <w:t>weighting in MCDA is typically a forward process</w:t>
      </w:r>
      <w:r w:rsidR="00D02D93">
        <w:t xml:space="preserve">, where weights are </w:t>
      </w:r>
      <w:r w:rsidR="009B2098">
        <w:t>elicited in advance by decision makers, using processes where criteria are rated, ranked, or measured by pairwise comparison to create some final</w:t>
      </w:r>
      <w:r w:rsidR="00330853">
        <w:t xml:space="preserve"> composite</w:t>
      </w:r>
      <w:r w:rsidR="009B2098">
        <w:t xml:space="preserve"> score </w:t>
      </w:r>
      <w:r>
        <w:t>(</w:t>
      </w:r>
      <w:r w:rsidR="009B2098">
        <w:t>Jankowski</w:t>
      </w:r>
      <w:r>
        <w:t xml:space="preserve">, 2006, </w:t>
      </w:r>
      <w:r w:rsidR="00D02D93">
        <w:t>Malczewski &amp; Rinner, 2015</w:t>
      </w:r>
      <w:r>
        <w:t xml:space="preserve">). </w:t>
      </w:r>
      <w:r w:rsidR="00330853">
        <w:t>With these forward approaches such as WLC, AHP, or OWA, there are several problems:</w:t>
      </w:r>
      <w:r w:rsidR="009B2098">
        <w:t xml:space="preserve"> </w:t>
      </w:r>
    </w:p>
    <w:p w14:paraId="44288FFF" w14:textId="648FBFD6" w:rsidR="00330853" w:rsidRDefault="00330853" w:rsidP="009B2098">
      <w:pPr>
        <w:pStyle w:val="ListParagraph"/>
        <w:numPr>
          <w:ilvl w:val="0"/>
          <w:numId w:val="5"/>
        </w:numPr>
        <w:spacing w:before="100" w:beforeAutospacing="1" w:after="100" w:afterAutospacing="1"/>
      </w:pPr>
      <w:r>
        <w:t>They rely on the choices of experts or decision makers, entailing that resulting weights are not determined by observation.</w:t>
      </w:r>
    </w:p>
    <w:p w14:paraId="69F2A159" w14:textId="7AD7A9BF" w:rsidR="009B2098" w:rsidRDefault="009B2098" w:rsidP="009B2098">
      <w:pPr>
        <w:pStyle w:val="ListParagraph"/>
        <w:numPr>
          <w:ilvl w:val="0"/>
          <w:numId w:val="5"/>
        </w:numPr>
        <w:spacing w:before="100" w:beforeAutospacing="1" w:after="100" w:afterAutospacing="1"/>
      </w:pPr>
      <w:r>
        <w:t xml:space="preserve"> </w:t>
      </w:r>
      <w:r w:rsidR="00330853">
        <w:t xml:space="preserve">Similarly, deriving weights prior to observing spatial results inherently makes the process </w:t>
      </w:r>
      <w:proofErr w:type="gramStart"/>
      <w:r w:rsidR="00330853">
        <w:t>a-spatial</w:t>
      </w:r>
      <w:proofErr w:type="gramEnd"/>
      <w:r w:rsidR="00330853">
        <w:t>. There can be no consideration of how weighting may impact geographic outcomes (Malczewski, 1999).</w:t>
      </w:r>
    </w:p>
    <w:p w14:paraId="69BE1D8C" w14:textId="562A9862" w:rsidR="00330853" w:rsidRDefault="00330853" w:rsidP="009B2098">
      <w:pPr>
        <w:pStyle w:val="ListParagraph"/>
        <w:numPr>
          <w:ilvl w:val="0"/>
          <w:numId w:val="5"/>
        </w:numPr>
        <w:spacing w:before="100" w:beforeAutospacing="1" w:after="100" w:afterAutospacing="1"/>
      </w:pPr>
      <w:r>
        <w:t xml:space="preserve">Typically, they assume linearity among weight vectors, allowing for no consideration of discrete value changes, thresholds, or saturation. </w:t>
      </w:r>
    </w:p>
    <w:p w14:paraId="6D097A61" w14:textId="4E6D7053" w:rsidR="00957EC7" w:rsidRDefault="00957EC7" w:rsidP="00957EC7">
      <w:pPr>
        <w:spacing w:before="100" w:beforeAutospacing="1" w:after="100" w:afterAutospacing="1"/>
        <w:ind w:left="720"/>
      </w:pPr>
      <w:r>
        <w:t xml:space="preserve">In the below section, we address these concerns by introducing an exploratory method for inverse approaches. Using preference disaggregation </w:t>
      </w:r>
      <w:proofErr w:type="gramStart"/>
      <w:r>
        <w:t>ad</w:t>
      </w:r>
      <w:proofErr w:type="gramEnd"/>
      <w:r>
        <w:t xml:space="preserve"> a heuristic for exact rank minimization, we can infer additive value functions or linear weights from observed spatial preferences (Jacquet-</w:t>
      </w:r>
      <w:proofErr w:type="spellStart"/>
      <w:r>
        <w:t>Lagrèze</w:t>
      </w:r>
      <w:proofErr w:type="spellEnd"/>
      <w:r>
        <w:t xml:space="preserve"> &amp; Siskos, 1982; 2001; Greco et al., 2008). </w:t>
      </w:r>
    </w:p>
    <w:p w14:paraId="2897BBA1" w14:textId="7BF7D092" w:rsidR="005D083A" w:rsidRDefault="00D02D93" w:rsidP="00D02D93">
      <w:pPr>
        <w:spacing w:before="100" w:beforeAutospacing="1" w:after="100" w:afterAutospacing="1"/>
        <w:rPr>
          <w:b/>
          <w:bCs/>
        </w:rPr>
      </w:pPr>
      <w:r>
        <w:rPr>
          <w:b/>
          <w:bCs/>
        </w:rPr>
        <w:t>4.1 Preference Disaggregation with Utility Functions</w:t>
      </w:r>
    </w:p>
    <w:p w14:paraId="7A91D616" w14:textId="77777777" w:rsidR="004B146F" w:rsidRDefault="007A1438" w:rsidP="00D02D93">
      <w:pPr>
        <w:spacing w:before="100" w:beforeAutospacing="1" w:after="100" w:afterAutospacing="1"/>
      </w:pPr>
      <w:r>
        <w:rPr>
          <w:b/>
          <w:bCs/>
        </w:rPr>
        <w:tab/>
      </w:r>
      <w:r>
        <w:t xml:space="preserve">Preference disaggregation, pioneered by authors including, XXX, is an inverse approach to weight elicitation that derives an </w:t>
      </w:r>
      <w:r>
        <w:rPr>
          <w:i/>
          <w:iCs/>
        </w:rPr>
        <w:t xml:space="preserve">additive </w:t>
      </w:r>
      <w:r w:rsidR="008F31E2">
        <w:rPr>
          <w:i/>
          <w:iCs/>
        </w:rPr>
        <w:t>utility</w:t>
      </w:r>
      <w:r>
        <w:rPr>
          <w:i/>
          <w:iCs/>
        </w:rPr>
        <w:t xml:space="preserve"> function </w:t>
      </w:r>
      <w:r>
        <w:t xml:space="preserve">that conforms with the spatial preferences (i.e. ranking outcomes) </w:t>
      </w:r>
      <w:r w:rsidR="003B75D9">
        <w:t xml:space="preserve">of a decision </w:t>
      </w:r>
      <w:proofErr w:type="gramStart"/>
      <w:r w:rsidR="003B75D9">
        <w:t>maker</w:t>
      </w:r>
      <w:r>
        <w:t>(</w:t>
      </w:r>
      <w:proofErr w:type="gramEnd"/>
      <w:r>
        <w:t xml:space="preserve">). </w:t>
      </w:r>
    </w:p>
    <w:p w14:paraId="6C28D8F2" w14:textId="77777777" w:rsidR="004B146F" w:rsidRDefault="004B146F" w:rsidP="00D02D93">
      <w:pPr>
        <w:spacing w:before="100" w:beforeAutospacing="1" w:after="100" w:afterAutospacing="1"/>
      </w:pPr>
    </w:p>
    <w:p w14:paraId="0700436E" w14:textId="2BEAB63B" w:rsidR="004B146F" w:rsidRPr="004B146F" w:rsidRDefault="004B146F" w:rsidP="00D02D93">
      <w:pPr>
        <w:spacing w:before="100" w:beforeAutospacing="1" w:after="100" w:afterAutospacing="1"/>
        <w:rPr>
          <w:b/>
          <w:bCs/>
        </w:rPr>
      </w:pPr>
      <w:r>
        <w:rPr>
          <w:b/>
          <w:bCs/>
        </w:rPr>
        <w:t>4.1.1</w:t>
      </w:r>
    </w:p>
    <w:p w14:paraId="713DCF37" w14:textId="5F4D166A" w:rsidR="007A1438" w:rsidRPr="00A4553F" w:rsidRDefault="007A1438" w:rsidP="004B146F">
      <w:pPr>
        <w:spacing w:before="100" w:beforeAutospacing="1" w:after="100" w:afterAutospacing="1"/>
        <w:ind w:firstLine="720"/>
      </w:pPr>
      <w:r>
        <w:t xml:space="preserve">Unlike the previous methods that rely on linear weight vectors </w:t>
      </w:r>
      <m:oMath>
        <m:r>
          <w:rPr>
            <w:rFonts w:ascii="Cambria Math" w:hAnsi="Cambria Math"/>
          </w:rPr>
          <m:t>w</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rPr>
          <m:t>,</m:t>
        </m:r>
      </m:oMath>
      <w:r>
        <w:rPr>
          <w:b/>
          <w:bCs/>
        </w:rPr>
        <w:t xml:space="preserve"> </w:t>
      </w:r>
      <w:r>
        <w:t xml:space="preserve">preference disaggregation is dependent on utility functions, </w:t>
      </w:r>
      <w:r w:rsidR="00A4553F">
        <w:t xml:space="preserve">which, like weight vectors, range between 0 and 1 for each criterion. Uniquely, this </w:t>
      </w:r>
      <w:r w:rsidR="00A4553F">
        <w:rPr>
          <w:i/>
          <w:iCs/>
        </w:rPr>
        <w:t xml:space="preserve">utility </w:t>
      </w:r>
      <w:r w:rsidR="00A4553F">
        <w:t>of a given criterion may be non-linear, meaning that values of a criterion can provide benefit or diminishing returns within a certain threshold or past a certain limit. (Is an example needed</w:t>
      </w:r>
      <w:proofErr w:type="gramStart"/>
      <w:r w:rsidR="00A4553F">
        <w:t>? )</w:t>
      </w:r>
      <w:proofErr w:type="gramEnd"/>
    </w:p>
    <w:p w14:paraId="5D92A1B3" w14:textId="77777777" w:rsidR="008F31E2" w:rsidRDefault="008F31E2" w:rsidP="00D02D93">
      <w:pPr>
        <w:spacing w:before="100" w:beforeAutospacing="1" w:after="100" w:afterAutospacing="1"/>
      </w:pPr>
    </w:p>
    <w:p w14:paraId="38F103B6" w14:textId="538E682A" w:rsidR="008F31E2" w:rsidRDefault="008F31E2" w:rsidP="00D02D93">
      <w:pPr>
        <w:spacing w:before="100" w:beforeAutospacing="1" w:after="100" w:afterAutospacing="1"/>
      </w:pPr>
      <w:r>
        <w:t xml:space="preserve">A piecewise linear utility function can be defined as: </w:t>
      </w:r>
    </w:p>
    <w:p w14:paraId="22E15242" w14:textId="77777777" w:rsidR="008F31E2" w:rsidRPr="002A6965" w:rsidRDefault="008F31E2" w:rsidP="008F31E2">
      <w:pPr>
        <w:rPr>
          <w:rFonts w:eastAsiaTheme="minorEastAsia"/>
          <w:b/>
          <w:bCs/>
        </w:rPr>
      </w:pPr>
      <m:oMathPara>
        <m:oMath>
          <m:r>
            <m:rPr>
              <m:sty m:val="bi"/>
            </m:rPr>
            <w:rPr>
              <w:rFonts w:ascii="Cambria Math" w:eastAsiaTheme="minorEastAsia" w:hAnsi="Cambria Math"/>
            </w:rPr>
            <w:lastRenderedPageBreak/>
            <m:t>U</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i</m:t>
                  </m:r>
                </m:sub>
              </m:sSub>
            </m:e>
          </m:d>
          <m:r>
            <m:rPr>
              <m:sty m:val="bi"/>
            </m:rPr>
            <w:rPr>
              <w:rFonts w:ascii="Cambria Math" w:eastAsiaTheme="minorEastAsia" w:hAnsi="Cambria Math"/>
            </w:rPr>
            <m:t>=</m:t>
          </m:r>
          <m:nary>
            <m:naryPr>
              <m:chr m:val="∑"/>
              <m:ctrlPr>
                <w:rPr>
                  <w:rFonts w:ascii="Cambria Math" w:eastAsiaTheme="minorEastAsia" w:hAnsi="Cambria Math"/>
                  <w:b/>
                  <w:bCs/>
                </w:rPr>
              </m:ctrlPr>
            </m:naryPr>
            <m:sub>
              <m:r>
                <m:rPr>
                  <m:sty m:val="bi"/>
                </m:rPr>
                <w:rPr>
                  <w:rFonts w:ascii="Cambria Math" w:eastAsiaTheme="minorEastAsia" w:hAnsi="Cambria Math"/>
                </w:rPr>
                <m:t>j=1</m:t>
              </m:r>
              <m:ctrlPr>
                <w:rPr>
                  <w:rFonts w:ascii="Cambria Math" w:eastAsiaTheme="minorEastAsia" w:hAnsi="Cambria Math"/>
                  <w:b/>
                  <w:bCs/>
                  <w:i/>
                </w:rPr>
              </m:ctrlPr>
            </m:sub>
            <m:sup>
              <m:r>
                <m:rPr>
                  <m:sty m:val="bi"/>
                </m:rPr>
                <w:rPr>
                  <w:rFonts w:ascii="Cambria Math" w:eastAsiaTheme="minorEastAsia" w:hAnsi="Cambria Math"/>
                </w:rPr>
                <m:t>m</m:t>
              </m:r>
              <m:ctrlPr>
                <w:rPr>
                  <w:rFonts w:ascii="Cambria Math" w:eastAsiaTheme="minorEastAsia" w:hAnsi="Cambria Math"/>
                  <w:b/>
                  <w:bCs/>
                  <w:i/>
                </w:rPr>
              </m:ctrlPr>
            </m:sup>
            <m:e>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j</m:t>
                  </m:r>
                </m:sub>
              </m:sSub>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ij</m:t>
                      </m:r>
                    </m:sub>
                  </m:sSub>
                </m:e>
              </m:d>
              <m:ctrlPr>
                <w:rPr>
                  <w:rFonts w:ascii="Cambria Math" w:eastAsiaTheme="minorEastAsia" w:hAnsi="Cambria Math"/>
                  <w:b/>
                  <w:bCs/>
                  <w:i/>
                </w:rPr>
              </m:ctrlPr>
            </m:e>
          </m:nary>
        </m:oMath>
      </m:oMathPara>
    </w:p>
    <w:p w14:paraId="32DB905A" w14:textId="38A8B300" w:rsidR="008F31E2" w:rsidRDefault="008F31E2" w:rsidP="00D02D93">
      <w:pPr>
        <w:spacing w:before="100" w:beforeAutospacing="1" w:after="100" w:afterAutospacing="1"/>
      </w:pPr>
      <w:r>
        <w:t>s.t</w:t>
      </w:r>
    </w:p>
    <w:p w14:paraId="6AE74009" w14:textId="1B9BC667" w:rsidR="008F31E2" w:rsidRPr="008F31E2" w:rsidRDefault="008F31E2" w:rsidP="008F31E2">
      <w:pPr>
        <w:jc w:val="center"/>
      </w:pPr>
      <m:oMath>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 ∀</m:t>
        </m:r>
        <m:r>
          <w:rPr>
            <w:rFonts w:ascii="Cambria Math" w:hAnsi="Cambria Math"/>
          </w:rPr>
          <m:t>j</m:t>
        </m:r>
      </m:oMath>
      <w:r w:rsidRPr="008F31E2">
        <w:t xml:space="preserve"> </w:t>
      </w:r>
    </w:p>
    <w:p w14:paraId="6A78E2FE" w14:textId="00F37D3B" w:rsidR="008F31E2" w:rsidRDefault="00A179B4" w:rsidP="00D02D93">
      <w:pPr>
        <w:spacing w:before="100" w:beforeAutospacing="1" w:after="100" w:afterAutospacing="1"/>
      </w:pPr>
      <w:r>
        <w:t xml:space="preserve">It was noted that a utility function may be non-linear. This is true in theory, but in practicality this would make solving the function an NP-hard problem (SOURCE). To resolve this, it is common to use breakpoints, formulated as follows: </w:t>
      </w:r>
    </w:p>
    <w:p w14:paraId="678AFF1F" w14:textId="365751F0" w:rsidR="00A179B4" w:rsidRDefault="00A179B4" w:rsidP="00D02D93">
      <w:pPr>
        <w:spacing w:before="100" w:beforeAutospacing="1" w:after="100" w:afterAutospacing="1"/>
      </w:pPr>
      <w:r>
        <w:t>MATH HERE</w:t>
      </w:r>
    </w:p>
    <w:p w14:paraId="38BEAE8F" w14:textId="0072C3A2" w:rsidR="00A179B4" w:rsidRDefault="00A179B4" w:rsidP="00D02D93">
      <w:pPr>
        <w:spacing w:before="100" w:beforeAutospacing="1" w:after="100" w:afterAutospacing="1"/>
      </w:pPr>
      <w:r>
        <w:t>Each</w:t>
      </w:r>
    </w:p>
    <w:p w14:paraId="6B20FB16" w14:textId="6B4D7041" w:rsidR="008F31E2" w:rsidRPr="007A1438" w:rsidRDefault="008F31E2" w:rsidP="00D02D93">
      <w:pPr>
        <w:spacing w:before="100" w:beforeAutospacing="1" w:after="100" w:afterAutospacing="1"/>
      </w:pPr>
      <w:r>
        <w:tab/>
      </w:r>
    </w:p>
    <w:p w14:paraId="000CE20F" w14:textId="77777777" w:rsidR="00D02D93" w:rsidRDefault="00D02D93" w:rsidP="00D02D93">
      <w:pPr>
        <w:spacing w:before="100" w:beforeAutospacing="1" w:after="100" w:afterAutospacing="1"/>
      </w:pPr>
    </w:p>
    <w:p w14:paraId="037DBB5A" w14:textId="067DF11E" w:rsidR="00533695" w:rsidRPr="00AC0F0D" w:rsidRDefault="00AC0F0D" w:rsidP="00AC0F0D">
      <w:pPr>
        <w:spacing w:before="100" w:beforeAutospacing="1" w:after="100" w:afterAutospacing="1"/>
        <w:ind w:firstLine="720"/>
      </w:pPr>
      <w:r>
        <w:t>To phrase this more formally, our intent</w:t>
      </w:r>
      <w:r w:rsidR="000C3432">
        <w:t xml:space="preserve"> is to derive a weight vector</w:t>
      </w:r>
      <w:r w:rsidR="00702284">
        <w:t xml:space="preserve"> </w:t>
      </w:r>
      <m:oMath>
        <m:r>
          <w:rPr>
            <w:rFonts w:ascii="Cambria Math" w:hAnsi="Cambria Math"/>
          </w:rPr>
          <m:t>w</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702284">
        <w:t xml:space="preserve"> </w:t>
      </w:r>
      <w:r w:rsidR="00750796">
        <w:t xml:space="preserve">from m criteria </w:t>
      </w:r>
      <w:r w:rsidR="00533695">
        <w:t xml:space="preserve">such that a decision makers preferred alternatives </w:t>
      </w:r>
      <m:oMath>
        <m:r>
          <w:rPr>
            <w:rFonts w:ascii="Cambria Math" w:hAnsi="Cambria Math"/>
          </w:rPr>
          <m:t>s</m:t>
        </m:r>
        <m:r>
          <m:rPr>
            <m:sty m:val="p"/>
          </m:rPr>
          <w:rPr>
            <w:rFonts w:ascii="Cambria Math" w:hAnsi="Cambria Math"/>
          </w:rPr>
          <m:t>⊆</m:t>
        </m:r>
        <m:r>
          <w:rPr>
            <w:rFonts w:ascii="Cambria Math" w:hAnsi="Cambria Math"/>
          </w:rPr>
          <m:t>P</m:t>
        </m:r>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m:rPr>
            <m:lit/>
          </m:rPr>
          <w:rPr>
            <w:rFonts w:ascii="Cambria Math" w:hAnsi="Cambria Math"/>
          </w:rPr>
          <m:t>}</m:t>
        </m:r>
      </m:oMath>
      <w:r w:rsidR="00702284">
        <w:rPr>
          <w:rFonts w:eastAsiaTheme="minorEastAsia"/>
        </w:rPr>
        <w:t xml:space="preserve"> </w:t>
      </w:r>
      <w:r w:rsidR="00533695">
        <w:rPr>
          <w:rFonts w:eastAsiaTheme="minorEastAsia"/>
        </w:rPr>
        <w:t xml:space="preserve">follow a defined preference ranking within a global or local dataset. </w:t>
      </w:r>
      <w:r w:rsidR="00172D8D">
        <w:rPr>
          <w:rFonts w:eastAsiaTheme="minorEastAsia"/>
        </w:rPr>
        <w:t>Several schools of thought exist with GIS-MCDA literature to achieve this</w:t>
      </w:r>
      <w:r w:rsidR="00034C5D">
        <w:rPr>
          <w:rFonts w:eastAsiaTheme="minorEastAsia"/>
        </w:rPr>
        <w:t>,</w:t>
      </w:r>
      <w:r w:rsidR="00172D8D">
        <w:rPr>
          <w:rFonts w:eastAsiaTheme="minorEastAsia"/>
        </w:rPr>
        <w:t xml:space="preserve"> each differing in what preference information is required and what objective(s) is being solved (). Regardless of which approach is used, general notation for the purpose of our application may be shared across methods. See below: </w:t>
      </w:r>
    </w:p>
    <w:p w14:paraId="609AB970" w14:textId="59576EED" w:rsidR="00A802DE" w:rsidRPr="00A802DE" w:rsidRDefault="00A802DE" w:rsidP="00A802DE">
      <w:pPr>
        <w:spacing w:before="100" w:beforeAutospacing="1" w:after="100" w:afterAutospacing="1"/>
        <w:ind w:firstLine="720"/>
      </w:pPr>
      <w:r w:rsidRPr="00A802DE">
        <w:rPr>
          <w:rFonts w:eastAsiaTheme="minorEastAsia"/>
        </w:rPr>
        <w:t xml:space="preserve">Let the set of all alternatives be defined as </w:t>
      </w:r>
      <w:r w:rsidRPr="00A802DE">
        <w:rPr>
          <w:rFonts w:eastAsiaTheme="minorEastAsia"/>
        </w:rP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m:rPr>
            <m:lit/>
          </m:rPr>
          <w:rPr>
            <w:rFonts w:ascii="Cambria Math" w:hAnsi="Cambria Math"/>
          </w:rPr>
          <m:t>}</m:t>
        </m:r>
      </m:oMath>
      <w:r w:rsidRPr="00A802DE">
        <w:rPr>
          <w:rFonts w:eastAsiaTheme="minorEastAsia"/>
        </w:rPr>
        <w:t xml:space="preserve">, our selection of preferred alternatives be </w:t>
      </w:r>
      <w:r w:rsidRPr="00A802DE">
        <w:t xml:space="preserve">s </w:t>
      </w:r>
      <w:r w:rsidRPr="00A802DE">
        <w:rPr>
          <w:rFonts w:ascii="Cambria Math" w:hAnsi="Cambria Math" w:cs="Cambria Math"/>
        </w:rPr>
        <w:t>⊆</w:t>
      </w:r>
      <w:r w:rsidRPr="00A802DE">
        <w:t xml:space="preserve"> P</w:t>
      </w:r>
      <w:r w:rsidRPr="00A802DE">
        <w:t xml:space="preserve">, our set of factors be </w:t>
      </w:r>
      <w:r w:rsidRPr="00A802DE">
        <w:t>F = {f₁, f₂, ..., fₖ}</w:t>
      </w:r>
      <w:r w:rsidRPr="00A802DE">
        <w:t xml:space="preserve">, and </w:t>
      </w:r>
      <m:oMath>
        <m:r>
          <w:rPr>
            <w:rFonts w:ascii="Cambria Math" w:hAnsi="Cambria Math"/>
          </w:rPr>
          <m:t>X[i,j]</m:t>
        </m:r>
      </m:oMath>
      <w:r w:rsidRPr="00A802DE">
        <w:t xml:space="preserve"> be the n</w:t>
      </w:r>
      <w:r w:rsidRPr="00A802DE">
        <w:t xml:space="preserve">ormalized risk factor score of </w:t>
      </w:r>
      <w:r w:rsidRPr="00A802DE">
        <w:t>alternative</w:t>
      </w:r>
      <w:r w:rsidRPr="00A802DE">
        <w:t xml:space="preserve"> pᵢ for factor fⱼ</w:t>
      </w:r>
      <w:r w:rsidRPr="00A802DE">
        <w:t>.</w:t>
      </w:r>
      <w:r w:rsidR="00C35F33">
        <w:t xml:space="preserve"> </w:t>
      </w:r>
      <m:oMath>
        <m:r>
          <w:rPr>
            <w:rFonts w:ascii="Cambria Math" w:hAnsi="Cambria Math"/>
          </w:rPr>
          <m:t>X[i,j]</m:t>
        </m:r>
      </m:oMath>
      <w:r w:rsidR="00C35F33">
        <w:t xml:space="preserve"> in this case is the raw value of </w:t>
      </w:r>
      <w:r w:rsidR="00C35F33" w:rsidRPr="00A802DE">
        <w:t xml:space="preserve">factor </w:t>
      </w:r>
      <w:r w:rsidR="00C35F33" w:rsidRPr="00A802DE">
        <w:t>fⱼ</w:t>
      </w:r>
      <w:r w:rsidR="00C35F33" w:rsidRPr="00C35F33">
        <w:t xml:space="preserve"> </w:t>
      </w:r>
      <w:r w:rsidR="00C35F33">
        <w:t xml:space="preserve">for </w:t>
      </w:r>
      <w:r w:rsidR="00C35F33" w:rsidRPr="00A802DE">
        <w:t>alternative pᵢ</w:t>
      </w:r>
      <w:r w:rsidR="00C35F33">
        <w:t xml:space="preserve"> min-maxed scaled between 0-1. Other methods such as quantile or gaussian transformations may also be applicable. </w:t>
      </w:r>
    </w:p>
    <w:p w14:paraId="5893BA17" w14:textId="71748470" w:rsidR="00476E8D" w:rsidRDefault="00A802DE" w:rsidP="00A802DE">
      <w:pPr>
        <w:spacing w:before="100" w:beforeAutospacing="1" w:after="100" w:afterAutospacing="1"/>
        <w:ind w:firstLine="720"/>
      </w:pPr>
      <w:r>
        <w:t xml:space="preserve">As common in GIS-MCDA, a </w:t>
      </w:r>
      <w:r w:rsidR="002A6965">
        <w:t>linear weight</w:t>
      </w:r>
      <w:r>
        <w:t xml:space="preserve"> function may be defined for each alternative:</w:t>
      </w:r>
    </w:p>
    <w:p w14:paraId="3656FA85" w14:textId="77777777" w:rsidR="00476E8D" w:rsidRPr="002A6965" w:rsidRDefault="00476E8D" w:rsidP="00476E8D">
      <w:pPr>
        <w:rPr>
          <w:rFonts w:eastAsiaTheme="minorEastAsia"/>
          <w:b/>
          <w:bCs/>
        </w:rPr>
      </w:pPr>
      <m:oMathPara>
        <m:oMath>
          <m:r>
            <m:rPr>
              <m:sty m:val="bi"/>
            </m:rPr>
            <w:rPr>
              <w:rFonts w:ascii="Cambria Math" w:hAnsi="Cambria Math"/>
            </w:rPr>
            <m:t>S</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,w</m:t>
              </m:r>
            </m:e>
          </m:d>
          <m:r>
            <m:rPr>
              <m:sty m:val="bi"/>
            </m:rPr>
            <w:rPr>
              <w:rFonts w:ascii="Cambria Math" w:hAnsi="Cambria Math"/>
            </w:rPr>
            <m:t>=</m:t>
          </m:r>
          <m:nary>
            <m:naryPr>
              <m:chr m:val="∑"/>
              <m:ctrlPr>
                <w:rPr>
                  <w:rFonts w:ascii="Cambria Math" w:hAnsi="Cambria Math"/>
                  <w:b/>
                  <w:bCs/>
                </w:rPr>
              </m:ctrlPr>
            </m:naryPr>
            <m:sub>
              <m:r>
                <m:rPr>
                  <m:sty m:val="bi"/>
                </m:rPr>
                <w:rPr>
                  <w:rFonts w:ascii="Cambria Math" w:hAnsi="Cambria Math"/>
                </w:rPr>
                <m:t>j=1</m:t>
              </m:r>
              <m:ctrlPr>
                <w:rPr>
                  <w:rFonts w:ascii="Cambria Math" w:hAnsi="Cambria Math"/>
                  <w:b/>
                  <w:bCs/>
                  <w:i/>
                </w:rPr>
              </m:ctrlPr>
            </m:sub>
            <m:sup>
              <m:r>
                <m:rPr>
                  <m:sty m:val="bi"/>
                </m:rPr>
                <w:rPr>
                  <w:rFonts w:ascii="Cambria Math" w:hAnsi="Cambria Math"/>
                </w:rPr>
                <m:t>k</m:t>
              </m:r>
              <m:ctrlPr>
                <w:rPr>
                  <w:rFonts w:ascii="Cambria Math" w:hAnsi="Cambria Math"/>
                  <w:b/>
                  <w:bCs/>
                  <w:i/>
                </w:rPr>
              </m:ctrlPr>
            </m:sup>
            <m:e>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j</m:t>
                  </m:r>
                </m:sub>
              </m:sSub>
              <m:ctrlPr>
                <w:rPr>
                  <w:rFonts w:ascii="Cambria Math" w:hAnsi="Cambria Math"/>
                  <w:b/>
                  <w:bCs/>
                  <w:i/>
                </w:rPr>
              </m:ctrlPr>
            </m:e>
          </m:nary>
          <m:r>
            <m:rPr>
              <m:sty m:val="bi"/>
            </m:rPr>
            <w:rPr>
              <w:rFonts w:ascii="Cambria Math" w:hAnsi="Cambria Math"/>
            </w:rPr>
            <m:t>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oMath>
      </m:oMathPara>
    </w:p>
    <w:p w14:paraId="7B55C433" w14:textId="77777777" w:rsidR="002A6965" w:rsidRDefault="002A6965" w:rsidP="002A6965">
      <w:pPr>
        <w:rPr>
          <w:rFonts w:eastAsiaTheme="minorEastAsia"/>
          <w:b/>
          <w:bCs/>
        </w:rPr>
      </w:pPr>
      <w:proofErr w:type="spellStart"/>
      <w:r>
        <w:rPr>
          <w:rFonts w:eastAsiaTheme="minorEastAsia"/>
          <w:b/>
          <w:bCs/>
        </w:rPr>
        <w:t>s.t.</w:t>
      </w:r>
      <w:proofErr w:type="spellEnd"/>
      <w:r>
        <w:rPr>
          <w:rFonts w:eastAsiaTheme="minorEastAsia"/>
          <w:b/>
          <w:bCs/>
        </w:rPr>
        <w:t xml:space="preserve"> </w:t>
      </w:r>
    </w:p>
    <w:p w14:paraId="2454C8D9" w14:textId="77777777" w:rsidR="002A6965" w:rsidRDefault="002A6965" w:rsidP="002A6965">
      <w:pPr>
        <w:rPr>
          <w:rFonts w:eastAsiaTheme="minorEastAsia"/>
          <w:b/>
          <w:bCs/>
        </w:rPr>
      </w:pPr>
    </w:p>
    <w:p w14:paraId="63A9EB18" w14:textId="77777777" w:rsidR="002A6965" w:rsidRDefault="002A6965" w:rsidP="002A6965">
      <w:pPr>
        <w:jc w:val="center"/>
        <w:rPr>
          <w:b/>
          <w:bCs/>
        </w:rPr>
      </w:pP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j</m:t>
            </m:r>
          </m:sub>
        </m:sSub>
        <m:r>
          <m:rPr>
            <m:sty m:val="b"/>
          </m:rPr>
          <w:rPr>
            <w:rFonts w:ascii="Cambria Math" w:hAnsi="Cambria Math"/>
          </w:rPr>
          <m:t>≥</m:t>
        </m:r>
        <m:r>
          <m:rPr>
            <m:sty m:val="bi"/>
          </m:rPr>
          <w:rPr>
            <w:rFonts w:ascii="Cambria Math" w:hAnsi="Cambria Math"/>
          </w:rPr>
          <m:t>0</m:t>
        </m:r>
        <m:r>
          <m:rPr>
            <m:sty m:val="b"/>
          </m:rPr>
          <w:rPr>
            <w:rFonts w:ascii="Cambria Math" w:hAnsi="Cambria Math"/>
          </w:rPr>
          <m:t> ∀</m:t>
        </m:r>
        <m:r>
          <m:rPr>
            <m:sty m:val="bi"/>
          </m:rPr>
          <w:rPr>
            <w:rFonts w:ascii="Cambria Math" w:hAnsi="Cambria Math"/>
          </w:rPr>
          <m:t>j</m:t>
        </m:r>
      </m:oMath>
      <w:r w:rsidRPr="00A802DE">
        <w:rPr>
          <w:b/>
          <w:bCs/>
        </w:rPr>
        <w:t xml:space="preserve"> </w:t>
      </w:r>
    </w:p>
    <w:p w14:paraId="71CDB2EB" w14:textId="77777777" w:rsidR="002A6965" w:rsidRPr="002A6965" w:rsidRDefault="002A6965" w:rsidP="00476E8D">
      <w:pPr>
        <w:rPr>
          <w:rFonts w:eastAsiaTheme="minorEastAsia"/>
          <w:b/>
          <w:bCs/>
        </w:rPr>
      </w:pPr>
    </w:p>
    <w:p w14:paraId="767EB177" w14:textId="77777777" w:rsidR="002A6965" w:rsidRDefault="002A6965" w:rsidP="00476E8D">
      <w:pPr>
        <w:rPr>
          <w:rFonts w:eastAsiaTheme="minorEastAsia"/>
          <w:b/>
          <w:bCs/>
        </w:rPr>
      </w:pPr>
      <w:r>
        <w:rPr>
          <w:rFonts w:eastAsiaTheme="minorEastAsia"/>
          <w:b/>
          <w:bCs/>
        </w:rPr>
        <w:tab/>
      </w:r>
    </w:p>
    <w:p w14:paraId="1D0FE7E9" w14:textId="77777777" w:rsidR="00664ADF" w:rsidRDefault="00664ADF" w:rsidP="00476E8D">
      <w:pPr>
        <w:rPr>
          <w:rFonts w:eastAsiaTheme="minorEastAsia"/>
          <w:b/>
          <w:bCs/>
        </w:rPr>
      </w:pPr>
    </w:p>
    <w:p w14:paraId="350DB8FC" w14:textId="73CF95CD" w:rsidR="002A6965" w:rsidRPr="002A6965" w:rsidRDefault="002A6965" w:rsidP="00476E8D">
      <w:pPr>
        <w:rPr>
          <w:rFonts w:eastAsiaTheme="minorEastAsia"/>
          <w:b/>
          <w:bCs/>
        </w:rPr>
      </w:pPr>
      <m:oMathPara>
        <m:oMath>
          <m:r>
            <m:rPr>
              <m:sty m:val="bi"/>
            </m:rPr>
            <w:rPr>
              <w:rFonts w:ascii="Cambria Math" w:eastAsiaTheme="minorEastAsia" w:hAnsi="Cambria Math"/>
            </w:rPr>
            <w:lastRenderedPageBreak/>
            <m:t>U</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i</m:t>
                  </m:r>
                </m:sub>
              </m:sSub>
            </m:e>
          </m:d>
          <m:r>
            <m:rPr>
              <m:sty m:val="bi"/>
            </m:rPr>
            <w:rPr>
              <w:rFonts w:ascii="Cambria Math" w:eastAsiaTheme="minorEastAsia" w:hAnsi="Cambria Math"/>
            </w:rPr>
            <m:t>=</m:t>
          </m:r>
          <m:nary>
            <m:naryPr>
              <m:chr m:val="∑"/>
              <m:ctrlPr>
                <w:rPr>
                  <w:rFonts w:ascii="Cambria Math" w:eastAsiaTheme="minorEastAsia" w:hAnsi="Cambria Math"/>
                  <w:b/>
                  <w:bCs/>
                </w:rPr>
              </m:ctrlPr>
            </m:naryPr>
            <m:sub>
              <m:r>
                <m:rPr>
                  <m:sty m:val="bi"/>
                </m:rPr>
                <w:rPr>
                  <w:rFonts w:ascii="Cambria Math" w:eastAsiaTheme="minorEastAsia" w:hAnsi="Cambria Math"/>
                </w:rPr>
                <m:t>j=1</m:t>
              </m:r>
              <m:ctrlPr>
                <w:rPr>
                  <w:rFonts w:ascii="Cambria Math" w:eastAsiaTheme="minorEastAsia" w:hAnsi="Cambria Math"/>
                  <w:b/>
                  <w:bCs/>
                  <w:i/>
                </w:rPr>
              </m:ctrlPr>
            </m:sub>
            <m:sup>
              <m:r>
                <m:rPr>
                  <m:sty m:val="bi"/>
                </m:rPr>
                <w:rPr>
                  <w:rFonts w:ascii="Cambria Math" w:eastAsiaTheme="minorEastAsia" w:hAnsi="Cambria Math"/>
                </w:rPr>
                <m:t>m</m:t>
              </m:r>
              <m:ctrlPr>
                <w:rPr>
                  <w:rFonts w:ascii="Cambria Math" w:eastAsiaTheme="minorEastAsia" w:hAnsi="Cambria Math"/>
                  <w:b/>
                  <w:bCs/>
                  <w:i/>
                </w:rPr>
              </m:ctrlPr>
            </m:sup>
            <m:e>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j</m:t>
                  </m:r>
                </m:sub>
              </m:sSub>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ij</m:t>
                      </m:r>
                    </m:sub>
                  </m:sSub>
                </m:e>
              </m:d>
              <m:ctrlPr>
                <w:rPr>
                  <w:rFonts w:ascii="Cambria Math" w:eastAsiaTheme="minorEastAsia" w:hAnsi="Cambria Math"/>
                  <w:b/>
                  <w:bCs/>
                  <w:i/>
                </w:rPr>
              </m:ctrlPr>
            </m:e>
          </m:nary>
        </m:oMath>
      </m:oMathPara>
    </w:p>
    <w:p w14:paraId="14A22AA5" w14:textId="77777777" w:rsidR="002A6965" w:rsidRPr="002A6965" w:rsidRDefault="002A6965" w:rsidP="00476E8D">
      <w:pPr>
        <w:rPr>
          <w:rFonts w:eastAsiaTheme="minorEastAsia"/>
          <w:b/>
          <w:bCs/>
        </w:rPr>
      </w:pPr>
    </w:p>
    <w:p w14:paraId="149B105B" w14:textId="77777777" w:rsidR="00664ADF" w:rsidRPr="00A802DE" w:rsidRDefault="00664ADF" w:rsidP="00A802DE">
      <w:pPr>
        <w:jc w:val="center"/>
        <w:rPr>
          <w:rFonts w:eastAsiaTheme="minorEastAsia"/>
          <w:b/>
          <w:bCs/>
        </w:rPr>
      </w:pPr>
    </w:p>
    <w:p w14:paraId="30457FAE" w14:textId="0CCE4E34" w:rsidR="00476E8D" w:rsidRDefault="00A802DE" w:rsidP="00A802DE">
      <w:pPr>
        <w:ind w:firstLine="720"/>
        <w:rPr>
          <w:rFonts w:eastAsiaTheme="minorEastAsia"/>
        </w:rPr>
      </w:pPr>
      <w:r>
        <w:t>Alternatives with a composite score from the above utility function may next be ordinally ranked:</w:t>
      </w:r>
    </w:p>
    <w:p w14:paraId="4E23260F" w14:textId="37AF8649" w:rsidR="00476E8D" w:rsidRPr="00476E8D" w:rsidRDefault="00476E8D" w:rsidP="00476E8D">
      <w:pPr>
        <w:spacing w:before="100" w:beforeAutospacing="1" w:after="100" w:afterAutospacing="1"/>
        <w:rPr>
          <w:b/>
          <w:bCs/>
        </w:rPr>
      </w:pPr>
      <m:oMathPara>
        <m:oMath>
          <m:r>
            <m:rPr>
              <m:sty m:val="bi"/>
            </m:rPr>
            <w:rPr>
              <w:rFonts w:ascii="Cambria Math" w:hAnsi="Cambria Math"/>
            </w:rPr>
            <m:t>R</m:t>
          </m:r>
          <m:d>
            <m:dPr>
              <m:ctrlPr>
                <w:rPr>
                  <w:rFonts w:ascii="Cambria Math" w:hAnsi="Cambria Math"/>
                  <w:b/>
                  <w:bCs/>
                  <w:i/>
                </w:rPr>
              </m:ctrlPr>
            </m:dPr>
            <m:e>
              <m:r>
                <m:rPr>
                  <m:sty m:val="bi"/>
                </m:rPr>
                <w:rPr>
                  <w:rFonts w:ascii="Cambria Math" w:hAnsi="Cambria Math"/>
                </w:rPr>
                <m:t>pᵢ,w</m:t>
              </m:r>
            </m:e>
          </m:d>
          <m:r>
            <m:rPr>
              <m:sty m:val="bi"/>
            </m:rPr>
            <w:rPr>
              <w:rFonts w:ascii="Cambria Math" w:hAnsi="Cambria Math"/>
            </w:rPr>
            <m:t xml:space="preserve">= </m:t>
          </m:r>
          <m:d>
            <m:dPr>
              <m:begChr m:val="|"/>
              <m:endChr m:val="|"/>
              <m:ctrlPr>
                <w:rPr>
                  <w:rFonts w:ascii="Cambria Math" w:hAnsi="Cambria Math"/>
                  <w:b/>
                  <w:bCs/>
                  <w:i/>
                </w:rPr>
              </m:ctrlPr>
            </m:dPr>
            <m:e>
              <m:r>
                <m:rPr>
                  <m:sty m:val="bi"/>
                </m:rPr>
                <w:rPr>
                  <w:rFonts w:ascii="Cambria Math" w:hAnsi="Cambria Math"/>
                </w:rPr>
                <m:t xml:space="preserve"> </m:t>
              </m:r>
              <m:d>
                <m:dPr>
                  <m:begChr m:val="{"/>
                  <m:endChr m:val="}"/>
                  <m:ctrlPr>
                    <w:rPr>
                      <w:rFonts w:ascii="Cambria Math" w:hAnsi="Cambria Math"/>
                      <w:b/>
                      <w:bCs/>
                      <w:i/>
                    </w:rPr>
                  </m:ctrlPr>
                </m:dPr>
                <m:e>
                  <m:r>
                    <m:rPr>
                      <m:sty m:val="bi"/>
                    </m:rPr>
                    <w:rPr>
                      <w:rFonts w:ascii="Cambria Math" w:hAnsi="Cambria Math"/>
                    </w:rPr>
                    <m:t xml:space="preserve"> p</m:t>
                  </m:r>
                  <m:r>
                    <m:rPr>
                      <m:sty m:val="bi"/>
                    </m:rPr>
                    <m:t>ⱼ</m:t>
                  </m:r>
                  <m:r>
                    <m:rPr>
                      <m:sty m:val="bi"/>
                    </m:rPr>
                    <w:rPr>
                      <w:rFonts w:ascii="Cambria Math" w:hAnsi="Cambria Math"/>
                    </w:rPr>
                    <m:t xml:space="preserve"> ∈ P : S</m:t>
                  </m:r>
                  <m:d>
                    <m:dPr>
                      <m:ctrlPr>
                        <w:rPr>
                          <w:rFonts w:ascii="Cambria Math" w:hAnsi="Cambria Math"/>
                          <w:b/>
                          <w:bCs/>
                          <w:i/>
                        </w:rPr>
                      </m:ctrlPr>
                    </m:dPr>
                    <m:e>
                      <m:r>
                        <m:rPr>
                          <m:sty m:val="bi"/>
                        </m:rPr>
                        <w:rPr>
                          <w:rFonts w:ascii="Cambria Math" w:hAnsi="Cambria Math"/>
                        </w:rPr>
                        <m:t>p</m:t>
                      </m:r>
                      <m:r>
                        <m:rPr>
                          <m:sty m:val="bi"/>
                        </m:rPr>
                        <m:t>ⱼ</m:t>
                      </m:r>
                      <m:r>
                        <m:rPr>
                          <m:sty m:val="bi"/>
                        </m:rPr>
                        <w:rPr>
                          <w:rFonts w:ascii="Cambria Math" w:hAnsi="Cambria Math"/>
                        </w:rPr>
                        <m:t>,w</m:t>
                      </m:r>
                    </m:e>
                  </m:d>
                  <m:r>
                    <m:rPr>
                      <m:sty m:val="bi"/>
                    </m:rPr>
                    <w:rPr>
                      <w:rFonts w:ascii="Cambria Math" w:hAnsi="Cambria Math"/>
                    </w:rPr>
                    <m:t>&gt; S</m:t>
                  </m:r>
                  <m:d>
                    <m:dPr>
                      <m:ctrlPr>
                        <w:rPr>
                          <w:rFonts w:ascii="Cambria Math" w:hAnsi="Cambria Math"/>
                          <w:b/>
                          <w:bCs/>
                          <w:i/>
                        </w:rPr>
                      </m:ctrlPr>
                    </m:dPr>
                    <m:e>
                      <m:r>
                        <m:rPr>
                          <m:sty m:val="bi"/>
                        </m:rPr>
                        <w:rPr>
                          <w:rFonts w:ascii="Cambria Math" w:hAnsi="Cambria Math"/>
                        </w:rPr>
                        <m:t>pᵢ,w</m:t>
                      </m:r>
                    </m:e>
                  </m:d>
                </m:e>
              </m:d>
            </m:e>
          </m:d>
          <m:r>
            <m:rPr>
              <m:sty m:val="bi"/>
            </m:rPr>
            <w:rPr>
              <w:rFonts w:ascii="Cambria Math" w:hAnsi="Cambria Math"/>
            </w:rPr>
            <m:t>+ 1</m:t>
          </m:r>
        </m:oMath>
      </m:oMathPara>
    </w:p>
    <w:p w14:paraId="494E4BA6" w14:textId="753FF586" w:rsidR="007D65DD" w:rsidRPr="00476E8D" w:rsidRDefault="007D65DD" w:rsidP="007D65DD">
      <w:pPr>
        <w:spacing w:before="100" w:beforeAutospacing="1" w:after="100" w:afterAutospacing="1"/>
        <w:rPr>
          <w:rFonts w:eastAsiaTheme="minorHAnsi"/>
          <w:kern w:val="2"/>
          <w14:ligatures w14:val="standardContextual"/>
        </w:rPr>
      </w:pPr>
    </w:p>
    <w:p w14:paraId="27E215BF" w14:textId="2F2193D0" w:rsidR="00424550" w:rsidRDefault="00424550" w:rsidP="00424550">
      <w:pPr>
        <w:spacing w:before="100" w:beforeAutospacing="1" w:after="100" w:afterAutospacing="1"/>
        <w:ind w:firstLine="720"/>
      </w:pPr>
      <w:r>
        <w:t xml:space="preserve">As mentioned, there are several ways </w:t>
      </w:r>
      <w:r w:rsidR="00F028A8">
        <w:t xml:space="preserve">to derive utility value functions (interchangeable </w:t>
      </w:r>
      <w:r w:rsidR="00292D84">
        <w:t xml:space="preserve">symbolically </w:t>
      </w:r>
      <w:r w:rsidR="00F028A8">
        <w:t>with weight vectors in this scenario), to conform with a decision makers ranking preferences.</w:t>
      </w:r>
      <w:r>
        <w:t xml:space="preserve"> </w:t>
      </w:r>
      <w:r w:rsidR="00F028A8">
        <w:t>Each method’s applicability is dependent on the preference information provide</w:t>
      </w:r>
      <w:r w:rsidR="00336FCE">
        <w:t>d, feasibility of a solution, noise and fundamental goals of a decision maker</w:t>
      </w:r>
      <w:r w:rsidR="00F028A8">
        <w:t>. Below is a table to illustrate the use cases and differences of</w:t>
      </w:r>
      <w:r w:rsidR="009C7C0D">
        <w:t xml:space="preserve"> the most common</w:t>
      </w:r>
      <w:r w:rsidR="00F028A8">
        <w:t xml:space="preserve"> methods. </w:t>
      </w:r>
    </w:p>
    <w:p w14:paraId="26736024" w14:textId="77777777" w:rsidR="000B319B" w:rsidRDefault="000B319B" w:rsidP="00424550">
      <w:pPr>
        <w:spacing w:before="100" w:beforeAutospacing="1" w:after="100" w:afterAutospacing="1"/>
        <w:ind w:firstLine="720"/>
      </w:pPr>
    </w:p>
    <w:p w14:paraId="21C06E79" w14:textId="77777777" w:rsidR="000B319B" w:rsidRDefault="000B319B" w:rsidP="00424550">
      <w:pPr>
        <w:spacing w:before="100" w:beforeAutospacing="1" w:after="100" w:afterAutospacing="1"/>
        <w:ind w:firstLine="720"/>
      </w:pPr>
    </w:p>
    <w:tbl>
      <w:tblPr>
        <w:tblStyle w:val="TableGrid"/>
        <w:tblW w:w="11306" w:type="dxa"/>
        <w:tblInd w:w="-815" w:type="dxa"/>
        <w:tblLook w:val="04A0" w:firstRow="1" w:lastRow="0" w:firstColumn="1" w:lastColumn="0" w:noHBand="0" w:noVBand="1"/>
      </w:tblPr>
      <w:tblGrid>
        <w:gridCol w:w="2696"/>
        <w:gridCol w:w="3300"/>
        <w:gridCol w:w="2790"/>
        <w:gridCol w:w="2520"/>
      </w:tblGrid>
      <w:tr w:rsidR="000B319B" w14:paraId="6EF800C5" w14:textId="77777777" w:rsidTr="00A84F8B">
        <w:trPr>
          <w:trHeight w:val="800"/>
        </w:trPr>
        <w:tc>
          <w:tcPr>
            <w:tcW w:w="2696" w:type="dxa"/>
          </w:tcPr>
          <w:p w14:paraId="4DBA1DFF" w14:textId="32754CAD" w:rsidR="000B319B" w:rsidRPr="000B319B" w:rsidRDefault="000B319B" w:rsidP="00664ADF">
            <w:pPr>
              <w:jc w:val="center"/>
              <w:rPr>
                <w:b/>
                <w:bCs/>
              </w:rPr>
            </w:pPr>
            <w:r w:rsidRPr="000B319B">
              <w:rPr>
                <w:b/>
                <w:bCs/>
              </w:rPr>
              <w:t>Method</w:t>
            </w:r>
          </w:p>
        </w:tc>
        <w:tc>
          <w:tcPr>
            <w:tcW w:w="3300" w:type="dxa"/>
          </w:tcPr>
          <w:p w14:paraId="4DAB35C2" w14:textId="13D3725F" w:rsidR="000B319B" w:rsidRPr="000B319B" w:rsidRDefault="000B319B" w:rsidP="00664ADF">
            <w:pPr>
              <w:jc w:val="center"/>
              <w:rPr>
                <w:b/>
                <w:bCs/>
              </w:rPr>
            </w:pPr>
            <w:r w:rsidRPr="000B319B">
              <w:rPr>
                <w:b/>
                <w:bCs/>
              </w:rPr>
              <w:t>Objective</w:t>
            </w:r>
          </w:p>
        </w:tc>
        <w:tc>
          <w:tcPr>
            <w:tcW w:w="2790" w:type="dxa"/>
          </w:tcPr>
          <w:p w14:paraId="24AF36CF" w14:textId="1911B3C0" w:rsidR="000B319B" w:rsidRPr="000B319B" w:rsidRDefault="000B319B" w:rsidP="00664ADF">
            <w:pPr>
              <w:jc w:val="center"/>
              <w:rPr>
                <w:b/>
                <w:bCs/>
              </w:rPr>
            </w:pPr>
            <w:r w:rsidRPr="000B319B">
              <w:rPr>
                <w:b/>
                <w:bCs/>
              </w:rPr>
              <w:t>Description</w:t>
            </w:r>
          </w:p>
        </w:tc>
        <w:tc>
          <w:tcPr>
            <w:tcW w:w="2520" w:type="dxa"/>
          </w:tcPr>
          <w:p w14:paraId="70D6794A" w14:textId="77777777" w:rsidR="000B319B" w:rsidRPr="000B319B" w:rsidRDefault="000B319B" w:rsidP="00664ADF">
            <w:pPr>
              <w:jc w:val="center"/>
              <w:rPr>
                <w:b/>
                <w:bCs/>
              </w:rPr>
            </w:pPr>
            <w:r w:rsidRPr="000B319B">
              <w:rPr>
                <w:b/>
                <w:bCs/>
              </w:rPr>
              <w:t>Author</w:t>
            </w:r>
          </w:p>
        </w:tc>
      </w:tr>
      <w:tr w:rsidR="00336FCE" w14:paraId="6C536BB1" w14:textId="77777777" w:rsidTr="009C7C0D">
        <w:trPr>
          <w:trHeight w:val="2159"/>
        </w:trPr>
        <w:tc>
          <w:tcPr>
            <w:tcW w:w="2696" w:type="dxa"/>
          </w:tcPr>
          <w:p w14:paraId="059609C4" w14:textId="34B4EEB8" w:rsidR="00336FCE" w:rsidRPr="009C7C0D" w:rsidRDefault="00336FCE" w:rsidP="00336FCE">
            <w:pPr>
              <w:jc w:val="center"/>
              <w:rPr>
                <w:b/>
                <w:bCs/>
                <w:sz w:val="20"/>
                <w:szCs w:val="20"/>
              </w:rPr>
            </w:pPr>
            <w:proofErr w:type="spellStart"/>
            <w:r w:rsidRPr="009C7C0D">
              <w:rPr>
                <w:b/>
                <w:bCs/>
                <w:sz w:val="20"/>
                <w:szCs w:val="20"/>
              </w:rPr>
              <w:t>UTilitiés</w:t>
            </w:r>
            <w:proofErr w:type="spellEnd"/>
            <w:r w:rsidRPr="009C7C0D">
              <w:rPr>
                <w:b/>
                <w:bCs/>
                <w:sz w:val="20"/>
                <w:szCs w:val="20"/>
              </w:rPr>
              <w:t xml:space="preserve"> Additives (UT</w:t>
            </w:r>
            <w:r w:rsidRPr="009C7C0D">
              <w:rPr>
                <w:b/>
                <w:bCs/>
                <w:sz w:val="20"/>
                <w:szCs w:val="20"/>
              </w:rPr>
              <w:t>A</w:t>
            </w:r>
            <w:r w:rsidRPr="009C7C0D">
              <w:rPr>
                <w:b/>
                <w:bCs/>
                <w:sz w:val="20"/>
                <w:szCs w:val="20"/>
              </w:rPr>
              <w:t>)</w:t>
            </w:r>
          </w:p>
        </w:tc>
        <w:tc>
          <w:tcPr>
            <w:tcW w:w="3300" w:type="dxa"/>
          </w:tcPr>
          <w:p w14:paraId="68014F6F" w14:textId="6E0FBE52" w:rsidR="00336FCE" w:rsidRPr="009C7C0D" w:rsidRDefault="00336FCE" w:rsidP="00336FCE">
            <w:pPr>
              <w:jc w:val="center"/>
              <w:rPr>
                <w:sz w:val="20"/>
                <w:szCs w:val="20"/>
              </w:rPr>
            </w:pPr>
            <w:r w:rsidRPr="009C7C0D">
              <w:rPr>
                <w:sz w:val="20"/>
                <w:szCs w:val="20"/>
              </w:rPr>
              <w:t xml:space="preserve">Derive a single additive value function that exactly conforms to DM’s provided complete or partial preferences.  </w:t>
            </w:r>
          </w:p>
        </w:tc>
        <w:tc>
          <w:tcPr>
            <w:tcW w:w="2790" w:type="dxa"/>
          </w:tcPr>
          <w:p w14:paraId="15514E1D" w14:textId="18429753" w:rsidR="00336FCE" w:rsidRPr="009C7C0D" w:rsidRDefault="0036078C" w:rsidP="00336FCE">
            <w:pPr>
              <w:jc w:val="center"/>
              <w:rPr>
                <w:sz w:val="20"/>
                <w:szCs w:val="20"/>
              </w:rPr>
            </w:pPr>
            <w:r w:rsidRPr="009C7C0D">
              <w:rPr>
                <w:sz w:val="20"/>
                <w:szCs w:val="20"/>
              </w:rPr>
              <w:t xml:space="preserve">This is a preference </w:t>
            </w:r>
            <w:r w:rsidR="0047672D" w:rsidRPr="009C7C0D">
              <w:rPr>
                <w:sz w:val="20"/>
                <w:szCs w:val="20"/>
              </w:rPr>
              <w:t>disaggregation</w:t>
            </w:r>
            <w:r w:rsidRPr="009C7C0D">
              <w:rPr>
                <w:sz w:val="20"/>
                <w:szCs w:val="20"/>
              </w:rPr>
              <w:t xml:space="preserve"> method that enforces </w:t>
            </w:r>
            <w:r w:rsidR="0047672D" w:rsidRPr="009C7C0D">
              <w:rPr>
                <w:sz w:val="20"/>
                <w:szCs w:val="20"/>
              </w:rPr>
              <w:t>pairwise</w:t>
            </w:r>
            <w:r w:rsidRPr="009C7C0D">
              <w:rPr>
                <w:sz w:val="20"/>
                <w:szCs w:val="20"/>
              </w:rPr>
              <w:t xml:space="preserve"> constraints from the DM’s ranking preferences. If a DM’s preferences cannot be exactly replicated via an additive </w:t>
            </w:r>
            <w:r w:rsidR="0047672D" w:rsidRPr="009C7C0D">
              <w:rPr>
                <w:sz w:val="20"/>
                <w:szCs w:val="20"/>
              </w:rPr>
              <w:t>utility</w:t>
            </w:r>
            <w:r w:rsidRPr="009C7C0D">
              <w:rPr>
                <w:sz w:val="20"/>
                <w:szCs w:val="20"/>
              </w:rPr>
              <w:t xml:space="preserve"> function than problem is infeasible. </w:t>
            </w:r>
          </w:p>
        </w:tc>
        <w:tc>
          <w:tcPr>
            <w:tcW w:w="2520" w:type="dxa"/>
          </w:tcPr>
          <w:p w14:paraId="6B2E5A84" w14:textId="3C1E4D6D" w:rsidR="00336FCE" w:rsidRPr="009C7C0D" w:rsidRDefault="009C7C0D" w:rsidP="00336FCE">
            <w:pPr>
              <w:jc w:val="center"/>
              <w:rPr>
                <w:sz w:val="20"/>
                <w:szCs w:val="20"/>
              </w:rPr>
            </w:pPr>
            <w:r w:rsidRPr="009C7C0D">
              <w:rPr>
                <w:sz w:val="20"/>
                <w:szCs w:val="20"/>
              </w:rPr>
              <w:t>Jacquet-</w:t>
            </w:r>
            <w:proofErr w:type="spellStart"/>
            <w:r w:rsidRPr="009C7C0D">
              <w:rPr>
                <w:sz w:val="20"/>
                <w:szCs w:val="20"/>
              </w:rPr>
              <w:t>Lagrèze</w:t>
            </w:r>
            <w:proofErr w:type="spellEnd"/>
            <w:r w:rsidRPr="009C7C0D">
              <w:rPr>
                <w:sz w:val="20"/>
                <w:szCs w:val="20"/>
              </w:rPr>
              <w:t xml:space="preserve"> &amp; Siskos (1982)</w:t>
            </w:r>
          </w:p>
        </w:tc>
      </w:tr>
      <w:tr w:rsidR="00336FCE" w14:paraId="5DCE26B3" w14:textId="77777777" w:rsidTr="009C7C0D">
        <w:trPr>
          <w:trHeight w:val="1781"/>
        </w:trPr>
        <w:tc>
          <w:tcPr>
            <w:tcW w:w="2696" w:type="dxa"/>
          </w:tcPr>
          <w:p w14:paraId="3B426D31" w14:textId="7A44B32E" w:rsidR="00336FCE" w:rsidRPr="009C7C0D" w:rsidRDefault="00336FCE" w:rsidP="00336FCE">
            <w:pPr>
              <w:jc w:val="center"/>
              <w:rPr>
                <w:b/>
                <w:bCs/>
                <w:sz w:val="20"/>
                <w:szCs w:val="20"/>
              </w:rPr>
            </w:pPr>
            <w:proofErr w:type="spellStart"/>
            <w:r w:rsidRPr="009C7C0D">
              <w:rPr>
                <w:b/>
                <w:bCs/>
                <w:sz w:val="20"/>
                <w:szCs w:val="20"/>
              </w:rPr>
              <w:t>UTilitiés</w:t>
            </w:r>
            <w:proofErr w:type="spellEnd"/>
            <w:r w:rsidRPr="009C7C0D">
              <w:rPr>
                <w:b/>
                <w:bCs/>
                <w:sz w:val="20"/>
                <w:szCs w:val="20"/>
              </w:rPr>
              <w:t xml:space="preserve"> Additives (UTA-STAR)</w:t>
            </w:r>
          </w:p>
        </w:tc>
        <w:tc>
          <w:tcPr>
            <w:tcW w:w="3300" w:type="dxa"/>
          </w:tcPr>
          <w:p w14:paraId="1DCF9AC6" w14:textId="4437BADA" w:rsidR="00336FCE" w:rsidRPr="009C7C0D" w:rsidRDefault="00336FCE" w:rsidP="00336FCE">
            <w:pPr>
              <w:jc w:val="center"/>
              <w:rPr>
                <w:sz w:val="20"/>
                <w:szCs w:val="20"/>
              </w:rPr>
            </w:pPr>
            <w:r w:rsidRPr="009C7C0D">
              <w:rPr>
                <w:sz w:val="20"/>
                <w:szCs w:val="20"/>
              </w:rPr>
              <w:t xml:space="preserve">Derive a single additive value function that minimizes ranking violations between DM’s preferences and outcome ranking. </w:t>
            </w:r>
          </w:p>
        </w:tc>
        <w:tc>
          <w:tcPr>
            <w:tcW w:w="2790" w:type="dxa"/>
          </w:tcPr>
          <w:p w14:paraId="56983948" w14:textId="2729A4D0" w:rsidR="00336FCE" w:rsidRPr="009C7C0D" w:rsidRDefault="0036078C" w:rsidP="00336FCE">
            <w:pPr>
              <w:jc w:val="center"/>
              <w:rPr>
                <w:sz w:val="20"/>
                <w:szCs w:val="20"/>
              </w:rPr>
            </w:pPr>
            <w:r w:rsidRPr="009C7C0D">
              <w:rPr>
                <w:sz w:val="20"/>
                <w:szCs w:val="20"/>
              </w:rPr>
              <w:t xml:space="preserve">An augmentation of standard UTA with added double error variables for each preference, with the LP adjusted to minimize total error. This allows for exceptions to DM’s exact preferences. </w:t>
            </w:r>
          </w:p>
        </w:tc>
        <w:tc>
          <w:tcPr>
            <w:tcW w:w="2520" w:type="dxa"/>
          </w:tcPr>
          <w:p w14:paraId="28DA67D5" w14:textId="12D120E5" w:rsidR="00336FCE" w:rsidRPr="009C7C0D" w:rsidRDefault="009C7C0D" w:rsidP="00336FCE">
            <w:pPr>
              <w:jc w:val="center"/>
              <w:rPr>
                <w:sz w:val="20"/>
                <w:szCs w:val="20"/>
              </w:rPr>
            </w:pPr>
            <w:r w:rsidRPr="009C7C0D">
              <w:rPr>
                <w:sz w:val="20"/>
                <w:szCs w:val="20"/>
              </w:rPr>
              <w:t>Jacquet-</w:t>
            </w:r>
            <w:proofErr w:type="spellStart"/>
            <w:r w:rsidRPr="009C7C0D">
              <w:rPr>
                <w:sz w:val="20"/>
                <w:szCs w:val="20"/>
              </w:rPr>
              <w:t>Lagrèze</w:t>
            </w:r>
            <w:proofErr w:type="spellEnd"/>
            <w:r w:rsidRPr="009C7C0D">
              <w:rPr>
                <w:sz w:val="20"/>
                <w:szCs w:val="20"/>
              </w:rPr>
              <w:t xml:space="preserve"> &amp; Siskos (</w:t>
            </w:r>
            <w:r w:rsidRPr="009C7C0D">
              <w:rPr>
                <w:sz w:val="20"/>
                <w:szCs w:val="20"/>
              </w:rPr>
              <w:t>2001</w:t>
            </w:r>
            <w:r w:rsidRPr="009C7C0D">
              <w:rPr>
                <w:sz w:val="20"/>
                <w:szCs w:val="20"/>
              </w:rPr>
              <w:t>)</w:t>
            </w:r>
          </w:p>
        </w:tc>
      </w:tr>
      <w:tr w:rsidR="00336FCE" w14:paraId="33FC87BB" w14:textId="77777777" w:rsidTr="009C7C0D">
        <w:trPr>
          <w:trHeight w:val="1070"/>
        </w:trPr>
        <w:tc>
          <w:tcPr>
            <w:tcW w:w="2696" w:type="dxa"/>
          </w:tcPr>
          <w:p w14:paraId="48AF9671" w14:textId="417AC9CC" w:rsidR="00336FCE" w:rsidRPr="009C7C0D" w:rsidRDefault="00336FCE" w:rsidP="00336FCE">
            <w:pPr>
              <w:jc w:val="center"/>
              <w:rPr>
                <w:b/>
                <w:bCs/>
                <w:sz w:val="20"/>
                <w:szCs w:val="20"/>
              </w:rPr>
            </w:pPr>
            <w:r w:rsidRPr="009C7C0D">
              <w:rPr>
                <w:b/>
                <w:bCs/>
                <w:sz w:val="20"/>
                <w:szCs w:val="20"/>
              </w:rPr>
              <w:t>Robust Ordinal Regression (ROR)</w:t>
            </w:r>
          </w:p>
        </w:tc>
        <w:tc>
          <w:tcPr>
            <w:tcW w:w="3300" w:type="dxa"/>
          </w:tcPr>
          <w:p w14:paraId="5943B24F" w14:textId="22894994" w:rsidR="00336FCE" w:rsidRPr="009C7C0D" w:rsidRDefault="00336FCE" w:rsidP="00336FCE">
            <w:pPr>
              <w:jc w:val="center"/>
              <w:rPr>
                <w:sz w:val="20"/>
                <w:szCs w:val="20"/>
              </w:rPr>
            </w:pPr>
            <w:r w:rsidRPr="009C7C0D">
              <w:rPr>
                <w:sz w:val="20"/>
                <w:szCs w:val="20"/>
              </w:rPr>
              <w:t xml:space="preserve">Derive a set of feasible value functions that are feasible in satisfying provided preference constraints. </w:t>
            </w:r>
          </w:p>
        </w:tc>
        <w:tc>
          <w:tcPr>
            <w:tcW w:w="2790" w:type="dxa"/>
          </w:tcPr>
          <w:p w14:paraId="7C2C22F0" w14:textId="10540B67" w:rsidR="00336FCE" w:rsidRPr="009C7C0D" w:rsidRDefault="009C7C0D" w:rsidP="00336FCE">
            <w:pPr>
              <w:jc w:val="center"/>
              <w:rPr>
                <w:sz w:val="20"/>
                <w:szCs w:val="20"/>
              </w:rPr>
            </w:pPr>
            <w:r w:rsidRPr="009C7C0D">
              <w:rPr>
                <w:sz w:val="20"/>
                <w:szCs w:val="20"/>
              </w:rPr>
              <w:t xml:space="preserve">This is intended to provide a set or range of feasible solutions that satisfy given preferences rather than a single solution. </w:t>
            </w:r>
          </w:p>
        </w:tc>
        <w:tc>
          <w:tcPr>
            <w:tcW w:w="2520" w:type="dxa"/>
          </w:tcPr>
          <w:p w14:paraId="44455C8E" w14:textId="4384CEAD" w:rsidR="00336FCE" w:rsidRPr="009C7C0D" w:rsidRDefault="009C7C0D" w:rsidP="00336FCE">
            <w:pPr>
              <w:jc w:val="center"/>
              <w:rPr>
                <w:sz w:val="20"/>
                <w:szCs w:val="20"/>
              </w:rPr>
            </w:pPr>
            <w:r w:rsidRPr="009C7C0D">
              <w:rPr>
                <w:sz w:val="20"/>
                <w:szCs w:val="20"/>
              </w:rPr>
              <w:t xml:space="preserve">Greco, Mousseau, &amp; </w:t>
            </w:r>
            <w:proofErr w:type="spellStart"/>
            <w:r w:rsidRPr="009C7C0D">
              <w:rPr>
                <w:sz w:val="20"/>
                <w:szCs w:val="20"/>
              </w:rPr>
              <w:t>Slowiński</w:t>
            </w:r>
            <w:proofErr w:type="spellEnd"/>
            <w:r w:rsidRPr="009C7C0D">
              <w:rPr>
                <w:sz w:val="20"/>
                <w:szCs w:val="20"/>
              </w:rPr>
              <w:t xml:space="preserve"> (2008)</w:t>
            </w:r>
          </w:p>
        </w:tc>
      </w:tr>
      <w:tr w:rsidR="00336FCE" w14:paraId="36FAC2A8" w14:textId="77777777" w:rsidTr="00A84F8B">
        <w:trPr>
          <w:trHeight w:val="800"/>
        </w:trPr>
        <w:tc>
          <w:tcPr>
            <w:tcW w:w="2696" w:type="dxa"/>
          </w:tcPr>
          <w:p w14:paraId="26152492" w14:textId="079C2455" w:rsidR="00336FCE" w:rsidRPr="009C7C0D" w:rsidRDefault="00336FCE" w:rsidP="00336FCE">
            <w:pPr>
              <w:jc w:val="center"/>
              <w:rPr>
                <w:b/>
                <w:bCs/>
                <w:sz w:val="20"/>
                <w:szCs w:val="20"/>
              </w:rPr>
            </w:pPr>
            <w:proofErr w:type="spellStart"/>
            <w:r w:rsidRPr="009C7C0D">
              <w:rPr>
                <w:b/>
                <w:bCs/>
                <w:sz w:val="20"/>
                <w:szCs w:val="20"/>
              </w:rPr>
              <w:t>RankSVM</w:t>
            </w:r>
            <w:proofErr w:type="spellEnd"/>
          </w:p>
        </w:tc>
        <w:tc>
          <w:tcPr>
            <w:tcW w:w="3300" w:type="dxa"/>
          </w:tcPr>
          <w:p w14:paraId="1428B734" w14:textId="5457E7AE" w:rsidR="00336FCE" w:rsidRPr="009C7C0D" w:rsidRDefault="00336FCE" w:rsidP="00336FCE">
            <w:pPr>
              <w:jc w:val="center"/>
              <w:rPr>
                <w:sz w:val="20"/>
                <w:szCs w:val="20"/>
              </w:rPr>
            </w:pPr>
            <w:r w:rsidRPr="009C7C0D">
              <w:rPr>
                <w:sz w:val="20"/>
                <w:szCs w:val="20"/>
              </w:rPr>
              <w:t xml:space="preserve">Derive a single value function that maximizes the difference between the scores of preferred alternatives and that of </w:t>
            </w:r>
            <w:r w:rsidR="00A84F8B" w:rsidRPr="009C7C0D">
              <w:rPr>
                <w:sz w:val="20"/>
                <w:szCs w:val="20"/>
              </w:rPr>
              <w:t>comparisons</w:t>
            </w:r>
            <w:r w:rsidRPr="009C7C0D">
              <w:rPr>
                <w:sz w:val="20"/>
                <w:szCs w:val="20"/>
              </w:rPr>
              <w:t xml:space="preserve">.  </w:t>
            </w:r>
          </w:p>
        </w:tc>
        <w:tc>
          <w:tcPr>
            <w:tcW w:w="2790" w:type="dxa"/>
          </w:tcPr>
          <w:p w14:paraId="6A8F6315" w14:textId="371E031C" w:rsidR="00336FCE" w:rsidRPr="009C7C0D" w:rsidRDefault="00336FCE" w:rsidP="00336FCE">
            <w:pPr>
              <w:jc w:val="center"/>
              <w:rPr>
                <w:sz w:val="20"/>
                <w:szCs w:val="20"/>
              </w:rPr>
            </w:pPr>
          </w:p>
        </w:tc>
        <w:tc>
          <w:tcPr>
            <w:tcW w:w="2520" w:type="dxa"/>
          </w:tcPr>
          <w:p w14:paraId="19D90E00" w14:textId="78D49E57" w:rsidR="00336FCE" w:rsidRPr="009C7C0D" w:rsidRDefault="009C7C0D" w:rsidP="00336FCE">
            <w:pPr>
              <w:jc w:val="center"/>
              <w:rPr>
                <w:sz w:val="20"/>
                <w:szCs w:val="20"/>
              </w:rPr>
            </w:pPr>
            <w:r w:rsidRPr="009C7C0D">
              <w:rPr>
                <w:sz w:val="20"/>
                <w:szCs w:val="20"/>
              </w:rPr>
              <w:t>Joachims (2002)</w:t>
            </w:r>
          </w:p>
        </w:tc>
      </w:tr>
      <w:tr w:rsidR="00336FCE" w14:paraId="5A8DFB04" w14:textId="77777777" w:rsidTr="009C7C0D">
        <w:trPr>
          <w:trHeight w:val="1673"/>
        </w:trPr>
        <w:tc>
          <w:tcPr>
            <w:tcW w:w="2696" w:type="dxa"/>
          </w:tcPr>
          <w:p w14:paraId="7205872D" w14:textId="232BA261" w:rsidR="00336FCE" w:rsidRPr="009C7C0D" w:rsidRDefault="00336FCE" w:rsidP="00336FCE">
            <w:pPr>
              <w:jc w:val="center"/>
              <w:rPr>
                <w:b/>
                <w:bCs/>
                <w:sz w:val="20"/>
                <w:szCs w:val="20"/>
              </w:rPr>
            </w:pPr>
            <w:r w:rsidRPr="009C7C0D">
              <w:rPr>
                <w:b/>
                <w:bCs/>
                <w:sz w:val="20"/>
                <w:szCs w:val="20"/>
              </w:rPr>
              <w:lastRenderedPageBreak/>
              <w:t>Exact/</w:t>
            </w:r>
            <w:r w:rsidR="00A84F8B" w:rsidRPr="009C7C0D">
              <w:rPr>
                <w:b/>
                <w:bCs/>
                <w:sz w:val="20"/>
                <w:szCs w:val="20"/>
              </w:rPr>
              <w:t>heuristic</w:t>
            </w:r>
            <w:r w:rsidRPr="009C7C0D">
              <w:rPr>
                <w:b/>
                <w:bCs/>
                <w:sz w:val="20"/>
                <w:szCs w:val="20"/>
              </w:rPr>
              <w:t xml:space="preserve"> Mixed-Integer Programming</w:t>
            </w:r>
          </w:p>
        </w:tc>
        <w:tc>
          <w:tcPr>
            <w:tcW w:w="3300" w:type="dxa"/>
          </w:tcPr>
          <w:p w14:paraId="591FC248" w14:textId="0E74EAB6" w:rsidR="00336FCE" w:rsidRPr="009C7C0D" w:rsidRDefault="00336FCE" w:rsidP="00336FCE">
            <w:pPr>
              <w:jc w:val="center"/>
              <w:rPr>
                <w:sz w:val="20"/>
                <w:szCs w:val="20"/>
              </w:rPr>
            </w:pPr>
            <w:r w:rsidRPr="009C7C0D">
              <w:rPr>
                <w:sz w:val="20"/>
                <w:szCs w:val="20"/>
              </w:rPr>
              <w:t>Minimize</w:t>
            </w:r>
            <w:r w:rsidR="00A84F8B" w:rsidRPr="009C7C0D">
              <w:rPr>
                <w:sz w:val="20"/>
                <w:szCs w:val="20"/>
              </w:rPr>
              <w:t xml:space="preserve"> average ranking of preferred alternatives via ranking comparison with binary pairwise variables. </w:t>
            </w:r>
          </w:p>
        </w:tc>
        <w:tc>
          <w:tcPr>
            <w:tcW w:w="2790" w:type="dxa"/>
          </w:tcPr>
          <w:p w14:paraId="201BC630" w14:textId="62580C50" w:rsidR="00336FCE" w:rsidRPr="009C7C0D" w:rsidRDefault="009C7C0D" w:rsidP="00336FCE">
            <w:pPr>
              <w:jc w:val="center"/>
              <w:rPr>
                <w:sz w:val="20"/>
                <w:szCs w:val="20"/>
              </w:rPr>
            </w:pPr>
            <w:r w:rsidRPr="009C7C0D">
              <w:rPr>
                <w:sz w:val="20"/>
                <w:szCs w:val="20"/>
              </w:rPr>
              <w:t xml:space="preserve">Binary variables are introduced to track rank order. Rather than fitting preferences, rankings are forced. The problem is recognized as NP hard and requires heuristics for non-trivial problems. </w:t>
            </w:r>
          </w:p>
        </w:tc>
        <w:tc>
          <w:tcPr>
            <w:tcW w:w="2520" w:type="dxa"/>
          </w:tcPr>
          <w:p w14:paraId="648EEFAF" w14:textId="14BF4CEF" w:rsidR="00336FCE" w:rsidRPr="009C7C0D" w:rsidRDefault="009C7C0D" w:rsidP="00336FCE">
            <w:pPr>
              <w:jc w:val="center"/>
              <w:rPr>
                <w:sz w:val="20"/>
                <w:szCs w:val="20"/>
              </w:rPr>
            </w:pPr>
            <w:r w:rsidRPr="009C7C0D">
              <w:rPr>
                <w:sz w:val="20"/>
                <w:szCs w:val="20"/>
              </w:rPr>
              <w:t>Funk &amp; Murray (2025)</w:t>
            </w:r>
          </w:p>
        </w:tc>
      </w:tr>
    </w:tbl>
    <w:p w14:paraId="1B4F569A" w14:textId="77777777" w:rsidR="001B7778" w:rsidRDefault="001B7778" w:rsidP="00664ADF">
      <w:pPr>
        <w:spacing w:before="100" w:beforeAutospacing="1" w:after="100" w:afterAutospacing="1"/>
        <w:ind w:firstLine="720"/>
        <w:jc w:val="center"/>
      </w:pPr>
    </w:p>
    <w:p w14:paraId="03C44FE8" w14:textId="77777777" w:rsidR="00424550" w:rsidRDefault="00424550" w:rsidP="00424550">
      <w:pPr>
        <w:spacing w:before="100" w:beforeAutospacing="1" w:after="100" w:afterAutospacing="1"/>
        <w:ind w:firstLine="720"/>
      </w:pPr>
    </w:p>
    <w:p w14:paraId="58EC4427" w14:textId="77777777" w:rsidR="00424550" w:rsidRDefault="00424550" w:rsidP="00424550">
      <w:pPr>
        <w:spacing w:before="100" w:beforeAutospacing="1" w:after="100" w:afterAutospacing="1"/>
        <w:ind w:firstLine="720"/>
      </w:pPr>
    </w:p>
    <w:p w14:paraId="3274F259" w14:textId="77777777" w:rsidR="00424550" w:rsidRDefault="00424550" w:rsidP="00424550">
      <w:pPr>
        <w:spacing w:before="100" w:beforeAutospacing="1" w:after="100" w:afterAutospacing="1"/>
        <w:ind w:firstLine="720"/>
      </w:pPr>
    </w:p>
    <w:p w14:paraId="78201909" w14:textId="7AFF628F" w:rsidR="00424550" w:rsidRPr="00424550" w:rsidRDefault="00424550" w:rsidP="00424550">
      <w:pPr>
        <w:spacing w:before="100" w:beforeAutospacing="1" w:after="100" w:afterAutospacing="1"/>
        <w:ind w:firstLine="720"/>
      </w:pPr>
      <w:r>
        <w:t>Most typically, models minimize a surrogate</w:t>
      </w:r>
      <w:r>
        <w:t>: average ranking, sum of ranks, or violations in pairwise comparison. Below is a generic formulation for minimizing these surrogates.</w:t>
      </w:r>
    </w:p>
    <w:p w14:paraId="192FC11B" w14:textId="243E93B6" w:rsidR="00424550" w:rsidRDefault="00424550" w:rsidP="007D65DD">
      <w:pPr>
        <w:spacing w:before="100" w:beforeAutospacing="1" w:after="100" w:afterAutospacing="1"/>
      </w:pPr>
    </w:p>
    <w:p w14:paraId="542EFD60" w14:textId="11D26849" w:rsidR="007D65DD" w:rsidRPr="00237676" w:rsidRDefault="007D65DD" w:rsidP="007D65DD">
      <w:pPr>
        <w:spacing w:before="100" w:beforeAutospacing="1" w:after="100" w:afterAutospacing="1"/>
        <w:rPr>
          <w:rFonts w:eastAsiaTheme="minorEastAsia"/>
        </w:rPr>
      </w:pPr>
      <w:r w:rsidRPr="00237676">
        <w:t xml:space="preserve">In the most exact way, the rank of each </w:t>
      </w:r>
      <w:r w:rsidR="000A7C27">
        <w:t>alternative</w:t>
      </w:r>
      <w:r w:rsidRPr="00237676">
        <w:t xml:space="preserve"> (</w:t>
      </w:r>
      <m:oMath>
        <m:r>
          <w:rPr>
            <w:rFonts w:ascii="Cambria Math" w:hAnsi="Cambria Math"/>
          </w:rPr>
          <m:t>R</m:t>
        </m:r>
        <m:d>
          <m:dPr>
            <m:ctrlPr>
              <w:rPr>
                <w:rFonts w:ascii="Cambria Math" w:hAnsi="Cambria Math"/>
                <w:i/>
              </w:rPr>
            </m:ctrlPr>
          </m:dPr>
          <m:e>
            <m:r>
              <w:rPr>
                <w:rFonts w:ascii="Cambria Math" w:hAnsi="Cambria Math"/>
              </w:rPr>
              <m:t>pᵢ,w</m:t>
            </m:r>
          </m:e>
        </m:d>
      </m:oMath>
      <w:r w:rsidR="000A7C27">
        <w:t>)</w:t>
      </w:r>
      <w:r w:rsidRPr="00237676">
        <w:t xml:space="preserve"> within (s</w:t>
      </w:r>
      <m:oMath>
        <m:r>
          <w:rPr>
            <w:rFonts w:ascii="Cambria Math" w:hAnsi="Cambria Math"/>
          </w:rPr>
          <m:t>⊆</m:t>
        </m:r>
        <m:r>
          <w:rPr>
            <w:rFonts w:ascii="Cambria Math" w:eastAsiaTheme="minorEastAsia" w:hAnsi="Cambria Math"/>
          </w:rPr>
          <m:t xml:space="preserve"> </m:t>
        </m:r>
      </m:oMath>
      <w:r w:rsidRPr="00237676">
        <w:rPr>
          <w:rFonts w:eastAsiaTheme="minorEastAsia"/>
        </w:rPr>
        <w:t xml:space="preserve">P) can theoretically be minimized as such: </w:t>
      </w:r>
    </w:p>
    <w:p w14:paraId="29BB3EE4" w14:textId="77777777" w:rsidR="007D65DD" w:rsidRPr="00237676" w:rsidRDefault="007D65DD" w:rsidP="007D65DD">
      <w:pPr>
        <w:spacing w:before="100" w:beforeAutospacing="1" w:after="100" w:afterAutospacing="1"/>
        <w:jc w:val="center"/>
        <w:rPr>
          <w:b/>
          <w:bCs/>
          <w:sz w:val="28"/>
          <w:szCs w:val="28"/>
        </w:rPr>
      </w:pPr>
      <w:r w:rsidRPr="00237676">
        <w:rPr>
          <w:b/>
          <w:bCs/>
          <w:sz w:val="28"/>
          <w:szCs w:val="28"/>
        </w:rPr>
        <w:t xml:space="preserve">Min f(w) </w:t>
      </w:r>
    </w:p>
    <w:p w14:paraId="0F6883B4" w14:textId="058D3866" w:rsidR="007D65DD" w:rsidRPr="00237676" w:rsidRDefault="007D65DD" w:rsidP="007D65DD">
      <w:pPr>
        <w:spacing w:before="100" w:beforeAutospacing="1" w:after="100" w:afterAutospacing="1"/>
        <w:jc w:val="center"/>
      </w:pPr>
      <w:r w:rsidRPr="00237676">
        <w:t>Minimize</w:t>
      </w:r>
      <w:r w:rsidR="003F4EC1">
        <w:t xml:space="preserve"> surrogate of rank for </w:t>
      </w:r>
      <m:oMath>
        <m:r>
          <w:rPr>
            <w:rFonts w:ascii="Cambria Math" w:hAnsi="Cambria Math"/>
          </w:rPr>
          <m:t>s</m:t>
        </m:r>
        <m:r>
          <m:rPr>
            <m:sty m:val="p"/>
          </m:rPr>
          <w:rPr>
            <w:rFonts w:ascii="Cambria Math" w:hAnsi="Cambria Math"/>
          </w:rPr>
          <m:t>⊆</m:t>
        </m:r>
        <m:r>
          <w:rPr>
            <w:rFonts w:ascii="Cambria Math" w:hAnsi="Cambria Math"/>
          </w:rPr>
          <m:t>P</m:t>
        </m:r>
      </m:oMath>
    </w:p>
    <w:p w14:paraId="37913FD2" w14:textId="77777777" w:rsidR="007D65DD" w:rsidRPr="00237676" w:rsidRDefault="007D65DD" w:rsidP="007D65DD">
      <w:pPr>
        <w:spacing w:before="100" w:beforeAutospacing="1" w:after="100" w:afterAutospacing="1"/>
        <w:jc w:val="center"/>
      </w:pPr>
    </w:p>
    <w:p w14:paraId="5A4A344D" w14:textId="6661F332" w:rsidR="007D65DD" w:rsidRPr="00237676" w:rsidRDefault="007D65DD" w:rsidP="007D65DD">
      <w:pPr>
        <w:spacing w:before="100" w:beforeAutospacing="1" w:after="100" w:afterAutospacing="1"/>
        <w:rPr>
          <w:b/>
          <w:bCs/>
        </w:rPr>
      </w:pPr>
      <w:r w:rsidRPr="00237676">
        <w:rPr>
          <w:b/>
          <w:bCs/>
        </w:rPr>
        <w:t>Where</w:t>
      </w:r>
      <w:r w:rsidR="003F4EC1">
        <w:rPr>
          <w:b/>
          <w:bCs/>
        </w:rPr>
        <w:t xml:space="preserve"> f(w) could be</w:t>
      </w:r>
      <w:r w:rsidRPr="00237676">
        <w:rPr>
          <w:b/>
          <w:bCs/>
        </w:rPr>
        <w:t>:</w:t>
      </w:r>
    </w:p>
    <w:p w14:paraId="6BC56615" w14:textId="77777777" w:rsidR="007D65DD" w:rsidRPr="00237676" w:rsidRDefault="007D65DD" w:rsidP="007D65DD">
      <w:pPr>
        <w:spacing w:before="100" w:beforeAutospacing="1" w:after="100" w:afterAutospacing="1"/>
        <w:jc w:val="center"/>
        <w:rPr>
          <w:b/>
          <w:bCs/>
          <w:sz w:val="28"/>
          <w:szCs w:val="28"/>
        </w:rPr>
      </w:pPr>
      <m:oMathPara>
        <m:oMath>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w</m:t>
              </m:r>
            </m:e>
          </m:d>
          <m:r>
            <m:rPr>
              <m:sty m:val="bi"/>
            </m:rPr>
            <w:rPr>
              <w:rFonts w:ascii="Cambria Math" w:hAnsi="Cambria Math"/>
              <w:sz w:val="28"/>
              <w:szCs w:val="28"/>
            </w:rPr>
            <m:t xml:space="preserve">= </m:t>
          </m:r>
          <m:d>
            <m:dPr>
              <m:ctrlPr>
                <w:rPr>
                  <w:rFonts w:ascii="Cambria Math" w:hAnsi="Cambria Math"/>
                  <w:b/>
                  <w:bCs/>
                  <w:i/>
                  <w:sz w:val="28"/>
                  <w:szCs w:val="28"/>
                </w:rPr>
              </m:ctrlPr>
            </m:dPr>
            <m:e>
              <m:f>
                <m:fPr>
                  <m:ctrlPr>
                    <w:rPr>
                      <w:rFonts w:ascii="Cambria Math" w:hAnsi="Cambria Math"/>
                      <w:b/>
                      <w:bCs/>
                      <w:i/>
                      <w:sz w:val="28"/>
                      <w:szCs w:val="28"/>
                    </w:rPr>
                  </m:ctrlPr>
                </m:fPr>
                <m:num>
                  <m:r>
                    <m:rPr>
                      <m:sty m:val="bi"/>
                    </m:rPr>
                    <w:rPr>
                      <w:rFonts w:ascii="Cambria Math" w:hAnsi="Cambria Math"/>
                      <w:sz w:val="28"/>
                      <w:szCs w:val="28"/>
                    </w:rPr>
                    <m:t>1</m:t>
                  </m:r>
                </m:num>
                <m:den>
                  <m:d>
                    <m:dPr>
                      <m:begChr m:val="|"/>
                      <m:endChr m:val="|"/>
                      <m:ctrlPr>
                        <w:rPr>
                          <w:rFonts w:ascii="Cambria Math" w:hAnsi="Cambria Math"/>
                          <w:b/>
                          <w:bCs/>
                          <w:i/>
                          <w:sz w:val="28"/>
                          <w:szCs w:val="28"/>
                        </w:rPr>
                      </m:ctrlPr>
                    </m:dPr>
                    <m:e>
                      <m:r>
                        <m:rPr>
                          <m:sty m:val="bi"/>
                        </m:rPr>
                        <w:rPr>
                          <w:rFonts w:ascii="Cambria Math" w:hAnsi="Cambria Math"/>
                          <w:sz w:val="28"/>
                          <w:szCs w:val="28"/>
                        </w:rPr>
                        <m:t>s</m:t>
                      </m:r>
                    </m:e>
                  </m:d>
                </m:den>
              </m:f>
            </m:e>
          </m:d>
          <m:nary>
            <m:naryPr>
              <m:chr m:val="∑"/>
              <m:supHide m:val="1"/>
              <m:ctrlPr>
                <w:rPr>
                  <w:rFonts w:ascii="Cambria Math" w:hAnsi="Cambria Math"/>
                  <w:b/>
                  <w:bCs/>
                  <w:i/>
                  <w:sz w:val="28"/>
                  <w:szCs w:val="28"/>
                </w:rPr>
              </m:ctrlPr>
            </m:naryPr>
            <m:sub>
              <m:d>
                <m:dPr>
                  <m:begChr m:val="{"/>
                  <m:endChr m:val="}"/>
                  <m:ctrlPr>
                    <w:rPr>
                      <w:rFonts w:ascii="Cambria Math" w:hAnsi="Cambria Math"/>
                      <w:b/>
                      <w:bCs/>
                      <w:i/>
                      <w:sz w:val="28"/>
                      <w:szCs w:val="28"/>
                    </w:rPr>
                  </m:ctrlPr>
                </m:dPr>
                <m:e>
                  <m:r>
                    <m:rPr>
                      <m:sty m:val="bi"/>
                    </m:rPr>
                    <w:rPr>
                      <w:rFonts w:ascii="Cambria Math" w:hAnsi="Cambria Math"/>
                      <w:sz w:val="28"/>
                      <w:szCs w:val="28"/>
                    </w:rPr>
                    <m:t>i ∈ s</m:t>
                  </m:r>
                </m:e>
              </m:d>
            </m:sub>
            <m:sup/>
            <m:e>
              <m:r>
                <m:rPr>
                  <m:sty m:val="bi"/>
                </m:rPr>
                <w:rPr>
                  <w:rFonts w:ascii="Cambria Math" w:hAnsi="Cambria Math"/>
                  <w:sz w:val="28"/>
                  <w:szCs w:val="28"/>
                </w:rPr>
                <m:t>R(pᵢ, w)</m:t>
              </m:r>
            </m:e>
          </m:nary>
        </m:oMath>
      </m:oMathPara>
    </w:p>
    <w:p w14:paraId="0EEA13FD" w14:textId="7FBACC9E" w:rsidR="007D65DD" w:rsidRPr="00237676" w:rsidRDefault="007D65DD" w:rsidP="007D65DD">
      <w:pPr>
        <w:spacing w:before="100" w:beforeAutospacing="1" w:after="100" w:afterAutospacing="1"/>
        <w:jc w:val="center"/>
      </w:pPr>
      <w:r w:rsidRPr="00237676">
        <w:t xml:space="preserve">average rank of </w:t>
      </w:r>
      <m:oMath>
        <m:r>
          <w:rPr>
            <w:rFonts w:ascii="Cambria Math" w:hAnsi="Cambria Math"/>
          </w:rPr>
          <m:t>s</m:t>
        </m:r>
        <m:r>
          <m:rPr>
            <m:sty m:val="p"/>
          </m:rPr>
          <w:rPr>
            <w:rFonts w:ascii="Cambria Math" w:hAnsi="Cambria Math"/>
          </w:rPr>
          <m:t>⊆</m:t>
        </m:r>
        <m:r>
          <w:rPr>
            <w:rFonts w:ascii="Cambria Math" w:hAnsi="Cambria Math"/>
          </w:rPr>
          <m:t>P</m:t>
        </m:r>
      </m:oMath>
    </w:p>
    <w:p w14:paraId="4FB5A754" w14:textId="77777777" w:rsidR="007D65DD" w:rsidRPr="007D65DD" w:rsidRDefault="007D65DD" w:rsidP="007D65DD">
      <w:pPr>
        <w:rPr>
          <w:b/>
        </w:rPr>
      </w:pPr>
    </w:p>
    <w:p w14:paraId="070E0AC6" w14:textId="77777777" w:rsidR="007D65DD" w:rsidRPr="007D65DD" w:rsidRDefault="007D65DD" w:rsidP="007D65DD">
      <w:pPr>
        <w:rPr>
          <w:b/>
        </w:rPr>
      </w:pPr>
    </w:p>
    <w:p w14:paraId="38A3611A" w14:textId="77777777" w:rsidR="000A0154" w:rsidRDefault="000A0154" w:rsidP="005143B7"/>
    <w:p w14:paraId="004BF79D" w14:textId="30FF0548" w:rsidR="000C3432" w:rsidRDefault="000C3432" w:rsidP="005143B7">
      <w:r>
        <w:t xml:space="preserve"> This problem formulation is intended to be flexible, allowing for a decision maker to provide one or more contiguous or </w:t>
      </w:r>
      <w:r w:rsidR="00702284">
        <w:t>non</w:t>
      </w:r>
      <w:r w:rsidR="00F77B97">
        <w:t xml:space="preserve">contiguous selections of parcels out of the </w:t>
      </w:r>
      <w:r w:rsidR="00702284">
        <w:t>defined</w:t>
      </w:r>
      <w:r w:rsidR="00F77B97">
        <w:t xml:space="preserve"> population. </w:t>
      </w:r>
      <w:r w:rsidR="00702284">
        <w:t xml:space="preserve">Preferred alternatives in this problem are defined locations and may be compared to a global or local dataset, making any solution inherently spatially explicit </w:t>
      </w:r>
      <w:r w:rsidR="00F77B97">
        <w:t xml:space="preserve">(Source). </w:t>
      </w:r>
      <w:r>
        <w:t xml:space="preserve"> </w:t>
      </w:r>
      <w:r w:rsidR="00702284">
        <w:t xml:space="preserve">Many related problems </w:t>
      </w:r>
      <w:r w:rsidR="00702284">
        <w:lastRenderedPageBreak/>
        <w:t xml:space="preserve">have already been solved, … example </w:t>
      </w:r>
      <w:proofErr w:type="spellStart"/>
      <w:r w:rsidR="00702284">
        <w:t>example</w:t>
      </w:r>
      <w:proofErr w:type="spellEnd"/>
      <w:r w:rsidR="00702284">
        <w:t xml:space="preserve">, and similarly numerous methods could be applied to such a problem. Below is a table of existing suitable techniques. </w:t>
      </w:r>
    </w:p>
    <w:p w14:paraId="41827B7B" w14:textId="77777777" w:rsidR="00533695" w:rsidRDefault="00533695" w:rsidP="005143B7">
      <w:pPr>
        <w:rPr>
          <w:rFonts w:eastAsiaTheme="minorEastAsia"/>
        </w:rPr>
      </w:pPr>
    </w:p>
    <w:p w14:paraId="60903803" w14:textId="77777777" w:rsidR="00AC0F0D" w:rsidRDefault="00AC0F0D" w:rsidP="005143B7">
      <w:pPr>
        <w:rPr>
          <w:rFonts w:eastAsiaTheme="minorEastAsia"/>
        </w:rPr>
      </w:pPr>
    </w:p>
    <w:p w14:paraId="7B5CAA92" w14:textId="77777777" w:rsidR="00AC0F0D" w:rsidRDefault="00AC0F0D" w:rsidP="005143B7">
      <w:pPr>
        <w:rPr>
          <w:rFonts w:eastAsiaTheme="minorEastAsia"/>
        </w:rPr>
      </w:pPr>
    </w:p>
    <w:p w14:paraId="3BCADCF8" w14:textId="77777777" w:rsidR="00AC0F0D" w:rsidRDefault="00AC0F0D" w:rsidP="005143B7">
      <w:pPr>
        <w:rPr>
          <w:rFonts w:eastAsiaTheme="minorEastAsia"/>
        </w:rPr>
      </w:pPr>
    </w:p>
    <w:p w14:paraId="41B1AA51" w14:textId="77777777" w:rsidR="00AC0F0D" w:rsidRDefault="00AC0F0D" w:rsidP="005143B7">
      <w:pPr>
        <w:rPr>
          <w:rFonts w:eastAsiaTheme="minorEastAsia"/>
        </w:rPr>
      </w:pPr>
    </w:p>
    <w:p w14:paraId="3F5D127E" w14:textId="77777777" w:rsidR="00AC0F0D" w:rsidRDefault="00AC0F0D" w:rsidP="005143B7">
      <w:pPr>
        <w:rPr>
          <w:rFonts w:eastAsiaTheme="minorEastAsia"/>
        </w:rPr>
      </w:pPr>
    </w:p>
    <w:p w14:paraId="118AD589" w14:textId="77777777" w:rsidR="00AC0F0D" w:rsidRDefault="00AC0F0D" w:rsidP="005143B7">
      <w:pPr>
        <w:rPr>
          <w:rFonts w:eastAsiaTheme="minorEastAsia"/>
        </w:rPr>
      </w:pPr>
    </w:p>
    <w:p w14:paraId="16801F4D" w14:textId="77777777" w:rsidR="00AC0F0D" w:rsidRDefault="00AC0F0D" w:rsidP="005143B7">
      <w:pPr>
        <w:rPr>
          <w:rFonts w:eastAsiaTheme="minorEastAsia"/>
        </w:rPr>
      </w:pPr>
    </w:p>
    <w:p w14:paraId="704178C1" w14:textId="77777777" w:rsidR="00AC0F0D" w:rsidRDefault="00AC0F0D" w:rsidP="005143B7">
      <w:pPr>
        <w:rPr>
          <w:rFonts w:eastAsiaTheme="minorEastAsia"/>
        </w:rPr>
      </w:pPr>
    </w:p>
    <w:p w14:paraId="3235B65D" w14:textId="77777777" w:rsidR="00AC0F0D" w:rsidRDefault="00AC0F0D" w:rsidP="005143B7">
      <w:pPr>
        <w:rPr>
          <w:rFonts w:eastAsiaTheme="minorEastAsia"/>
        </w:rPr>
      </w:pPr>
    </w:p>
    <w:p w14:paraId="4BFA8E64" w14:textId="77777777" w:rsidR="00AC0F0D" w:rsidRDefault="00AC0F0D" w:rsidP="005143B7">
      <w:pPr>
        <w:rPr>
          <w:rFonts w:eastAsiaTheme="minorEastAsia"/>
        </w:rPr>
      </w:pPr>
    </w:p>
    <w:p w14:paraId="2A8C1EE8" w14:textId="77777777" w:rsidR="00AC0F0D" w:rsidRDefault="00AC0F0D" w:rsidP="005143B7">
      <w:pPr>
        <w:rPr>
          <w:rFonts w:eastAsiaTheme="minorEastAsia"/>
        </w:rPr>
      </w:pPr>
    </w:p>
    <w:p w14:paraId="470FE10C" w14:textId="77777777" w:rsidR="00AC0F0D" w:rsidRDefault="00AC0F0D" w:rsidP="005143B7">
      <w:pPr>
        <w:rPr>
          <w:rFonts w:eastAsiaTheme="minorEastAsia"/>
        </w:rPr>
      </w:pPr>
    </w:p>
    <w:p w14:paraId="01AD7589" w14:textId="77777777" w:rsidR="00AC0F0D" w:rsidRDefault="00AC0F0D" w:rsidP="005143B7">
      <w:pPr>
        <w:rPr>
          <w:rFonts w:eastAsiaTheme="minorEastAsia"/>
        </w:rPr>
      </w:pPr>
    </w:p>
    <w:p w14:paraId="126258B5" w14:textId="77777777" w:rsidR="00AC0F0D" w:rsidRDefault="00AC0F0D" w:rsidP="005143B7">
      <w:pPr>
        <w:rPr>
          <w:rFonts w:eastAsiaTheme="minorEastAsia"/>
        </w:rPr>
      </w:pPr>
    </w:p>
    <w:p w14:paraId="168C8B66" w14:textId="77777777" w:rsidR="00AC0F0D" w:rsidRDefault="00AC0F0D" w:rsidP="005143B7">
      <w:pPr>
        <w:rPr>
          <w:rFonts w:eastAsiaTheme="minorEastAsia"/>
        </w:rPr>
      </w:pPr>
    </w:p>
    <w:p w14:paraId="487AD8C4" w14:textId="77777777" w:rsidR="00AC0F0D" w:rsidRDefault="00AC0F0D" w:rsidP="005143B7">
      <w:pPr>
        <w:rPr>
          <w:rFonts w:eastAsiaTheme="minorEastAsia"/>
        </w:rPr>
      </w:pPr>
    </w:p>
    <w:p w14:paraId="013C73DC" w14:textId="77777777" w:rsidR="00AC0F0D" w:rsidRDefault="00AC0F0D" w:rsidP="005143B7">
      <w:pPr>
        <w:rPr>
          <w:rFonts w:eastAsiaTheme="minorEastAsia"/>
        </w:rPr>
      </w:pPr>
    </w:p>
    <w:p w14:paraId="2895032D" w14:textId="77777777" w:rsidR="00AC0F0D" w:rsidRDefault="00AC0F0D" w:rsidP="005143B7">
      <w:pPr>
        <w:rPr>
          <w:rFonts w:eastAsiaTheme="minorEastAsia"/>
        </w:rPr>
      </w:pPr>
    </w:p>
    <w:p w14:paraId="76F7262C" w14:textId="77777777" w:rsidR="00AC0F0D" w:rsidRDefault="00AC0F0D" w:rsidP="005143B7">
      <w:pPr>
        <w:rPr>
          <w:rFonts w:eastAsiaTheme="minorEastAsia"/>
        </w:rPr>
      </w:pPr>
    </w:p>
    <w:p w14:paraId="103C6F73" w14:textId="43A32CEF" w:rsidR="00AC0F0D" w:rsidRDefault="00AC0F0D" w:rsidP="005143B7">
      <w:pPr>
        <w:rPr>
          <w:rFonts w:eastAsiaTheme="minorEastAsia"/>
        </w:rPr>
      </w:pPr>
      <w:r>
        <w:rPr>
          <w:rFonts w:eastAsiaTheme="minorEastAsia"/>
        </w:rPr>
        <w:t>QUESTIONS:</w:t>
      </w:r>
      <w:r>
        <w:rPr>
          <w:rFonts w:eastAsiaTheme="minorEastAsia"/>
        </w:rPr>
        <w:br/>
        <w:t>1. Do we want to present methods as applied with our fire application? I.e. do we want to reference parcels, or our factors, or do we want to keep general?</w:t>
      </w:r>
    </w:p>
    <w:p w14:paraId="18C6DAAB" w14:textId="358BA25A" w:rsidR="00AC0F0D" w:rsidRDefault="00AC0F0D" w:rsidP="005143B7">
      <w:pPr>
        <w:rPr>
          <w:rFonts w:eastAsiaTheme="minorEastAsia"/>
        </w:rPr>
      </w:pPr>
      <w:r>
        <w:rPr>
          <w:rFonts w:eastAsiaTheme="minorEastAsia"/>
        </w:rPr>
        <w:t xml:space="preserve">2. What data are we most interested in including? LANDFIRE? The base variables we have </w:t>
      </w:r>
      <w:proofErr w:type="gramStart"/>
      <w:r>
        <w:rPr>
          <w:rFonts w:eastAsiaTheme="minorEastAsia"/>
        </w:rPr>
        <w:t>had?</w:t>
      </w:r>
      <w:proofErr w:type="gramEnd"/>
      <w:r>
        <w:rPr>
          <w:rFonts w:eastAsiaTheme="minorEastAsia"/>
        </w:rPr>
        <w:t xml:space="preserve"> </w:t>
      </w:r>
    </w:p>
    <w:p w14:paraId="5A70D7ED" w14:textId="2CD306A0" w:rsidR="00AC0F0D" w:rsidRDefault="00AC0F0D" w:rsidP="005143B7">
      <w:pPr>
        <w:rPr>
          <w:rFonts w:eastAsiaTheme="minorEastAsia"/>
        </w:rPr>
      </w:pPr>
      <w:r>
        <w:rPr>
          <w:rFonts w:eastAsiaTheme="minorEastAsia"/>
        </w:rPr>
        <w:t xml:space="preserve">3. For results, are we more concerned by general methods and how they compare, or do we want to see actual fire application results? </w:t>
      </w:r>
    </w:p>
    <w:p w14:paraId="1699EBFD" w14:textId="77777777" w:rsidR="00AC0F0D" w:rsidRDefault="00AC0F0D" w:rsidP="005143B7">
      <w:pPr>
        <w:rPr>
          <w:rFonts w:eastAsiaTheme="minorEastAsia"/>
        </w:rPr>
      </w:pPr>
    </w:p>
    <w:p w14:paraId="357E7B23" w14:textId="77777777" w:rsidR="00AC0F0D" w:rsidRDefault="00AC0F0D" w:rsidP="005143B7">
      <w:pPr>
        <w:rPr>
          <w:rFonts w:eastAsiaTheme="minorEastAsia"/>
        </w:rPr>
      </w:pPr>
    </w:p>
    <w:p w14:paraId="47A455C6" w14:textId="77777777" w:rsidR="00AC0F0D" w:rsidRDefault="00AC0F0D" w:rsidP="005143B7">
      <w:pPr>
        <w:rPr>
          <w:rFonts w:eastAsiaTheme="minorEastAsia"/>
        </w:rPr>
      </w:pPr>
    </w:p>
    <w:p w14:paraId="46E32815" w14:textId="77777777" w:rsidR="00AC0F0D" w:rsidRDefault="00AC0F0D" w:rsidP="005143B7">
      <w:pPr>
        <w:rPr>
          <w:rFonts w:eastAsiaTheme="minorEastAsia"/>
        </w:rPr>
      </w:pPr>
    </w:p>
    <w:p w14:paraId="06B040FE" w14:textId="77777777" w:rsidR="00AC0F0D" w:rsidRDefault="00AC0F0D" w:rsidP="005143B7">
      <w:pPr>
        <w:rPr>
          <w:rFonts w:eastAsiaTheme="minorEastAsia"/>
        </w:rPr>
      </w:pPr>
    </w:p>
    <w:p w14:paraId="232F0572" w14:textId="77777777" w:rsidR="00AC0F0D" w:rsidRDefault="00AC0F0D" w:rsidP="005143B7">
      <w:pPr>
        <w:rPr>
          <w:rFonts w:eastAsiaTheme="minorEastAsia"/>
        </w:rPr>
      </w:pPr>
    </w:p>
    <w:p w14:paraId="72ED8A41" w14:textId="77777777" w:rsidR="00AC0F0D" w:rsidRDefault="00AC0F0D" w:rsidP="005143B7">
      <w:pPr>
        <w:rPr>
          <w:rFonts w:eastAsiaTheme="minorEastAsia"/>
        </w:rPr>
      </w:pPr>
    </w:p>
    <w:p w14:paraId="63B7E87B" w14:textId="77777777" w:rsidR="00AC0F0D" w:rsidRDefault="00AC0F0D" w:rsidP="005143B7">
      <w:pPr>
        <w:rPr>
          <w:rFonts w:eastAsiaTheme="minorEastAsia"/>
        </w:rPr>
      </w:pPr>
    </w:p>
    <w:p w14:paraId="47BAE9BC" w14:textId="77777777" w:rsidR="00AC0F0D" w:rsidRPr="00702284" w:rsidRDefault="00AC0F0D" w:rsidP="005143B7">
      <w:pPr>
        <w:rPr>
          <w:rFonts w:eastAsiaTheme="minorEastAsia"/>
        </w:rPr>
      </w:pPr>
    </w:p>
    <w:p w14:paraId="32157881" w14:textId="77777777" w:rsidR="000C3432" w:rsidRDefault="000C3432" w:rsidP="005143B7"/>
    <w:p w14:paraId="71E05065" w14:textId="77777777" w:rsidR="000C3432" w:rsidRDefault="000C3432" w:rsidP="005143B7"/>
    <w:p w14:paraId="0A2D9732" w14:textId="29B70A76" w:rsidR="00702284" w:rsidRDefault="001B7778" w:rsidP="005143B7">
      <w:r>
        <w:t xml:space="preserve">References </w:t>
      </w:r>
    </w:p>
    <w:p w14:paraId="08BADD1B" w14:textId="080590FF" w:rsidR="001B7778" w:rsidRDefault="00AC0F0D" w:rsidP="001B7778">
      <w:pPr>
        <w:pStyle w:val="p1"/>
        <w:numPr>
          <w:ilvl w:val="0"/>
          <w:numId w:val="4"/>
        </w:numPr>
      </w:pPr>
      <w:r>
        <w:t>J</w:t>
      </w:r>
      <w:r w:rsidR="001B7778">
        <w:t>acquet-</w:t>
      </w:r>
      <w:proofErr w:type="spellStart"/>
      <w:r w:rsidR="001B7778">
        <w:t>Lagrèze</w:t>
      </w:r>
      <w:proofErr w:type="spellEnd"/>
      <w:r w:rsidR="001B7778">
        <w:t xml:space="preserve">, E., &amp; Siskos, J. (1982). “Assessing a set of additive utility functions for multicriteria decision-making: the UTA method.” </w:t>
      </w:r>
      <w:r w:rsidR="001B7778">
        <w:rPr>
          <w:i/>
          <w:iCs/>
        </w:rPr>
        <w:t>European Journal of Operational Research</w:t>
      </w:r>
      <w:r w:rsidR="001B7778">
        <w:t>, 10(2), 151–164.</w:t>
      </w:r>
      <w:r w:rsidR="001B7778">
        <w:rPr>
          <w:rStyle w:val="apple-converted-space"/>
          <w:rFonts w:eastAsiaTheme="majorEastAsia"/>
        </w:rPr>
        <w:t xml:space="preserve">  </w:t>
      </w:r>
    </w:p>
    <w:p w14:paraId="03C0FC13" w14:textId="77777777" w:rsidR="001B7778" w:rsidRDefault="001B7778" w:rsidP="001B7778">
      <w:pPr>
        <w:pStyle w:val="p1"/>
        <w:numPr>
          <w:ilvl w:val="0"/>
          <w:numId w:val="4"/>
        </w:numPr>
      </w:pPr>
      <w:r>
        <w:lastRenderedPageBreak/>
        <w:t xml:space="preserve">S. Greco, V. Mousseau, &amp; R. Słowiński (2008). “Multiple criteria ranking using a set of additive value functions (UTAGMS).” </w:t>
      </w:r>
      <w:r>
        <w:rPr>
          <w:i/>
          <w:iCs/>
        </w:rPr>
        <w:t>European Journal of Operational Research</w:t>
      </w:r>
      <w:r>
        <w:t>, 191(2), 416–436.</w:t>
      </w:r>
      <w:r>
        <w:rPr>
          <w:rStyle w:val="apple-converted-space"/>
          <w:rFonts w:eastAsiaTheme="majorEastAsia"/>
        </w:rPr>
        <w:t xml:space="preserve">  </w:t>
      </w:r>
    </w:p>
    <w:p w14:paraId="1D931F46" w14:textId="77777777" w:rsidR="001B7778" w:rsidRDefault="001B7778" w:rsidP="001B7778">
      <w:pPr>
        <w:pStyle w:val="p1"/>
        <w:numPr>
          <w:ilvl w:val="1"/>
          <w:numId w:val="4"/>
        </w:numPr>
      </w:pPr>
      <w:r>
        <w:t>See also robust/Group extensions: Greco et al. (2012, 2014).</w:t>
      </w:r>
      <w:r>
        <w:rPr>
          <w:rStyle w:val="apple-converted-space"/>
          <w:rFonts w:eastAsiaTheme="majorEastAsia"/>
        </w:rPr>
        <w:t xml:space="preserve">  </w:t>
      </w:r>
    </w:p>
    <w:p w14:paraId="30238703" w14:textId="77777777" w:rsidR="001B7778" w:rsidRDefault="001B7778" w:rsidP="001B7778">
      <w:pPr>
        <w:pStyle w:val="p1"/>
        <w:numPr>
          <w:ilvl w:val="0"/>
          <w:numId w:val="4"/>
        </w:numPr>
      </w:pPr>
      <w:r>
        <w:t xml:space="preserve">Joachims, T. (2002). “Optimizing Search Engines using Clickthrough Data.” </w:t>
      </w:r>
      <w:r>
        <w:rPr>
          <w:i/>
          <w:iCs/>
        </w:rPr>
        <w:t>KDD 2002</w:t>
      </w:r>
      <w:r>
        <w:t>. (Introduces a pairwise SVM ranking approach.)</w:t>
      </w:r>
      <w:r>
        <w:rPr>
          <w:rStyle w:val="apple-converted-space"/>
          <w:rFonts w:eastAsiaTheme="majorEastAsia"/>
        </w:rPr>
        <w:t xml:space="preserve">  </w:t>
      </w:r>
    </w:p>
    <w:p w14:paraId="5DFF5BF9" w14:textId="77777777" w:rsidR="001B7778" w:rsidRDefault="001B7778" w:rsidP="001B7778">
      <w:pPr>
        <w:pStyle w:val="p1"/>
        <w:numPr>
          <w:ilvl w:val="1"/>
          <w:numId w:val="4"/>
        </w:numPr>
      </w:pPr>
      <w:proofErr w:type="spellStart"/>
      <w:r>
        <w:t>RankSVM</w:t>
      </w:r>
      <w:proofErr w:type="spellEnd"/>
      <w:r>
        <w:t xml:space="preserve"> foundations and lineage: </w:t>
      </w:r>
      <w:proofErr w:type="spellStart"/>
      <w:r>
        <w:t>Herbrich</w:t>
      </w:r>
      <w:proofErr w:type="spellEnd"/>
      <w:r>
        <w:t xml:space="preserve">, Graepel &amp; Obermayer (1999/2000), </w:t>
      </w:r>
      <w:r>
        <w:rPr>
          <w:i/>
          <w:iCs/>
        </w:rPr>
        <w:t>Advances in Large Margin Classifiers</w:t>
      </w:r>
      <w:r>
        <w:t>; SVM-rank software page.</w:t>
      </w:r>
      <w:r>
        <w:rPr>
          <w:rStyle w:val="apple-converted-space"/>
          <w:rFonts w:eastAsiaTheme="majorEastAsia"/>
        </w:rPr>
        <w:t xml:space="preserve">  </w:t>
      </w:r>
    </w:p>
    <w:p w14:paraId="28785027" w14:textId="77777777" w:rsidR="001B7778" w:rsidRDefault="001B7778" w:rsidP="001B7778">
      <w:pPr>
        <w:pStyle w:val="p1"/>
        <w:numPr>
          <w:ilvl w:val="0"/>
          <w:numId w:val="4"/>
        </w:numPr>
      </w:pPr>
      <w:proofErr w:type="spellStart"/>
      <w:r>
        <w:t>Tamiz</w:t>
      </w:r>
      <w:proofErr w:type="spellEnd"/>
      <w:r>
        <w:t xml:space="preserve">, M., Jones, D., &amp; Romero, C. (1998). “Goal programming for decision making: An overview of the current state-of-the-art.” </w:t>
      </w:r>
      <w:r>
        <w:rPr>
          <w:i/>
          <w:iCs/>
        </w:rPr>
        <w:t>European Journal of Operational Research</w:t>
      </w:r>
      <w:r>
        <w:t>, 111(3), 569–581.</w:t>
      </w:r>
      <w:r>
        <w:rPr>
          <w:rStyle w:val="apple-converted-space"/>
          <w:rFonts w:eastAsiaTheme="majorEastAsia"/>
        </w:rPr>
        <w:t xml:space="preserve">  </w:t>
      </w:r>
    </w:p>
    <w:p w14:paraId="2AA7A2D7" w14:textId="77777777" w:rsidR="001B7778" w:rsidRDefault="001B7778" w:rsidP="001B7778">
      <w:pPr>
        <w:pStyle w:val="p1"/>
        <w:numPr>
          <w:ilvl w:val="0"/>
          <w:numId w:val="4"/>
        </w:numPr>
      </w:pPr>
      <w:r>
        <w:t xml:space="preserve">Stewart, T. J., Janssen, R., &amp; Van </w:t>
      </w:r>
      <w:proofErr w:type="spellStart"/>
      <w:r>
        <w:t>Herwijnen</w:t>
      </w:r>
      <w:proofErr w:type="spellEnd"/>
      <w:r>
        <w:t xml:space="preserve">, M. (2004). “A genetic algorithm approach to </w:t>
      </w:r>
      <w:proofErr w:type="spellStart"/>
      <w:r>
        <w:t>multiobjective</w:t>
      </w:r>
      <w:proofErr w:type="spellEnd"/>
      <w:r>
        <w:t xml:space="preserve"> land-use planning.” </w:t>
      </w:r>
      <w:r>
        <w:rPr>
          <w:i/>
          <w:iCs/>
        </w:rPr>
        <w:t>Computers &amp; Operations Research</w:t>
      </w:r>
      <w:r>
        <w:t>, 31(14), 2293–2313.</w:t>
      </w:r>
      <w:r>
        <w:rPr>
          <w:rStyle w:val="apple-converted-space"/>
          <w:rFonts w:eastAsiaTheme="majorEastAsia"/>
        </w:rPr>
        <w:t xml:space="preserve">  </w:t>
      </w:r>
    </w:p>
    <w:p w14:paraId="7C1ECE32" w14:textId="77777777" w:rsidR="001B7778" w:rsidRDefault="001B7778" w:rsidP="001B7778">
      <w:pPr>
        <w:pStyle w:val="p1"/>
        <w:numPr>
          <w:ilvl w:val="0"/>
          <w:numId w:val="4"/>
        </w:numPr>
      </w:pPr>
      <w:r>
        <w:t xml:space="preserve">Cao, K., Batty, M., Huang, B., Liu, Y., Yu, L., &amp; Chen, J. (2011). “Spatial multi-objective land-use optimization: Extensions to the non-dominated sorting genetic algorithm-II.” </w:t>
      </w:r>
      <w:r>
        <w:rPr>
          <w:i/>
          <w:iCs/>
        </w:rPr>
        <w:t>International Journal of Geographical Information Science</w:t>
      </w:r>
      <w:r>
        <w:t>, 25(12), 1949–1969.</w:t>
      </w:r>
      <w:r>
        <w:rPr>
          <w:rStyle w:val="apple-converted-space"/>
          <w:rFonts w:eastAsiaTheme="majorEastAsia"/>
        </w:rPr>
        <w:t xml:space="preserve">  </w:t>
      </w:r>
    </w:p>
    <w:p w14:paraId="44D947EE" w14:textId="77777777" w:rsidR="001B7778" w:rsidRDefault="00CE2341" w:rsidP="001B7778">
      <w:pPr>
        <w:rPr>
          <w:rStyle w:val="s1"/>
          <w:rFonts w:eastAsiaTheme="majorEastAsia"/>
        </w:rPr>
      </w:pPr>
      <w:r w:rsidRPr="00CE2341">
        <w:rPr>
          <w:rStyle w:val="s1"/>
          <w:rFonts w:eastAsiaTheme="majorEastAsia"/>
          <w:noProof/>
          <w14:ligatures w14:val="standardContextual"/>
        </w:rPr>
        <w:pict w14:anchorId="5C6423B6">
          <v:rect id="_x0000_i1025" alt="" style="width:468pt;height:.05pt;mso-width-percent:0;mso-height-percent:0;mso-width-percent:0;mso-height-percent:0" o:hralign="center" o:hrstd="t" o:hr="t" fillcolor="#a0a0a0" stroked="f"/>
        </w:pict>
      </w:r>
    </w:p>
    <w:p w14:paraId="56A7D201" w14:textId="77777777" w:rsidR="001B7778" w:rsidRPr="000C3432" w:rsidRDefault="001B7778" w:rsidP="005143B7"/>
    <w:sectPr w:rsidR="001B7778" w:rsidRPr="000C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ypjhbBnytqfAdvTT5ada87cc">
    <w:altName w:val="Cambria"/>
    <w:panose1 w:val="020B0604020202020204"/>
    <w:charset w:val="00"/>
    <w:family w:val="roman"/>
    <w:notTrueType/>
    <w:pitch w:val="default"/>
  </w:font>
  <w:font w:name="LflpptNsyyvwAdvTT5ada87cc+fb">
    <w:altName w:val="Cambria"/>
    <w:panose1 w:val="020B0604020202020204"/>
    <w:charset w:val="00"/>
    <w:family w:val="roman"/>
    <w:notTrueType/>
    <w:pitch w:val="default"/>
  </w:font>
  <w:font w:name="RjdpkrTvvktpAdvTT3713a231+2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1097"/>
    <w:multiLevelType w:val="hybridMultilevel"/>
    <w:tmpl w:val="B678A054"/>
    <w:lvl w:ilvl="0" w:tplc="831C3D64">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61BB"/>
    <w:multiLevelType w:val="multilevel"/>
    <w:tmpl w:val="3718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935B8"/>
    <w:multiLevelType w:val="hybridMultilevel"/>
    <w:tmpl w:val="577C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0356D"/>
    <w:multiLevelType w:val="hybridMultilevel"/>
    <w:tmpl w:val="9B0803BC"/>
    <w:lvl w:ilvl="0" w:tplc="F3968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1917AE"/>
    <w:multiLevelType w:val="hybridMultilevel"/>
    <w:tmpl w:val="517A09A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944207">
    <w:abstractNumId w:val="2"/>
  </w:num>
  <w:num w:numId="2" w16cid:durableId="1732119349">
    <w:abstractNumId w:val="4"/>
  </w:num>
  <w:num w:numId="3" w16cid:durableId="1609049235">
    <w:abstractNumId w:val="0"/>
  </w:num>
  <w:num w:numId="4" w16cid:durableId="909273196">
    <w:abstractNumId w:val="1"/>
  </w:num>
  <w:num w:numId="5" w16cid:durableId="1273561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A4"/>
    <w:rsid w:val="00034C5D"/>
    <w:rsid w:val="000933F0"/>
    <w:rsid w:val="000A0154"/>
    <w:rsid w:val="000A7C27"/>
    <w:rsid w:val="000B319B"/>
    <w:rsid w:val="000C3432"/>
    <w:rsid w:val="001217D2"/>
    <w:rsid w:val="00172D8D"/>
    <w:rsid w:val="001A5698"/>
    <w:rsid w:val="001B7778"/>
    <w:rsid w:val="00231800"/>
    <w:rsid w:val="00291DA9"/>
    <w:rsid w:val="00292D84"/>
    <w:rsid w:val="002A6965"/>
    <w:rsid w:val="0031540D"/>
    <w:rsid w:val="00330853"/>
    <w:rsid w:val="00336FCE"/>
    <w:rsid w:val="0036078C"/>
    <w:rsid w:val="003B4391"/>
    <w:rsid w:val="003B75D9"/>
    <w:rsid w:val="003C6A5D"/>
    <w:rsid w:val="003F4EC1"/>
    <w:rsid w:val="00424550"/>
    <w:rsid w:val="0047672D"/>
    <w:rsid w:val="00476E8D"/>
    <w:rsid w:val="004B146F"/>
    <w:rsid w:val="005143B7"/>
    <w:rsid w:val="00533695"/>
    <w:rsid w:val="005B5BD2"/>
    <w:rsid w:val="005D083A"/>
    <w:rsid w:val="005D4EB6"/>
    <w:rsid w:val="00622ECD"/>
    <w:rsid w:val="00644852"/>
    <w:rsid w:val="00664ADF"/>
    <w:rsid w:val="006B43F2"/>
    <w:rsid w:val="00702284"/>
    <w:rsid w:val="00750796"/>
    <w:rsid w:val="007A1438"/>
    <w:rsid w:val="007D65DD"/>
    <w:rsid w:val="00832D94"/>
    <w:rsid w:val="008D3AD1"/>
    <w:rsid w:val="008F31E2"/>
    <w:rsid w:val="00957EC7"/>
    <w:rsid w:val="0096022C"/>
    <w:rsid w:val="009B2098"/>
    <w:rsid w:val="009C7C0D"/>
    <w:rsid w:val="009D3CD3"/>
    <w:rsid w:val="00A063A4"/>
    <w:rsid w:val="00A179B4"/>
    <w:rsid w:val="00A4553F"/>
    <w:rsid w:val="00A802DE"/>
    <w:rsid w:val="00A84F8B"/>
    <w:rsid w:val="00AC0F0D"/>
    <w:rsid w:val="00C16BA6"/>
    <w:rsid w:val="00C35F33"/>
    <w:rsid w:val="00C75B39"/>
    <w:rsid w:val="00CE2341"/>
    <w:rsid w:val="00CF6A17"/>
    <w:rsid w:val="00D02D93"/>
    <w:rsid w:val="00ED0E81"/>
    <w:rsid w:val="00EE3B04"/>
    <w:rsid w:val="00F028A8"/>
    <w:rsid w:val="00F11E84"/>
    <w:rsid w:val="00F56763"/>
    <w:rsid w:val="00F7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2A5E"/>
  <w15:chartTrackingRefBased/>
  <w15:docId w15:val="{E0370765-27C6-4C63-9465-4D8434EA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77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06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3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3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3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3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3A4"/>
    <w:rPr>
      <w:rFonts w:eastAsiaTheme="majorEastAsia" w:cstheme="majorBidi"/>
      <w:color w:val="272727" w:themeColor="text1" w:themeTint="D8"/>
    </w:rPr>
  </w:style>
  <w:style w:type="paragraph" w:styleId="Title">
    <w:name w:val="Title"/>
    <w:basedOn w:val="Normal"/>
    <w:next w:val="Normal"/>
    <w:link w:val="TitleChar"/>
    <w:uiPriority w:val="10"/>
    <w:qFormat/>
    <w:rsid w:val="00A063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3A4"/>
    <w:pPr>
      <w:spacing w:before="160"/>
      <w:jc w:val="center"/>
    </w:pPr>
    <w:rPr>
      <w:i/>
      <w:iCs/>
      <w:color w:val="404040" w:themeColor="text1" w:themeTint="BF"/>
    </w:rPr>
  </w:style>
  <w:style w:type="character" w:customStyle="1" w:styleId="QuoteChar">
    <w:name w:val="Quote Char"/>
    <w:basedOn w:val="DefaultParagraphFont"/>
    <w:link w:val="Quote"/>
    <w:uiPriority w:val="29"/>
    <w:rsid w:val="00A063A4"/>
    <w:rPr>
      <w:i/>
      <w:iCs/>
      <w:color w:val="404040" w:themeColor="text1" w:themeTint="BF"/>
    </w:rPr>
  </w:style>
  <w:style w:type="paragraph" w:styleId="ListParagraph">
    <w:name w:val="List Paragraph"/>
    <w:basedOn w:val="Normal"/>
    <w:uiPriority w:val="34"/>
    <w:qFormat/>
    <w:rsid w:val="00A063A4"/>
    <w:pPr>
      <w:ind w:left="720"/>
      <w:contextualSpacing/>
    </w:pPr>
  </w:style>
  <w:style w:type="character" w:styleId="IntenseEmphasis">
    <w:name w:val="Intense Emphasis"/>
    <w:basedOn w:val="DefaultParagraphFont"/>
    <w:uiPriority w:val="21"/>
    <w:qFormat/>
    <w:rsid w:val="00A063A4"/>
    <w:rPr>
      <w:i/>
      <w:iCs/>
      <w:color w:val="0F4761" w:themeColor="accent1" w:themeShade="BF"/>
    </w:rPr>
  </w:style>
  <w:style w:type="paragraph" w:styleId="IntenseQuote">
    <w:name w:val="Intense Quote"/>
    <w:basedOn w:val="Normal"/>
    <w:next w:val="Normal"/>
    <w:link w:val="IntenseQuoteChar"/>
    <w:uiPriority w:val="30"/>
    <w:qFormat/>
    <w:rsid w:val="00A06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3A4"/>
    <w:rPr>
      <w:i/>
      <w:iCs/>
      <w:color w:val="0F4761" w:themeColor="accent1" w:themeShade="BF"/>
    </w:rPr>
  </w:style>
  <w:style w:type="character" w:styleId="IntenseReference">
    <w:name w:val="Intense Reference"/>
    <w:basedOn w:val="DefaultParagraphFont"/>
    <w:uiPriority w:val="32"/>
    <w:qFormat/>
    <w:rsid w:val="00A063A4"/>
    <w:rPr>
      <w:b/>
      <w:bCs/>
      <w:smallCaps/>
      <w:color w:val="0F4761" w:themeColor="accent1" w:themeShade="BF"/>
      <w:spacing w:val="5"/>
    </w:rPr>
  </w:style>
  <w:style w:type="paragraph" w:styleId="NormalWeb">
    <w:name w:val="Normal (Web)"/>
    <w:basedOn w:val="Normal"/>
    <w:uiPriority w:val="99"/>
    <w:semiHidden/>
    <w:unhideWhenUsed/>
    <w:rsid w:val="00EE3B04"/>
    <w:pPr>
      <w:spacing w:before="100" w:beforeAutospacing="1" w:after="100" w:afterAutospacing="1"/>
    </w:pPr>
  </w:style>
  <w:style w:type="table" w:styleId="TableGrid">
    <w:name w:val="Table Grid"/>
    <w:basedOn w:val="TableNormal"/>
    <w:uiPriority w:val="39"/>
    <w:rsid w:val="000C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B97"/>
    <w:rPr>
      <w:color w:val="666666"/>
    </w:rPr>
  </w:style>
  <w:style w:type="paragraph" w:customStyle="1" w:styleId="p1">
    <w:name w:val="p1"/>
    <w:basedOn w:val="Normal"/>
    <w:rsid w:val="001B7778"/>
    <w:pPr>
      <w:spacing w:before="100" w:beforeAutospacing="1" w:after="100" w:afterAutospacing="1"/>
    </w:pPr>
  </w:style>
  <w:style w:type="character" w:customStyle="1" w:styleId="s1">
    <w:name w:val="s1"/>
    <w:basedOn w:val="DefaultParagraphFont"/>
    <w:rsid w:val="001B7778"/>
  </w:style>
  <w:style w:type="character" w:customStyle="1" w:styleId="apple-converted-space">
    <w:name w:val="apple-converted-space"/>
    <w:basedOn w:val="DefaultParagraphFont"/>
    <w:rsid w:val="001B7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7282">
      <w:bodyDiv w:val="1"/>
      <w:marLeft w:val="0"/>
      <w:marRight w:val="0"/>
      <w:marTop w:val="0"/>
      <w:marBottom w:val="0"/>
      <w:divBdr>
        <w:top w:val="none" w:sz="0" w:space="0" w:color="auto"/>
        <w:left w:val="none" w:sz="0" w:space="0" w:color="auto"/>
        <w:bottom w:val="none" w:sz="0" w:space="0" w:color="auto"/>
        <w:right w:val="none" w:sz="0" w:space="0" w:color="auto"/>
      </w:divBdr>
    </w:div>
    <w:div w:id="108934519">
      <w:bodyDiv w:val="1"/>
      <w:marLeft w:val="0"/>
      <w:marRight w:val="0"/>
      <w:marTop w:val="0"/>
      <w:marBottom w:val="0"/>
      <w:divBdr>
        <w:top w:val="none" w:sz="0" w:space="0" w:color="auto"/>
        <w:left w:val="none" w:sz="0" w:space="0" w:color="auto"/>
        <w:bottom w:val="none" w:sz="0" w:space="0" w:color="auto"/>
        <w:right w:val="none" w:sz="0" w:space="0" w:color="auto"/>
      </w:divBdr>
      <w:divsChild>
        <w:div w:id="227303648">
          <w:marLeft w:val="0"/>
          <w:marRight w:val="0"/>
          <w:marTop w:val="0"/>
          <w:marBottom w:val="0"/>
          <w:divBdr>
            <w:top w:val="none" w:sz="0" w:space="0" w:color="auto"/>
            <w:left w:val="none" w:sz="0" w:space="0" w:color="auto"/>
            <w:bottom w:val="none" w:sz="0" w:space="0" w:color="auto"/>
            <w:right w:val="none" w:sz="0" w:space="0" w:color="auto"/>
          </w:divBdr>
          <w:divsChild>
            <w:div w:id="1499730202">
              <w:marLeft w:val="0"/>
              <w:marRight w:val="0"/>
              <w:marTop w:val="0"/>
              <w:marBottom w:val="0"/>
              <w:divBdr>
                <w:top w:val="none" w:sz="0" w:space="0" w:color="auto"/>
                <w:left w:val="none" w:sz="0" w:space="0" w:color="auto"/>
                <w:bottom w:val="none" w:sz="0" w:space="0" w:color="auto"/>
                <w:right w:val="none" w:sz="0" w:space="0" w:color="auto"/>
              </w:divBdr>
              <w:divsChild>
                <w:div w:id="9142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0893">
      <w:bodyDiv w:val="1"/>
      <w:marLeft w:val="0"/>
      <w:marRight w:val="0"/>
      <w:marTop w:val="0"/>
      <w:marBottom w:val="0"/>
      <w:divBdr>
        <w:top w:val="none" w:sz="0" w:space="0" w:color="auto"/>
        <w:left w:val="none" w:sz="0" w:space="0" w:color="auto"/>
        <w:bottom w:val="none" w:sz="0" w:space="0" w:color="auto"/>
        <w:right w:val="none" w:sz="0" w:space="0" w:color="auto"/>
      </w:divBdr>
    </w:div>
    <w:div w:id="336422241">
      <w:bodyDiv w:val="1"/>
      <w:marLeft w:val="0"/>
      <w:marRight w:val="0"/>
      <w:marTop w:val="0"/>
      <w:marBottom w:val="0"/>
      <w:divBdr>
        <w:top w:val="none" w:sz="0" w:space="0" w:color="auto"/>
        <w:left w:val="none" w:sz="0" w:space="0" w:color="auto"/>
        <w:bottom w:val="none" w:sz="0" w:space="0" w:color="auto"/>
        <w:right w:val="none" w:sz="0" w:space="0" w:color="auto"/>
      </w:divBdr>
    </w:div>
    <w:div w:id="398332289">
      <w:bodyDiv w:val="1"/>
      <w:marLeft w:val="0"/>
      <w:marRight w:val="0"/>
      <w:marTop w:val="0"/>
      <w:marBottom w:val="0"/>
      <w:divBdr>
        <w:top w:val="none" w:sz="0" w:space="0" w:color="auto"/>
        <w:left w:val="none" w:sz="0" w:space="0" w:color="auto"/>
        <w:bottom w:val="none" w:sz="0" w:space="0" w:color="auto"/>
        <w:right w:val="none" w:sz="0" w:space="0" w:color="auto"/>
      </w:divBdr>
    </w:div>
    <w:div w:id="420106378">
      <w:bodyDiv w:val="1"/>
      <w:marLeft w:val="0"/>
      <w:marRight w:val="0"/>
      <w:marTop w:val="0"/>
      <w:marBottom w:val="0"/>
      <w:divBdr>
        <w:top w:val="none" w:sz="0" w:space="0" w:color="auto"/>
        <w:left w:val="none" w:sz="0" w:space="0" w:color="auto"/>
        <w:bottom w:val="none" w:sz="0" w:space="0" w:color="auto"/>
        <w:right w:val="none" w:sz="0" w:space="0" w:color="auto"/>
      </w:divBdr>
    </w:div>
    <w:div w:id="426342864">
      <w:bodyDiv w:val="1"/>
      <w:marLeft w:val="0"/>
      <w:marRight w:val="0"/>
      <w:marTop w:val="0"/>
      <w:marBottom w:val="0"/>
      <w:divBdr>
        <w:top w:val="none" w:sz="0" w:space="0" w:color="auto"/>
        <w:left w:val="none" w:sz="0" w:space="0" w:color="auto"/>
        <w:bottom w:val="none" w:sz="0" w:space="0" w:color="auto"/>
        <w:right w:val="none" w:sz="0" w:space="0" w:color="auto"/>
      </w:divBdr>
    </w:div>
    <w:div w:id="513300381">
      <w:bodyDiv w:val="1"/>
      <w:marLeft w:val="0"/>
      <w:marRight w:val="0"/>
      <w:marTop w:val="0"/>
      <w:marBottom w:val="0"/>
      <w:divBdr>
        <w:top w:val="none" w:sz="0" w:space="0" w:color="auto"/>
        <w:left w:val="none" w:sz="0" w:space="0" w:color="auto"/>
        <w:bottom w:val="none" w:sz="0" w:space="0" w:color="auto"/>
        <w:right w:val="none" w:sz="0" w:space="0" w:color="auto"/>
      </w:divBdr>
    </w:div>
    <w:div w:id="537015531">
      <w:bodyDiv w:val="1"/>
      <w:marLeft w:val="0"/>
      <w:marRight w:val="0"/>
      <w:marTop w:val="0"/>
      <w:marBottom w:val="0"/>
      <w:divBdr>
        <w:top w:val="none" w:sz="0" w:space="0" w:color="auto"/>
        <w:left w:val="none" w:sz="0" w:space="0" w:color="auto"/>
        <w:bottom w:val="none" w:sz="0" w:space="0" w:color="auto"/>
        <w:right w:val="none" w:sz="0" w:space="0" w:color="auto"/>
      </w:divBdr>
    </w:div>
    <w:div w:id="575092143">
      <w:bodyDiv w:val="1"/>
      <w:marLeft w:val="0"/>
      <w:marRight w:val="0"/>
      <w:marTop w:val="0"/>
      <w:marBottom w:val="0"/>
      <w:divBdr>
        <w:top w:val="none" w:sz="0" w:space="0" w:color="auto"/>
        <w:left w:val="none" w:sz="0" w:space="0" w:color="auto"/>
        <w:bottom w:val="none" w:sz="0" w:space="0" w:color="auto"/>
        <w:right w:val="none" w:sz="0" w:space="0" w:color="auto"/>
      </w:divBdr>
    </w:div>
    <w:div w:id="638388212">
      <w:bodyDiv w:val="1"/>
      <w:marLeft w:val="0"/>
      <w:marRight w:val="0"/>
      <w:marTop w:val="0"/>
      <w:marBottom w:val="0"/>
      <w:divBdr>
        <w:top w:val="none" w:sz="0" w:space="0" w:color="auto"/>
        <w:left w:val="none" w:sz="0" w:space="0" w:color="auto"/>
        <w:bottom w:val="none" w:sz="0" w:space="0" w:color="auto"/>
        <w:right w:val="none" w:sz="0" w:space="0" w:color="auto"/>
      </w:divBdr>
    </w:div>
    <w:div w:id="652415228">
      <w:bodyDiv w:val="1"/>
      <w:marLeft w:val="0"/>
      <w:marRight w:val="0"/>
      <w:marTop w:val="0"/>
      <w:marBottom w:val="0"/>
      <w:divBdr>
        <w:top w:val="none" w:sz="0" w:space="0" w:color="auto"/>
        <w:left w:val="none" w:sz="0" w:space="0" w:color="auto"/>
        <w:bottom w:val="none" w:sz="0" w:space="0" w:color="auto"/>
        <w:right w:val="none" w:sz="0" w:space="0" w:color="auto"/>
      </w:divBdr>
    </w:div>
    <w:div w:id="665935998">
      <w:bodyDiv w:val="1"/>
      <w:marLeft w:val="0"/>
      <w:marRight w:val="0"/>
      <w:marTop w:val="0"/>
      <w:marBottom w:val="0"/>
      <w:divBdr>
        <w:top w:val="none" w:sz="0" w:space="0" w:color="auto"/>
        <w:left w:val="none" w:sz="0" w:space="0" w:color="auto"/>
        <w:bottom w:val="none" w:sz="0" w:space="0" w:color="auto"/>
        <w:right w:val="none" w:sz="0" w:space="0" w:color="auto"/>
      </w:divBdr>
    </w:div>
    <w:div w:id="822116156">
      <w:bodyDiv w:val="1"/>
      <w:marLeft w:val="0"/>
      <w:marRight w:val="0"/>
      <w:marTop w:val="0"/>
      <w:marBottom w:val="0"/>
      <w:divBdr>
        <w:top w:val="none" w:sz="0" w:space="0" w:color="auto"/>
        <w:left w:val="none" w:sz="0" w:space="0" w:color="auto"/>
        <w:bottom w:val="none" w:sz="0" w:space="0" w:color="auto"/>
        <w:right w:val="none" w:sz="0" w:space="0" w:color="auto"/>
      </w:divBdr>
    </w:div>
    <w:div w:id="921641198">
      <w:bodyDiv w:val="1"/>
      <w:marLeft w:val="0"/>
      <w:marRight w:val="0"/>
      <w:marTop w:val="0"/>
      <w:marBottom w:val="0"/>
      <w:divBdr>
        <w:top w:val="none" w:sz="0" w:space="0" w:color="auto"/>
        <w:left w:val="none" w:sz="0" w:space="0" w:color="auto"/>
        <w:bottom w:val="none" w:sz="0" w:space="0" w:color="auto"/>
        <w:right w:val="none" w:sz="0" w:space="0" w:color="auto"/>
      </w:divBdr>
    </w:div>
    <w:div w:id="1032536563">
      <w:bodyDiv w:val="1"/>
      <w:marLeft w:val="0"/>
      <w:marRight w:val="0"/>
      <w:marTop w:val="0"/>
      <w:marBottom w:val="0"/>
      <w:divBdr>
        <w:top w:val="none" w:sz="0" w:space="0" w:color="auto"/>
        <w:left w:val="none" w:sz="0" w:space="0" w:color="auto"/>
        <w:bottom w:val="none" w:sz="0" w:space="0" w:color="auto"/>
        <w:right w:val="none" w:sz="0" w:space="0" w:color="auto"/>
      </w:divBdr>
    </w:div>
    <w:div w:id="1187600265">
      <w:bodyDiv w:val="1"/>
      <w:marLeft w:val="0"/>
      <w:marRight w:val="0"/>
      <w:marTop w:val="0"/>
      <w:marBottom w:val="0"/>
      <w:divBdr>
        <w:top w:val="none" w:sz="0" w:space="0" w:color="auto"/>
        <w:left w:val="none" w:sz="0" w:space="0" w:color="auto"/>
        <w:bottom w:val="none" w:sz="0" w:space="0" w:color="auto"/>
        <w:right w:val="none" w:sz="0" w:space="0" w:color="auto"/>
      </w:divBdr>
    </w:div>
    <w:div w:id="1283029573">
      <w:bodyDiv w:val="1"/>
      <w:marLeft w:val="0"/>
      <w:marRight w:val="0"/>
      <w:marTop w:val="0"/>
      <w:marBottom w:val="0"/>
      <w:divBdr>
        <w:top w:val="none" w:sz="0" w:space="0" w:color="auto"/>
        <w:left w:val="none" w:sz="0" w:space="0" w:color="auto"/>
        <w:bottom w:val="none" w:sz="0" w:space="0" w:color="auto"/>
        <w:right w:val="none" w:sz="0" w:space="0" w:color="auto"/>
      </w:divBdr>
    </w:div>
    <w:div w:id="1350373540">
      <w:bodyDiv w:val="1"/>
      <w:marLeft w:val="0"/>
      <w:marRight w:val="0"/>
      <w:marTop w:val="0"/>
      <w:marBottom w:val="0"/>
      <w:divBdr>
        <w:top w:val="none" w:sz="0" w:space="0" w:color="auto"/>
        <w:left w:val="none" w:sz="0" w:space="0" w:color="auto"/>
        <w:bottom w:val="none" w:sz="0" w:space="0" w:color="auto"/>
        <w:right w:val="none" w:sz="0" w:space="0" w:color="auto"/>
      </w:divBdr>
    </w:div>
    <w:div w:id="1682008471">
      <w:bodyDiv w:val="1"/>
      <w:marLeft w:val="0"/>
      <w:marRight w:val="0"/>
      <w:marTop w:val="0"/>
      <w:marBottom w:val="0"/>
      <w:divBdr>
        <w:top w:val="none" w:sz="0" w:space="0" w:color="auto"/>
        <w:left w:val="none" w:sz="0" w:space="0" w:color="auto"/>
        <w:bottom w:val="none" w:sz="0" w:space="0" w:color="auto"/>
        <w:right w:val="none" w:sz="0" w:space="0" w:color="auto"/>
      </w:divBdr>
    </w:div>
    <w:div w:id="1852449933">
      <w:bodyDiv w:val="1"/>
      <w:marLeft w:val="0"/>
      <w:marRight w:val="0"/>
      <w:marTop w:val="0"/>
      <w:marBottom w:val="0"/>
      <w:divBdr>
        <w:top w:val="none" w:sz="0" w:space="0" w:color="auto"/>
        <w:left w:val="none" w:sz="0" w:space="0" w:color="auto"/>
        <w:bottom w:val="none" w:sz="0" w:space="0" w:color="auto"/>
        <w:right w:val="none" w:sz="0" w:space="0" w:color="auto"/>
      </w:divBdr>
    </w:div>
    <w:div w:id="1886602721">
      <w:bodyDiv w:val="1"/>
      <w:marLeft w:val="0"/>
      <w:marRight w:val="0"/>
      <w:marTop w:val="0"/>
      <w:marBottom w:val="0"/>
      <w:divBdr>
        <w:top w:val="none" w:sz="0" w:space="0" w:color="auto"/>
        <w:left w:val="none" w:sz="0" w:space="0" w:color="auto"/>
        <w:bottom w:val="none" w:sz="0" w:space="0" w:color="auto"/>
        <w:right w:val="none" w:sz="0" w:space="0" w:color="auto"/>
      </w:divBdr>
    </w:div>
    <w:div w:id="1887141678">
      <w:bodyDiv w:val="1"/>
      <w:marLeft w:val="0"/>
      <w:marRight w:val="0"/>
      <w:marTop w:val="0"/>
      <w:marBottom w:val="0"/>
      <w:divBdr>
        <w:top w:val="none" w:sz="0" w:space="0" w:color="auto"/>
        <w:left w:val="none" w:sz="0" w:space="0" w:color="auto"/>
        <w:bottom w:val="none" w:sz="0" w:space="0" w:color="auto"/>
        <w:right w:val="none" w:sz="0" w:space="0" w:color="auto"/>
      </w:divBdr>
    </w:div>
    <w:div w:id="1945723907">
      <w:bodyDiv w:val="1"/>
      <w:marLeft w:val="0"/>
      <w:marRight w:val="0"/>
      <w:marTop w:val="0"/>
      <w:marBottom w:val="0"/>
      <w:divBdr>
        <w:top w:val="none" w:sz="0" w:space="0" w:color="auto"/>
        <w:left w:val="none" w:sz="0" w:space="0" w:color="auto"/>
        <w:bottom w:val="none" w:sz="0" w:space="0" w:color="auto"/>
        <w:right w:val="none" w:sz="0" w:space="0" w:color="auto"/>
      </w:divBdr>
    </w:div>
    <w:div w:id="2000617614">
      <w:bodyDiv w:val="1"/>
      <w:marLeft w:val="0"/>
      <w:marRight w:val="0"/>
      <w:marTop w:val="0"/>
      <w:marBottom w:val="0"/>
      <w:divBdr>
        <w:top w:val="none" w:sz="0" w:space="0" w:color="auto"/>
        <w:left w:val="none" w:sz="0" w:space="0" w:color="auto"/>
        <w:bottom w:val="none" w:sz="0" w:space="0" w:color="auto"/>
        <w:right w:val="none" w:sz="0" w:space="0" w:color="auto"/>
      </w:divBdr>
    </w:div>
    <w:div w:id="2007323303">
      <w:bodyDiv w:val="1"/>
      <w:marLeft w:val="0"/>
      <w:marRight w:val="0"/>
      <w:marTop w:val="0"/>
      <w:marBottom w:val="0"/>
      <w:divBdr>
        <w:top w:val="none" w:sz="0" w:space="0" w:color="auto"/>
        <w:left w:val="none" w:sz="0" w:space="0" w:color="auto"/>
        <w:bottom w:val="none" w:sz="0" w:space="0" w:color="auto"/>
        <w:right w:val="none" w:sz="0" w:space="0" w:color="auto"/>
      </w:divBdr>
    </w:div>
    <w:div w:id="204440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7</Pages>
  <Words>1745</Words>
  <Characters>10492</Characters>
  <Application>Microsoft Office Word</Application>
  <DocSecurity>0</DocSecurity>
  <Lines>437</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Funk</dc:creator>
  <cp:keywords/>
  <dc:description/>
  <cp:lastModifiedBy>Theo Funk</cp:lastModifiedBy>
  <cp:revision>2</cp:revision>
  <dcterms:created xsi:type="dcterms:W3CDTF">2025-08-25T21:33:00Z</dcterms:created>
  <dcterms:modified xsi:type="dcterms:W3CDTF">2025-08-28T00:55:00Z</dcterms:modified>
</cp:coreProperties>
</file>