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FF82" w14:textId="77777777" w:rsidR="009644C4" w:rsidRDefault="009644C4" w:rsidP="009644C4">
      <w:pPr>
        <w:rPr>
          <w:b/>
          <w:bCs/>
          <w:sz w:val="28"/>
          <w:szCs w:val="28"/>
        </w:rPr>
      </w:pPr>
      <w:r>
        <w:rPr>
          <w:b/>
          <w:bCs/>
          <w:sz w:val="28"/>
          <w:szCs w:val="28"/>
        </w:rPr>
        <w:t>3. Study Region and Data (ROUGH)</w:t>
      </w:r>
    </w:p>
    <w:p w14:paraId="388C08DA" w14:textId="77777777" w:rsidR="009644C4" w:rsidRDefault="009644C4" w:rsidP="009644C4">
      <w:pPr>
        <w:rPr>
          <w:b/>
          <w:bCs/>
          <w:sz w:val="28"/>
          <w:szCs w:val="28"/>
        </w:rPr>
      </w:pPr>
    </w:p>
    <w:p w14:paraId="6F3C58E0" w14:textId="77777777" w:rsidR="009644C4" w:rsidRDefault="009644C4" w:rsidP="009644C4">
      <w:r>
        <w:tab/>
        <w:t xml:space="preserve">Santa Barbara, located on the coast of Southern California (Figure 3.1), is a known area of high fire risk (Calkin et al., YEAR; Moritz et al., 2014). Within this region, studies and experts have additionally noted the Wildland Urban Interface (WUI) of this region to be at particular risk of devastating wildfire (Moritz et al., 2014; Murray et al., 2023). This region, as shown in figure 3.2, represents the regions of Santa Barbara where wildfire risks created by standard factors (slope, vegetation, fuel moisture, etc.) intermix with urban development, posing increased risks of loss and conflagration (SOURCE). </w:t>
      </w:r>
    </w:p>
    <w:p w14:paraId="792A86BA" w14:textId="77777777" w:rsidR="009644C4" w:rsidRDefault="009644C4" w:rsidP="009644C4"/>
    <w:p w14:paraId="6F7F896D" w14:textId="77777777" w:rsidR="009644C4" w:rsidRDefault="009644C4" w:rsidP="009644C4"/>
    <w:p w14:paraId="0AC7FE2E" w14:textId="77777777" w:rsidR="009644C4" w:rsidRPr="000414D1" w:rsidRDefault="009644C4" w:rsidP="009644C4">
      <w:pPr>
        <w:jc w:val="center"/>
        <w:rPr>
          <w:b/>
          <w:bCs/>
        </w:rPr>
      </w:pPr>
      <w:r>
        <w:rPr>
          <w:b/>
          <w:bCs/>
        </w:rPr>
        <w:t>Figure 3.1: Map of Santa Barbara within CA</w:t>
      </w:r>
    </w:p>
    <w:p w14:paraId="356EED9F" w14:textId="77777777" w:rsidR="009644C4" w:rsidRDefault="009644C4" w:rsidP="009644C4"/>
    <w:p w14:paraId="7B9ECE77" w14:textId="77777777" w:rsidR="009644C4" w:rsidRDefault="009644C4" w:rsidP="009644C4">
      <w:pPr>
        <w:jc w:val="center"/>
        <w:rPr>
          <w:b/>
          <w:bCs/>
        </w:rPr>
      </w:pPr>
      <w:r>
        <w:rPr>
          <w:b/>
          <w:bCs/>
        </w:rPr>
        <w:t>Figure 3.2: Map of Santa Barbara’s Wildland Urban Interface</w:t>
      </w:r>
    </w:p>
    <w:p w14:paraId="1663A60A" w14:textId="77777777" w:rsidR="009644C4" w:rsidRDefault="009644C4" w:rsidP="009644C4">
      <w:pPr>
        <w:jc w:val="center"/>
        <w:rPr>
          <w:b/>
          <w:bCs/>
        </w:rPr>
      </w:pPr>
    </w:p>
    <w:p w14:paraId="07E59C63" w14:textId="77777777" w:rsidR="009644C4" w:rsidRDefault="009644C4" w:rsidP="009644C4">
      <w:r>
        <w:rPr>
          <w:b/>
          <w:bCs/>
        </w:rPr>
        <w:tab/>
      </w:r>
      <w:r>
        <w:t xml:space="preserve">There are many different regions, neighborhoods, or parcels that could be identified for fire risk mitigation priority within Santa Barbara’s Wildland Urban Interface (Murray et al., 2023?) For a demonstration of preference disaggregation in inverse utility derivation, we propose three separate rook-contiguous sets of parcels stratified across Santa Barbara’s Wildland Urban Interface that may be deemed as high risk. Given that all three sets lie within the WUI, we can perform our analysis under local MCDA conditions, renormalizing data to use parcels within the WUI as the extent of our dataset. This localization of the process can support decision makers in better understanding what may distinguish these preferred sets from all others given our factors.  </w:t>
      </w:r>
    </w:p>
    <w:p w14:paraId="0EAD31C6" w14:textId="77777777" w:rsidR="009644C4" w:rsidRDefault="009644C4" w:rsidP="009644C4"/>
    <w:p w14:paraId="255B2810" w14:textId="77777777" w:rsidR="009644C4" w:rsidRPr="00005B8B" w:rsidRDefault="009644C4" w:rsidP="009644C4">
      <w:pPr>
        <w:jc w:val="center"/>
        <w:rPr>
          <w:b/>
          <w:bCs/>
        </w:rPr>
      </w:pPr>
      <w:r>
        <w:rPr>
          <w:b/>
          <w:bCs/>
        </w:rPr>
        <w:t>Figure 3.3: Map of Selected Sets</w:t>
      </w:r>
    </w:p>
    <w:p w14:paraId="351CAAF4" w14:textId="77777777" w:rsidR="009644C4" w:rsidRDefault="009644C4" w:rsidP="009644C4">
      <w:r>
        <w:tab/>
        <w:t xml:space="preserve">In terms of criteria, there are several factors in which we consider separate from what is commonly used in Wildland Fire risk modeling. The combination of these factors attempts to integrate multiple risk considerations for fire: Wildland fire spread (slope, Fire Behavior Fuel model), Conflagration and structure loss (areal structure density by count), and mitigation (Proximity and coverage by agriculture or other fuel breaks, travel time from the nearest fire station). Below is a table of our factors: </w:t>
      </w:r>
    </w:p>
    <w:p w14:paraId="27D734E0" w14:textId="77777777" w:rsidR="009644C4" w:rsidRDefault="009644C4" w:rsidP="009644C4"/>
    <w:p w14:paraId="06142DE0" w14:textId="77777777" w:rsidR="009644C4" w:rsidRDefault="009644C4" w:rsidP="009644C4"/>
    <w:tbl>
      <w:tblPr>
        <w:tblStyle w:val="TableGrid"/>
        <w:tblW w:w="0" w:type="auto"/>
        <w:tblLook w:val="04A0" w:firstRow="1" w:lastRow="0" w:firstColumn="1" w:lastColumn="0" w:noHBand="0" w:noVBand="1"/>
      </w:tblPr>
      <w:tblGrid>
        <w:gridCol w:w="1895"/>
        <w:gridCol w:w="1590"/>
        <w:gridCol w:w="2031"/>
        <w:gridCol w:w="2120"/>
        <w:gridCol w:w="1714"/>
      </w:tblGrid>
      <w:tr w:rsidR="009644C4" w14:paraId="4CAC6FE2" w14:textId="77777777" w:rsidTr="005759D0">
        <w:tc>
          <w:tcPr>
            <w:tcW w:w="1948" w:type="dxa"/>
          </w:tcPr>
          <w:p w14:paraId="4F309C34" w14:textId="77777777" w:rsidR="009644C4" w:rsidRDefault="009644C4" w:rsidP="005759D0">
            <w:pPr>
              <w:jc w:val="center"/>
              <w:rPr>
                <w:b/>
                <w:bCs/>
              </w:rPr>
            </w:pPr>
            <w:r>
              <w:rPr>
                <w:b/>
                <w:bCs/>
              </w:rPr>
              <w:t>Factor</w:t>
            </w:r>
          </w:p>
        </w:tc>
        <w:tc>
          <w:tcPr>
            <w:tcW w:w="1448" w:type="dxa"/>
          </w:tcPr>
          <w:p w14:paraId="16E548B7" w14:textId="77777777" w:rsidR="009644C4" w:rsidRDefault="009644C4" w:rsidP="005759D0">
            <w:pPr>
              <w:jc w:val="center"/>
              <w:rPr>
                <w:b/>
                <w:bCs/>
              </w:rPr>
            </w:pPr>
            <w:r>
              <w:rPr>
                <w:b/>
                <w:bCs/>
              </w:rPr>
              <w:t>Contribution</w:t>
            </w:r>
          </w:p>
        </w:tc>
        <w:tc>
          <w:tcPr>
            <w:tcW w:w="2068" w:type="dxa"/>
          </w:tcPr>
          <w:p w14:paraId="75235571" w14:textId="77777777" w:rsidR="009644C4" w:rsidRDefault="009644C4" w:rsidP="005759D0">
            <w:pPr>
              <w:jc w:val="center"/>
              <w:rPr>
                <w:b/>
                <w:bCs/>
              </w:rPr>
            </w:pPr>
            <w:r>
              <w:rPr>
                <w:b/>
                <w:bCs/>
              </w:rPr>
              <w:t>Normalization</w:t>
            </w:r>
          </w:p>
        </w:tc>
        <w:tc>
          <w:tcPr>
            <w:tcW w:w="2145" w:type="dxa"/>
          </w:tcPr>
          <w:p w14:paraId="6791BC65" w14:textId="77777777" w:rsidR="009644C4" w:rsidRDefault="009644C4" w:rsidP="005759D0">
            <w:pPr>
              <w:jc w:val="center"/>
              <w:rPr>
                <w:b/>
                <w:bCs/>
              </w:rPr>
            </w:pPr>
            <w:r>
              <w:rPr>
                <w:b/>
                <w:bCs/>
              </w:rPr>
              <w:t>Data Type/Resolution</w:t>
            </w:r>
          </w:p>
        </w:tc>
        <w:tc>
          <w:tcPr>
            <w:tcW w:w="1741" w:type="dxa"/>
          </w:tcPr>
          <w:p w14:paraId="5CF5618E" w14:textId="77777777" w:rsidR="009644C4" w:rsidRDefault="009644C4" w:rsidP="005759D0">
            <w:pPr>
              <w:jc w:val="center"/>
              <w:rPr>
                <w:b/>
                <w:bCs/>
              </w:rPr>
            </w:pPr>
            <w:r>
              <w:rPr>
                <w:b/>
                <w:bCs/>
              </w:rPr>
              <w:t>Source</w:t>
            </w:r>
          </w:p>
        </w:tc>
      </w:tr>
      <w:tr w:rsidR="009644C4" w14:paraId="25E4B4E1" w14:textId="77777777" w:rsidTr="005759D0">
        <w:tc>
          <w:tcPr>
            <w:tcW w:w="1948" w:type="dxa"/>
          </w:tcPr>
          <w:p w14:paraId="0E4D0F24" w14:textId="77777777" w:rsidR="009644C4" w:rsidRDefault="009644C4" w:rsidP="005759D0">
            <w:pPr>
              <w:jc w:val="center"/>
              <w:rPr>
                <w:b/>
                <w:bCs/>
              </w:rPr>
            </w:pPr>
            <w:r>
              <w:rPr>
                <w:b/>
                <w:bCs/>
              </w:rPr>
              <w:t xml:space="preserve">Count of Structures within a ¼ mile window of parcel </w:t>
            </w:r>
          </w:p>
        </w:tc>
        <w:tc>
          <w:tcPr>
            <w:tcW w:w="1448" w:type="dxa"/>
          </w:tcPr>
          <w:p w14:paraId="3D4A89FB" w14:textId="77777777" w:rsidR="009644C4" w:rsidRDefault="009644C4" w:rsidP="005759D0">
            <w:pPr>
              <w:jc w:val="center"/>
              <w:rPr>
                <w:b/>
                <w:bCs/>
              </w:rPr>
            </w:pPr>
            <w:r>
              <w:rPr>
                <w:b/>
                <w:bCs/>
              </w:rPr>
              <w:t>Risk of conflagration and structure loss</w:t>
            </w:r>
          </w:p>
        </w:tc>
        <w:tc>
          <w:tcPr>
            <w:tcW w:w="2068" w:type="dxa"/>
          </w:tcPr>
          <w:p w14:paraId="6F9C3AF9" w14:textId="77777777" w:rsidR="009644C4" w:rsidRDefault="009644C4" w:rsidP="005759D0">
            <w:pPr>
              <w:jc w:val="center"/>
              <w:rPr>
                <w:b/>
                <w:bCs/>
              </w:rPr>
            </w:pPr>
          </w:p>
        </w:tc>
        <w:tc>
          <w:tcPr>
            <w:tcW w:w="2145" w:type="dxa"/>
          </w:tcPr>
          <w:p w14:paraId="578F45A9" w14:textId="77777777" w:rsidR="009644C4" w:rsidRDefault="009644C4" w:rsidP="005759D0">
            <w:pPr>
              <w:jc w:val="center"/>
              <w:rPr>
                <w:b/>
                <w:bCs/>
              </w:rPr>
            </w:pPr>
            <w:r>
              <w:rPr>
                <w:b/>
                <w:bCs/>
              </w:rPr>
              <w:t>vector</w:t>
            </w:r>
          </w:p>
        </w:tc>
        <w:tc>
          <w:tcPr>
            <w:tcW w:w="1741" w:type="dxa"/>
          </w:tcPr>
          <w:p w14:paraId="2E70511E" w14:textId="6E98D473" w:rsidR="009644C4" w:rsidRDefault="009644C4" w:rsidP="005759D0">
            <w:pPr>
              <w:jc w:val="center"/>
              <w:rPr>
                <w:b/>
                <w:bCs/>
              </w:rPr>
            </w:pPr>
            <w:r>
              <w:rPr>
                <w:color w:val="000000"/>
              </w:rPr>
              <w:t>Microsoft Building Footprints</w:t>
            </w:r>
            <w:r>
              <w:rPr>
                <w:color w:val="000000"/>
              </w:rPr>
              <w:t xml:space="preserve"> (YEAR)</w:t>
            </w:r>
            <w:r>
              <w:rPr>
                <w:color w:val="000000"/>
              </w:rPr>
              <w:t xml:space="preserve"> + Santa Barbara County</w:t>
            </w:r>
            <w:r>
              <w:rPr>
                <w:color w:val="000000"/>
              </w:rPr>
              <w:t xml:space="preserve"> (YEAR)</w:t>
            </w:r>
            <w:r>
              <w:rPr>
                <w:color w:val="000000"/>
              </w:rPr>
              <w:t xml:space="preserve"> + Digitization</w:t>
            </w:r>
          </w:p>
        </w:tc>
      </w:tr>
      <w:tr w:rsidR="009644C4" w14:paraId="69C804F3" w14:textId="77777777" w:rsidTr="005759D0">
        <w:tc>
          <w:tcPr>
            <w:tcW w:w="1948" w:type="dxa"/>
          </w:tcPr>
          <w:p w14:paraId="51FBF26E" w14:textId="77777777" w:rsidR="009644C4" w:rsidRDefault="009644C4" w:rsidP="005759D0">
            <w:pPr>
              <w:jc w:val="center"/>
              <w:rPr>
                <w:b/>
                <w:bCs/>
              </w:rPr>
            </w:pPr>
            <w:r>
              <w:rPr>
                <w:b/>
                <w:bCs/>
              </w:rPr>
              <w:t xml:space="preserve">% Coverage of very high </w:t>
            </w:r>
            <w:r>
              <w:rPr>
                <w:b/>
                <w:bCs/>
              </w:rPr>
              <w:lastRenderedPageBreak/>
              <w:t>hazard zones within a ½ mile</w:t>
            </w:r>
          </w:p>
        </w:tc>
        <w:tc>
          <w:tcPr>
            <w:tcW w:w="1448" w:type="dxa"/>
          </w:tcPr>
          <w:p w14:paraId="499045DE" w14:textId="77777777" w:rsidR="009644C4" w:rsidRDefault="009644C4" w:rsidP="005759D0">
            <w:pPr>
              <w:jc w:val="center"/>
              <w:rPr>
                <w:b/>
                <w:bCs/>
              </w:rPr>
            </w:pPr>
            <w:r>
              <w:rPr>
                <w:b/>
                <w:bCs/>
              </w:rPr>
              <w:lastRenderedPageBreak/>
              <w:t>Risk of fire ignition and spread</w:t>
            </w:r>
          </w:p>
        </w:tc>
        <w:tc>
          <w:tcPr>
            <w:tcW w:w="2068" w:type="dxa"/>
          </w:tcPr>
          <w:p w14:paraId="3ED542AB" w14:textId="77777777" w:rsidR="009644C4" w:rsidRDefault="009644C4" w:rsidP="005759D0">
            <w:pPr>
              <w:jc w:val="center"/>
              <w:rPr>
                <w:b/>
                <w:bCs/>
              </w:rPr>
            </w:pPr>
          </w:p>
        </w:tc>
        <w:tc>
          <w:tcPr>
            <w:tcW w:w="2145" w:type="dxa"/>
          </w:tcPr>
          <w:p w14:paraId="166B7EFA" w14:textId="77777777" w:rsidR="009644C4" w:rsidRDefault="009644C4" w:rsidP="005759D0">
            <w:pPr>
              <w:jc w:val="center"/>
              <w:rPr>
                <w:b/>
                <w:bCs/>
              </w:rPr>
            </w:pPr>
            <w:r>
              <w:rPr>
                <w:b/>
                <w:bCs/>
              </w:rPr>
              <w:t>vector</w:t>
            </w:r>
          </w:p>
        </w:tc>
        <w:tc>
          <w:tcPr>
            <w:tcW w:w="1741" w:type="dxa"/>
          </w:tcPr>
          <w:p w14:paraId="34F30307" w14:textId="77777777" w:rsidR="009644C4" w:rsidRDefault="009644C4" w:rsidP="005759D0">
            <w:pPr>
              <w:jc w:val="center"/>
              <w:rPr>
                <w:b/>
                <w:bCs/>
              </w:rPr>
            </w:pPr>
          </w:p>
        </w:tc>
      </w:tr>
      <w:tr w:rsidR="009644C4" w14:paraId="4CC6AEB6" w14:textId="77777777" w:rsidTr="005759D0">
        <w:tc>
          <w:tcPr>
            <w:tcW w:w="1948" w:type="dxa"/>
          </w:tcPr>
          <w:p w14:paraId="3972BD36" w14:textId="77777777" w:rsidR="009644C4" w:rsidRDefault="009644C4" w:rsidP="005759D0">
            <w:pPr>
              <w:jc w:val="center"/>
              <w:rPr>
                <w:b/>
                <w:bCs/>
              </w:rPr>
            </w:pPr>
            <w:r>
              <w:rPr>
                <w:b/>
                <w:bCs/>
              </w:rPr>
              <w:t>Average Fire Behavior Fuel Model flame length within a ½ mile</w:t>
            </w:r>
          </w:p>
        </w:tc>
        <w:tc>
          <w:tcPr>
            <w:tcW w:w="1448" w:type="dxa"/>
          </w:tcPr>
          <w:p w14:paraId="01D19FC8" w14:textId="77777777" w:rsidR="009644C4" w:rsidRDefault="009644C4" w:rsidP="005759D0">
            <w:pPr>
              <w:jc w:val="center"/>
              <w:rPr>
                <w:b/>
                <w:bCs/>
              </w:rPr>
            </w:pPr>
            <w:r>
              <w:rPr>
                <w:b/>
                <w:bCs/>
              </w:rPr>
              <w:t>Risk of fire ignition and spread</w:t>
            </w:r>
          </w:p>
        </w:tc>
        <w:tc>
          <w:tcPr>
            <w:tcW w:w="2068" w:type="dxa"/>
          </w:tcPr>
          <w:p w14:paraId="61EB62FE" w14:textId="77777777" w:rsidR="009644C4" w:rsidRDefault="009644C4" w:rsidP="005759D0">
            <w:pPr>
              <w:jc w:val="center"/>
              <w:rPr>
                <w:b/>
                <w:bCs/>
              </w:rPr>
            </w:pPr>
          </w:p>
        </w:tc>
        <w:tc>
          <w:tcPr>
            <w:tcW w:w="2145" w:type="dxa"/>
          </w:tcPr>
          <w:p w14:paraId="1E4191FB" w14:textId="63A5F9E6" w:rsidR="009644C4" w:rsidRDefault="009644C4" w:rsidP="005759D0">
            <w:pPr>
              <w:jc w:val="center"/>
              <w:rPr>
                <w:b/>
                <w:bCs/>
              </w:rPr>
            </w:pPr>
            <w:r>
              <w:rPr>
                <w:b/>
                <w:bCs/>
              </w:rPr>
              <w:t>25</w:t>
            </w:r>
            <w:r>
              <w:rPr>
                <w:b/>
                <w:bCs/>
              </w:rPr>
              <w:t>Raster (30m)</w:t>
            </w:r>
          </w:p>
        </w:tc>
        <w:tc>
          <w:tcPr>
            <w:tcW w:w="1741" w:type="dxa"/>
          </w:tcPr>
          <w:p w14:paraId="5489FD49" w14:textId="2E5CE245" w:rsidR="009644C4" w:rsidRDefault="009644C4" w:rsidP="005759D0">
            <w:pPr>
              <w:jc w:val="center"/>
              <w:rPr>
                <w:b/>
                <w:bCs/>
              </w:rPr>
            </w:pPr>
            <w:r>
              <w:rPr>
                <w:b/>
                <w:bCs/>
              </w:rPr>
              <w:t>LANDFIRE (202</w:t>
            </w:r>
            <w:r w:rsidR="00FA5F24">
              <w:rPr>
                <w:b/>
                <w:bCs/>
              </w:rPr>
              <w:t>5</w:t>
            </w:r>
            <w:r>
              <w:rPr>
                <w:b/>
                <w:bCs/>
              </w:rPr>
              <w:t>)</w:t>
            </w:r>
          </w:p>
        </w:tc>
      </w:tr>
      <w:tr w:rsidR="009644C4" w14:paraId="500712DB" w14:textId="77777777" w:rsidTr="005759D0">
        <w:tc>
          <w:tcPr>
            <w:tcW w:w="1948" w:type="dxa"/>
          </w:tcPr>
          <w:p w14:paraId="7D296A1C" w14:textId="77777777" w:rsidR="009644C4" w:rsidRDefault="009644C4" w:rsidP="005759D0">
            <w:pPr>
              <w:jc w:val="center"/>
              <w:rPr>
                <w:b/>
                <w:bCs/>
              </w:rPr>
            </w:pPr>
            <w:r>
              <w:rPr>
                <w:b/>
                <w:bCs/>
              </w:rPr>
              <w:t>% Coverage of Agriculture or other fuel breaks</w:t>
            </w:r>
          </w:p>
        </w:tc>
        <w:tc>
          <w:tcPr>
            <w:tcW w:w="1448" w:type="dxa"/>
          </w:tcPr>
          <w:p w14:paraId="38D8A6E3" w14:textId="77777777" w:rsidR="009644C4" w:rsidRDefault="009644C4" w:rsidP="005759D0">
            <w:pPr>
              <w:jc w:val="center"/>
              <w:rPr>
                <w:b/>
                <w:bCs/>
              </w:rPr>
            </w:pPr>
            <w:r>
              <w:rPr>
                <w:b/>
                <w:bCs/>
              </w:rPr>
              <w:t>Mitigation of fire spread</w:t>
            </w:r>
          </w:p>
        </w:tc>
        <w:tc>
          <w:tcPr>
            <w:tcW w:w="2068" w:type="dxa"/>
          </w:tcPr>
          <w:p w14:paraId="6A872FE6" w14:textId="77777777" w:rsidR="009644C4" w:rsidRDefault="009644C4" w:rsidP="005759D0">
            <w:pPr>
              <w:jc w:val="center"/>
              <w:rPr>
                <w:b/>
                <w:bCs/>
              </w:rPr>
            </w:pPr>
          </w:p>
        </w:tc>
        <w:tc>
          <w:tcPr>
            <w:tcW w:w="2145" w:type="dxa"/>
          </w:tcPr>
          <w:p w14:paraId="5F4577CC" w14:textId="642B6553" w:rsidR="009644C4" w:rsidRDefault="009644C4" w:rsidP="005759D0">
            <w:pPr>
              <w:jc w:val="center"/>
              <w:rPr>
                <w:b/>
                <w:bCs/>
              </w:rPr>
            </w:pPr>
            <w:r>
              <w:rPr>
                <w:b/>
                <w:bCs/>
              </w:rPr>
              <w:t>Santa Barbara Firewise</w:t>
            </w:r>
          </w:p>
        </w:tc>
        <w:tc>
          <w:tcPr>
            <w:tcW w:w="1741" w:type="dxa"/>
          </w:tcPr>
          <w:p w14:paraId="0711C6DF" w14:textId="77777777" w:rsidR="009644C4" w:rsidRDefault="009644C4" w:rsidP="005759D0">
            <w:pPr>
              <w:jc w:val="center"/>
              <w:rPr>
                <w:b/>
                <w:bCs/>
              </w:rPr>
            </w:pPr>
          </w:p>
        </w:tc>
      </w:tr>
      <w:tr w:rsidR="009644C4" w14:paraId="2D7D9D95" w14:textId="77777777" w:rsidTr="005759D0">
        <w:tc>
          <w:tcPr>
            <w:tcW w:w="1948" w:type="dxa"/>
          </w:tcPr>
          <w:p w14:paraId="3A6B3E17" w14:textId="77777777" w:rsidR="009644C4" w:rsidRDefault="009644C4" w:rsidP="005759D0">
            <w:pPr>
              <w:jc w:val="center"/>
              <w:rPr>
                <w:b/>
                <w:bCs/>
              </w:rPr>
            </w:pPr>
            <w:r>
              <w:rPr>
                <w:b/>
                <w:bCs/>
              </w:rPr>
              <w:t>Slope (degrees)</w:t>
            </w:r>
          </w:p>
        </w:tc>
        <w:tc>
          <w:tcPr>
            <w:tcW w:w="1448" w:type="dxa"/>
          </w:tcPr>
          <w:p w14:paraId="3F39CCBA" w14:textId="77777777" w:rsidR="009644C4" w:rsidRDefault="009644C4" w:rsidP="005759D0">
            <w:pPr>
              <w:jc w:val="center"/>
              <w:rPr>
                <w:b/>
                <w:bCs/>
              </w:rPr>
            </w:pPr>
            <w:r>
              <w:rPr>
                <w:b/>
                <w:bCs/>
              </w:rPr>
              <w:t>Risk of fire spread</w:t>
            </w:r>
          </w:p>
        </w:tc>
        <w:tc>
          <w:tcPr>
            <w:tcW w:w="2068" w:type="dxa"/>
          </w:tcPr>
          <w:p w14:paraId="276FC347" w14:textId="77777777" w:rsidR="009644C4" w:rsidRDefault="009644C4" w:rsidP="005759D0">
            <w:pPr>
              <w:jc w:val="center"/>
              <w:rPr>
                <w:b/>
                <w:bCs/>
              </w:rPr>
            </w:pPr>
          </w:p>
        </w:tc>
        <w:tc>
          <w:tcPr>
            <w:tcW w:w="2145" w:type="dxa"/>
          </w:tcPr>
          <w:p w14:paraId="05A34E1E" w14:textId="77777777" w:rsidR="009644C4" w:rsidRDefault="009644C4" w:rsidP="005759D0">
            <w:pPr>
              <w:jc w:val="center"/>
              <w:rPr>
                <w:b/>
                <w:bCs/>
              </w:rPr>
            </w:pPr>
            <w:r>
              <w:rPr>
                <w:b/>
                <w:bCs/>
              </w:rPr>
              <w:t>1 meter</w:t>
            </w:r>
          </w:p>
        </w:tc>
        <w:tc>
          <w:tcPr>
            <w:tcW w:w="1741" w:type="dxa"/>
          </w:tcPr>
          <w:p w14:paraId="64F887C6" w14:textId="77777777" w:rsidR="009644C4" w:rsidRDefault="009644C4" w:rsidP="005759D0">
            <w:pPr>
              <w:jc w:val="center"/>
              <w:rPr>
                <w:b/>
                <w:bCs/>
              </w:rPr>
            </w:pPr>
          </w:p>
        </w:tc>
      </w:tr>
      <w:tr w:rsidR="009644C4" w14:paraId="0BEB95E6" w14:textId="77777777" w:rsidTr="005759D0">
        <w:tc>
          <w:tcPr>
            <w:tcW w:w="1948" w:type="dxa"/>
          </w:tcPr>
          <w:p w14:paraId="47133120" w14:textId="77777777" w:rsidR="009644C4" w:rsidRDefault="009644C4" w:rsidP="005759D0">
            <w:pPr>
              <w:jc w:val="center"/>
              <w:rPr>
                <w:b/>
                <w:bCs/>
              </w:rPr>
            </w:pPr>
            <w:r>
              <w:rPr>
                <w:b/>
                <w:bCs/>
              </w:rPr>
              <w:t>Travel time from nearest fire station to parcel (minutes)</w:t>
            </w:r>
          </w:p>
        </w:tc>
        <w:tc>
          <w:tcPr>
            <w:tcW w:w="1448" w:type="dxa"/>
          </w:tcPr>
          <w:p w14:paraId="465063DA" w14:textId="77777777" w:rsidR="009644C4" w:rsidRDefault="009644C4" w:rsidP="005759D0">
            <w:pPr>
              <w:jc w:val="center"/>
              <w:rPr>
                <w:b/>
                <w:bCs/>
              </w:rPr>
            </w:pPr>
            <w:r>
              <w:rPr>
                <w:b/>
                <w:bCs/>
              </w:rPr>
              <w:t>Mitigation of fire spread</w:t>
            </w:r>
          </w:p>
        </w:tc>
        <w:tc>
          <w:tcPr>
            <w:tcW w:w="2068" w:type="dxa"/>
          </w:tcPr>
          <w:p w14:paraId="15138A20" w14:textId="77777777" w:rsidR="009644C4" w:rsidRDefault="009644C4" w:rsidP="005759D0">
            <w:pPr>
              <w:jc w:val="center"/>
              <w:rPr>
                <w:b/>
                <w:bCs/>
              </w:rPr>
            </w:pPr>
          </w:p>
        </w:tc>
        <w:tc>
          <w:tcPr>
            <w:tcW w:w="2145" w:type="dxa"/>
          </w:tcPr>
          <w:p w14:paraId="29A69EA1" w14:textId="4A4CF473" w:rsidR="009644C4" w:rsidRDefault="009644C4" w:rsidP="005759D0">
            <w:pPr>
              <w:jc w:val="center"/>
              <w:rPr>
                <w:b/>
                <w:bCs/>
              </w:rPr>
            </w:pPr>
            <w:r>
              <w:rPr>
                <w:b/>
                <w:bCs/>
              </w:rPr>
              <w:t>Vector</w:t>
            </w:r>
          </w:p>
        </w:tc>
        <w:tc>
          <w:tcPr>
            <w:tcW w:w="1741" w:type="dxa"/>
          </w:tcPr>
          <w:p w14:paraId="78205862" w14:textId="29D095DC" w:rsidR="009644C4" w:rsidRDefault="009644C4" w:rsidP="005759D0">
            <w:pPr>
              <w:jc w:val="center"/>
              <w:rPr>
                <w:b/>
                <w:bCs/>
              </w:rPr>
            </w:pPr>
            <w:r>
              <w:rPr>
                <w:b/>
                <w:bCs/>
              </w:rPr>
              <w:t>CALFIRE + Open Route Services</w:t>
            </w:r>
          </w:p>
        </w:tc>
      </w:tr>
    </w:tbl>
    <w:p w14:paraId="67E25A6A" w14:textId="77777777" w:rsidR="009644C4" w:rsidRDefault="009644C4" w:rsidP="009644C4">
      <w:pPr>
        <w:jc w:val="center"/>
        <w:rPr>
          <w:b/>
          <w:bCs/>
        </w:rPr>
      </w:pPr>
    </w:p>
    <w:p w14:paraId="71B387BF" w14:textId="77777777" w:rsidR="009644C4" w:rsidRPr="00627055" w:rsidRDefault="009644C4" w:rsidP="009644C4">
      <w:pPr>
        <w:jc w:val="center"/>
        <w:rPr>
          <w:b/>
          <w:bCs/>
        </w:rPr>
      </w:pPr>
      <w:r w:rsidRPr="00627055">
        <w:rPr>
          <w:b/>
          <w:bCs/>
        </w:rPr>
        <w:t>Table 3.1: Fire Risk Factors</w:t>
      </w:r>
    </w:p>
    <w:p w14:paraId="0F6B922A" w14:textId="77777777" w:rsidR="009644C4" w:rsidRPr="00627055" w:rsidRDefault="009644C4" w:rsidP="009644C4">
      <w:pPr>
        <w:jc w:val="center"/>
        <w:rPr>
          <w:b/>
          <w:bCs/>
        </w:rPr>
      </w:pPr>
    </w:p>
    <w:p w14:paraId="2CD31EC4" w14:textId="77777777" w:rsidR="009644C4" w:rsidRPr="00627055" w:rsidRDefault="009644C4" w:rsidP="009644C4">
      <w:pPr>
        <w:jc w:val="center"/>
        <w:rPr>
          <w:b/>
          <w:bCs/>
        </w:rPr>
      </w:pPr>
    </w:p>
    <w:p w14:paraId="3A4FFFF3" w14:textId="6D051B04" w:rsidR="009644C4" w:rsidRPr="00627055" w:rsidRDefault="009644C4" w:rsidP="009644C4">
      <w:r w:rsidRPr="00627055">
        <w:rPr>
          <w:b/>
          <w:bCs/>
          <w:sz w:val="28"/>
          <w:szCs w:val="28"/>
        </w:rPr>
        <w:tab/>
      </w:r>
      <w:r w:rsidRPr="00627055">
        <w:t xml:space="preserve">Our Fire Behavior Fuel Model (FBFM) layer was initially sourced from LANDFIRE, 2025. While it has not been common in the literature to transparently score and normalize FBFM data into a normalized single score as a proxy for fire risk, it has been done in conjunction with other data, such as slope and weather variables, to generate flame length and burn probability variables (Scott &amp; Burgan, 2005; Statton, 2006). In the literature, risk </w:t>
      </w:r>
      <w:r w:rsidR="00FA5F24">
        <w:t>values</w:t>
      </w:r>
      <w:r w:rsidRPr="00627055">
        <w:t xml:space="preserve"> have been derived from output flame lengths: </w:t>
      </w:r>
      <w:r w:rsidR="00FA5F24">
        <w:t>low risk</w:t>
      </w:r>
      <w:r w:rsidRPr="00627055">
        <w:t xml:space="preserve"> for flame lengths &lt; 4 feet, </w:t>
      </w:r>
      <w:r w:rsidR="00FA5F24">
        <w:t xml:space="preserve">medium risk </w:t>
      </w:r>
      <w:r w:rsidRPr="00627055">
        <w:t xml:space="preserve">for flame lengths between 4-8 feet, </w:t>
      </w:r>
      <w:r w:rsidR="00FA5F24">
        <w:t>high risk</w:t>
      </w:r>
      <w:r w:rsidRPr="00627055">
        <w:t xml:space="preserve"> for flame lengths between 8-12 feet, and </w:t>
      </w:r>
      <w:r w:rsidR="00FA5F24">
        <w:t xml:space="preserve">very high risk </w:t>
      </w:r>
      <w:r w:rsidRPr="00627055">
        <w:t xml:space="preserve">for lengths above 12. </w:t>
      </w:r>
      <w:r w:rsidR="00FA5F24">
        <w:t xml:space="preserve">For the sake of </w:t>
      </w:r>
      <w:r w:rsidR="00B64493">
        <w:t xml:space="preserve">quantifiable normalization and integration, these descriptive values have been translated to numeric form [0.25, 0.5, 0.75, 1] </w:t>
      </w:r>
      <w:r w:rsidRPr="00627055">
        <w:t xml:space="preserve">while assuming standard conditions. </w:t>
      </w:r>
    </w:p>
    <w:p w14:paraId="2A1AD057" w14:textId="77777777" w:rsidR="009644C4" w:rsidRDefault="009644C4" w:rsidP="009644C4">
      <w:pPr>
        <w:rPr>
          <w:b/>
          <w:bCs/>
        </w:rPr>
      </w:pPr>
    </w:p>
    <w:p w14:paraId="61B762E2" w14:textId="77777777" w:rsidR="009644C4" w:rsidRDefault="009644C4" w:rsidP="009644C4">
      <w:pPr>
        <w:rPr>
          <w:b/>
          <w:bCs/>
          <w:sz w:val="28"/>
          <w:szCs w:val="28"/>
        </w:rPr>
      </w:pPr>
      <w:r>
        <w:rPr>
          <w:b/>
          <w:bCs/>
          <w:sz w:val="28"/>
          <w:szCs w:val="28"/>
        </w:rPr>
        <w:t xml:space="preserve">4. Methods </w:t>
      </w:r>
    </w:p>
    <w:p w14:paraId="53596AAB" w14:textId="77777777" w:rsidR="009644C4" w:rsidRDefault="009644C4" w:rsidP="009644C4">
      <w:pPr>
        <w:rPr>
          <w:b/>
          <w:bCs/>
          <w:sz w:val="28"/>
          <w:szCs w:val="28"/>
        </w:rPr>
      </w:pPr>
    </w:p>
    <w:p w14:paraId="285DF18C" w14:textId="77777777" w:rsidR="009644C4" w:rsidRDefault="009644C4" w:rsidP="009644C4">
      <w:pPr>
        <w:rPr>
          <w:b/>
          <w:bCs/>
          <w:sz w:val="28"/>
          <w:szCs w:val="28"/>
        </w:rPr>
      </w:pPr>
      <w:r>
        <w:rPr>
          <w:b/>
          <w:bCs/>
          <w:sz w:val="28"/>
          <w:szCs w:val="28"/>
        </w:rPr>
        <w:t>4.1.1 Formulation</w:t>
      </w:r>
    </w:p>
    <w:p w14:paraId="76E604F7" w14:textId="77777777" w:rsidR="00B64493" w:rsidRDefault="00B64493" w:rsidP="009644C4">
      <w:pPr>
        <w:rPr>
          <w:b/>
          <w:bCs/>
          <w:sz w:val="28"/>
          <w:szCs w:val="28"/>
        </w:rPr>
      </w:pPr>
    </w:p>
    <w:p w14:paraId="37085004" w14:textId="77777777" w:rsidR="009644C4" w:rsidRDefault="009644C4" w:rsidP="009644C4">
      <w:r>
        <w:rPr>
          <w:b/>
          <w:bCs/>
          <w:sz w:val="28"/>
          <w:szCs w:val="28"/>
        </w:rPr>
        <w:tab/>
      </w:r>
      <w:r>
        <w:t xml:space="preserve">As noted in section 2, preference disaggregation is an umbrella term for deriving utility functions to conform or best fit a given set of preferences (SOURCE). While there have been several applications of these methods in GIS-MCDA (SOURCE </w:t>
      </w:r>
      <w:proofErr w:type="spellStart"/>
      <w:r>
        <w:t>SOURCE</w:t>
      </w:r>
      <w:proofErr w:type="spellEnd"/>
      <w:r>
        <w:t xml:space="preserve"> SOURCE), it is seldom, and applications are typically for small datasets. As far as we are aware, preference disaggregation in the manner we propose has not yet been applied to hazard mitigation. </w:t>
      </w:r>
    </w:p>
    <w:p w14:paraId="54F28038" w14:textId="77777777" w:rsidR="009644C4" w:rsidRDefault="009644C4" w:rsidP="009644C4">
      <w:r>
        <w:tab/>
        <w:t xml:space="preserve">In the application of fire risk assessment, we first must define our criteria, preferred alternatives, non-preferred alternatives, and normalized scores as follows:  </w:t>
      </w:r>
    </w:p>
    <w:p w14:paraId="762DCB38" w14:textId="77777777" w:rsidR="009644C4" w:rsidRDefault="009644C4" w:rsidP="009644C4"/>
    <w:p w14:paraId="55DA0C3E" w14:textId="77777777" w:rsidR="009644C4" w:rsidRDefault="009644C4" w:rsidP="009644C4">
      <w:r>
        <w:t>For each criterion (</w:t>
      </w:r>
      <w:r>
        <w:rPr>
          <w:i/>
          <w:iCs/>
        </w:rPr>
        <w:t xml:space="preserve">j) </w:t>
      </w:r>
      <w:r>
        <w:t>of each parcel (</w:t>
      </w:r>
      <w:proofErr w:type="spellStart"/>
      <w:r>
        <w:rPr>
          <w:i/>
          <w:iCs/>
        </w:rPr>
        <w:t>i</w:t>
      </w:r>
      <w:proofErr w:type="spellEnd"/>
      <w:r>
        <w:rPr>
          <w:i/>
          <w:iCs/>
        </w:rPr>
        <w:t>)</w:t>
      </w:r>
      <w:r>
        <w:t xml:space="preserve"> we first derived a normalized risk score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oMath>
      <w:r>
        <w:t xml:space="preserve"> from raw values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Pr>
          <w:rFonts w:eastAsiaTheme="minorEastAsia"/>
        </w:rPr>
        <w:t xml:space="preserve">) </w:t>
      </w:r>
      <w:r>
        <w:t>to make criteria comparable via min-max scaling:</w:t>
      </w:r>
    </w:p>
    <w:p w14:paraId="29148BC1" w14:textId="77777777" w:rsidR="009644C4" w:rsidRPr="00BB708E" w:rsidRDefault="009644C4" w:rsidP="00964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i</m:t>
                      </m:r>
                      <m:ctrlPr>
                        <w:rPr>
                          <w:rFonts w:ascii="Cambria Math" w:eastAsiaTheme="minorEastAsia" w:hAnsi="Cambria Math"/>
                        </w:rPr>
                      </m:ctrlP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ctrlPr>
                    <w:rPr>
                      <w:rFonts w:ascii="Cambria Math" w:eastAsiaTheme="minorEastAsia" w:hAnsi="Cambria Math"/>
                      <w:i/>
                    </w:rPr>
                  </m:ctrlPr>
                </m:e>
              </m:func>
              <m:ctrlPr>
                <w:rPr>
                  <w:rFonts w:ascii="Cambria Math" w:eastAsiaTheme="minorEastAsia" w:hAnsi="Cambria Math"/>
                  <w:i/>
                </w:rPr>
              </m:ctrlPr>
            </m:num>
            <m:den>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w:rPr>
                          <w:rFonts w:ascii="Cambria Math" w:eastAsiaTheme="minorEastAsia" w:hAnsi="Cambria Math"/>
                        </w:rPr>
                        <m:t>i</m:t>
                      </m:r>
                      <m:ctrlPr>
                        <w:rPr>
                          <w:rFonts w:ascii="Cambria Math" w:eastAsiaTheme="minorEastAsia" w:hAnsi="Cambria Math"/>
                        </w:rPr>
                      </m:ctrlP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i</m:t>
                      </m:r>
                      <m:ctrlPr>
                        <w:rPr>
                          <w:rFonts w:ascii="Cambria Math" w:eastAsiaTheme="minorEastAsia" w:hAnsi="Cambria Math"/>
                        </w:rPr>
                      </m:ctrlP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ctrlPr>
                    <w:rPr>
                      <w:rFonts w:ascii="Cambria Math" w:eastAsiaTheme="minorEastAsia" w:hAnsi="Cambria Math"/>
                      <w:i/>
                    </w:rPr>
                  </m:ctrlPr>
                </m:e>
              </m:func>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ij</m:t>
              </m:r>
            </m:sub>
          </m:sSub>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14422DCD" w14:textId="77777777" w:rsidR="009644C4" w:rsidRDefault="009644C4" w:rsidP="009644C4">
      <w:pPr>
        <w:rPr>
          <w:rFonts w:eastAsiaTheme="minorEastAsia"/>
        </w:rPr>
      </w:pPr>
    </w:p>
    <w:p w14:paraId="49E3DE46" w14:textId="77777777" w:rsidR="009644C4" w:rsidRDefault="009644C4" w:rsidP="009644C4">
      <w:pPr>
        <w:rPr>
          <w:rFonts w:eastAsiaTheme="minorEastAsia"/>
        </w:rPr>
      </w:pPr>
      <w:r>
        <w:rPr>
          <w:rFonts w:eastAsiaTheme="minorEastAsia"/>
        </w:rPr>
        <w:t xml:space="preserve">And along the normalized risk scores of each criterion, we may set </w:t>
      </w:r>
      <w:r>
        <w:rPr>
          <w:rFonts w:eastAsiaTheme="minorEastAsia"/>
          <w:i/>
          <w:iCs/>
        </w:rPr>
        <w:t xml:space="preserve">k </w:t>
      </w:r>
      <w:r>
        <w:rPr>
          <w:rFonts w:eastAsiaTheme="minorEastAsia"/>
        </w:rPr>
        <w:t>breakpoints between [0,1] to allow for changes in utility across this axis:</w:t>
      </w:r>
    </w:p>
    <w:p w14:paraId="45D3043D" w14:textId="77777777" w:rsidR="009644C4" w:rsidRPr="00B64493" w:rsidRDefault="009644C4" w:rsidP="009644C4">
      <w:pPr>
        <w:rPr>
          <w:rFonts w:eastAsiaTheme="minorEastAsia"/>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j1</m:t>
              </m:r>
            </m:sub>
          </m:sSub>
          <m:r>
            <w:rPr>
              <w:rFonts w:ascii="Cambria Math" w:eastAsiaTheme="minorEastAsia" w:hAnsi="Cambria Math"/>
            </w:rPr>
            <m:t>&lt;</m:t>
          </m:r>
          <m:r>
            <m:rPr>
              <m:sty m:val="p"/>
            </m:rPr>
            <w:rPr>
              <w:rFonts w:ascii="Cambria Math" w:eastAsiaTheme="minorEastAsia" w:hAnsi="Cambria Math"/>
            </w:rPr>
            <m:t>⋯</m:t>
          </m:r>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sub>
          </m:sSub>
          <m:r>
            <w:rPr>
              <w:rFonts w:ascii="Cambria Math" w:eastAsiaTheme="minorEastAsia" w:hAnsi="Cambria Math"/>
            </w:rPr>
            <m:t>=1</m:t>
          </m:r>
        </m:oMath>
      </m:oMathPara>
    </w:p>
    <w:p w14:paraId="700BAD2D" w14:textId="77777777" w:rsidR="00B64493" w:rsidRPr="002753FE" w:rsidRDefault="00B64493" w:rsidP="009644C4">
      <w:pPr>
        <w:rPr>
          <w:rFonts w:eastAsiaTheme="minorEastAsia"/>
        </w:rPr>
      </w:pPr>
    </w:p>
    <w:p w14:paraId="4B5665B6" w14:textId="77777777" w:rsidR="009644C4" w:rsidRPr="00B76650" w:rsidRDefault="009644C4" w:rsidP="009644C4">
      <w:pPr>
        <w:rPr>
          <w:rFonts w:eastAsiaTheme="minorEastAsia"/>
        </w:rPr>
      </w:pPr>
    </w:p>
    <w:p w14:paraId="4C88D0E1" w14:textId="77777777" w:rsidR="009644C4" w:rsidRDefault="009644C4" w:rsidP="009644C4">
      <w:pPr>
        <w:rPr>
          <w:rFonts w:eastAsiaTheme="minorEastAsia"/>
        </w:rPr>
      </w:pPr>
      <w:r>
        <w:rPr>
          <w:rFonts w:eastAsiaTheme="minorEastAsia"/>
        </w:rPr>
        <w:t xml:space="preserve">The utility can be set at each of these breakpoints, and interpolated between them: </w:t>
      </w:r>
    </w:p>
    <w:p w14:paraId="37C238CE" w14:textId="77777777" w:rsidR="009644C4" w:rsidRPr="00B64493" w:rsidRDefault="009644C4" w:rsidP="00964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e>
          </m:d>
          <m:r>
            <w:rPr>
              <w:rFonts w:ascii="Cambria Math" w:eastAsiaTheme="minorEastAsia" w:hAnsi="Cambria Math"/>
            </w:rPr>
            <m:t>,</m:t>
          </m:r>
          <m:r>
            <m:rPr>
              <m:sty m:val="p"/>
            </m:rPr>
            <w:rPr>
              <w:rFonts w:ascii="Cambria Math" w:eastAsiaTheme="minorEastAsia" w:hAnsi="Cambria Math"/>
            </w:rPr>
            <m:t> </m:t>
          </m:r>
          <m:r>
            <w:rPr>
              <w:rFonts w:ascii="Cambria Math" w:eastAsiaTheme="minorEastAsia" w:hAnsi="Cambria Math"/>
            </w:rPr>
            <m:t>k=0,</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oMath>
      </m:oMathPara>
    </w:p>
    <w:p w14:paraId="0A37D00B" w14:textId="77777777" w:rsidR="00B64493" w:rsidRPr="000D41B6" w:rsidRDefault="00B64493" w:rsidP="009644C4">
      <w:pPr>
        <w:rPr>
          <w:rFonts w:eastAsiaTheme="minorEastAsia"/>
        </w:rPr>
      </w:pPr>
    </w:p>
    <w:p w14:paraId="310A1459" w14:textId="77777777" w:rsidR="009644C4" w:rsidRPr="000D41B6" w:rsidRDefault="009644C4" w:rsidP="009644C4">
      <w:pPr>
        <w:rPr>
          <w:rFonts w:eastAsiaTheme="minorEastAsia"/>
        </w:rPr>
      </w:pPr>
    </w:p>
    <w:p w14:paraId="6ABB682E" w14:textId="77777777" w:rsidR="009644C4" w:rsidRPr="000D41B6" w:rsidRDefault="009644C4" w:rsidP="009644C4">
      <w:pPr>
        <w:rPr>
          <w:rFonts w:eastAsiaTheme="minorEastAsia"/>
        </w:rPr>
      </w:pPr>
      <w:r>
        <w:rPr>
          <w:rFonts w:eastAsiaTheme="minorEastAsia"/>
        </w:rPr>
        <w:t xml:space="preserve">Where Interpolation between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e>
        </m:d>
        <m:r>
          <w:rPr>
            <w:rFonts w:ascii="Cambria Math" w:eastAsiaTheme="minorEastAsia" w:hAnsi="Cambria Math"/>
          </w:rPr>
          <m:t xml:space="preserve"> is</m:t>
        </m:r>
      </m:oMath>
      <w:r>
        <w:rPr>
          <w:rFonts w:eastAsiaTheme="minorEastAsia"/>
        </w:rPr>
        <w:t>:</w:t>
      </w:r>
    </w:p>
    <w:p w14:paraId="3298A259" w14:textId="77777777" w:rsidR="009644C4" w:rsidRPr="00B64493" w:rsidRDefault="009644C4" w:rsidP="00964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j,k</m:t>
                  </m:r>
                </m:sub>
              </m:sSub>
              <m:ctrlPr>
                <w:rPr>
                  <w:rFonts w:ascii="Cambria Math" w:eastAsiaTheme="minorEastAsia" w:hAnsi="Cambria Math"/>
                  <w:i/>
                </w:rPr>
              </m:ctrlPr>
            </m:den>
          </m:f>
        </m:oMath>
      </m:oMathPara>
    </w:p>
    <w:p w14:paraId="7A49BFFF" w14:textId="77777777" w:rsidR="00B64493" w:rsidRPr="002753FE" w:rsidRDefault="00B64493" w:rsidP="009644C4">
      <w:pPr>
        <w:rPr>
          <w:rFonts w:eastAsiaTheme="minorEastAsia"/>
        </w:rPr>
      </w:pPr>
    </w:p>
    <w:p w14:paraId="249910EB" w14:textId="77777777" w:rsidR="009644C4" w:rsidRPr="000D41B6" w:rsidRDefault="009644C4" w:rsidP="009644C4">
      <w:pPr>
        <w:rPr>
          <w:rFonts w:eastAsiaTheme="minorEastAsia"/>
        </w:rPr>
      </w:pPr>
    </w:p>
    <w:p w14:paraId="1F2AC005" w14:textId="77777777" w:rsidR="009644C4" w:rsidRDefault="009644C4" w:rsidP="009644C4">
      <w:pPr>
        <w:rPr>
          <w:rFonts w:eastAsiaTheme="minorEastAsia"/>
        </w:rPr>
      </w:pPr>
      <w:r>
        <w:rPr>
          <w:rFonts w:eastAsiaTheme="minorEastAsia"/>
        </w:rPr>
        <w:t>And using interpolated utility values, we can derive a piecewise linear utility function for each criterion:</w:t>
      </w:r>
    </w:p>
    <w:p w14:paraId="46153F95" w14:textId="77777777" w:rsidR="009644C4" w:rsidRPr="00B64493" w:rsidRDefault="009644C4" w:rsidP="00964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j,k+1</m:t>
              </m:r>
            </m:sub>
          </m:sSub>
        </m:oMath>
      </m:oMathPara>
    </w:p>
    <w:p w14:paraId="0E597769" w14:textId="77777777" w:rsidR="00B64493" w:rsidRPr="000D41B6" w:rsidRDefault="00B64493" w:rsidP="009644C4">
      <w:pPr>
        <w:rPr>
          <w:rFonts w:eastAsiaTheme="minorEastAsia"/>
        </w:rPr>
      </w:pPr>
    </w:p>
    <w:p w14:paraId="383500B6" w14:textId="77777777" w:rsidR="009644C4" w:rsidRDefault="009644C4" w:rsidP="009644C4">
      <w:pPr>
        <w:rPr>
          <w:rFonts w:eastAsiaTheme="minorEastAsia"/>
        </w:rPr>
      </w:pPr>
    </w:p>
    <w:p w14:paraId="646907D4" w14:textId="77777777" w:rsidR="009644C4" w:rsidRDefault="009644C4" w:rsidP="009644C4">
      <w:pPr>
        <w:rPr>
          <w:rFonts w:eastAsiaTheme="minorEastAsia"/>
        </w:rPr>
      </w:pPr>
      <w:r>
        <w:rPr>
          <w:rFonts w:eastAsiaTheme="minorEastAsia"/>
        </w:rPr>
        <w:t>That is held under monotonicity constraints to avoid overfitting (SOURCE):</w:t>
      </w:r>
    </w:p>
    <w:p w14:paraId="2C5E3552" w14:textId="77777777" w:rsidR="009644C4" w:rsidRPr="00B64493" w:rsidRDefault="009644C4" w:rsidP="00964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j,k+1</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ctrlPr>
                <w:rPr>
                  <w:rFonts w:ascii="Cambria Math" w:eastAsiaTheme="minorEastAsia" w:hAnsi="Cambria Math"/>
                </w:rPr>
              </m:ctrlPr>
            </m:e>
            <m:sub>
              <m:r>
                <w:rPr>
                  <w:rFonts w:ascii="Cambria Math" w:eastAsiaTheme="minorEastAsia" w:hAnsi="Cambria Math"/>
                </w:rPr>
                <m:t>j,k</m:t>
              </m:r>
            </m:sub>
          </m:sSub>
          <m:r>
            <w:rPr>
              <w:rFonts w:ascii="Cambria Math" w:eastAsiaTheme="minorEastAsia" w:hAnsi="Cambria Math"/>
            </w:rPr>
            <m:t>,</m:t>
          </m:r>
          <m:r>
            <m:rPr>
              <m:sty m:val="p"/>
            </m:rPr>
            <w:rPr>
              <w:rFonts w:ascii="Cambria Math" w:eastAsiaTheme="minorEastAsia" w:hAnsi="Cambria Math"/>
            </w:rPr>
            <m:t> ∀</m:t>
          </m:r>
          <m:r>
            <w:rPr>
              <w:rFonts w:ascii="Cambria Math" w:eastAsiaTheme="minorEastAsia" w:hAnsi="Cambria Math"/>
            </w:rPr>
            <m:t>j, </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r>
            <w:rPr>
              <w:rFonts w:ascii="Cambria Math" w:eastAsiaTheme="minorEastAsia" w:hAnsi="Cambria Math"/>
            </w:rPr>
            <m:t>-1</m:t>
          </m:r>
        </m:oMath>
      </m:oMathPara>
    </w:p>
    <w:p w14:paraId="4648F03A" w14:textId="77777777" w:rsidR="00B64493" w:rsidRPr="000D41B6" w:rsidRDefault="00B64493" w:rsidP="009644C4">
      <w:pPr>
        <w:rPr>
          <w:rFonts w:eastAsiaTheme="minorEastAsia"/>
        </w:rPr>
      </w:pPr>
    </w:p>
    <w:p w14:paraId="35305472" w14:textId="77777777" w:rsidR="009644C4" w:rsidRDefault="009644C4" w:rsidP="009644C4">
      <w:pPr>
        <w:rPr>
          <w:rFonts w:eastAsiaTheme="minorEastAsia"/>
        </w:rPr>
      </w:pPr>
    </w:p>
    <w:p w14:paraId="1A246219" w14:textId="77777777" w:rsidR="009644C4" w:rsidRDefault="009644C4" w:rsidP="009644C4">
      <w:pPr>
        <w:rPr>
          <w:rFonts w:eastAsiaTheme="minorEastAsia"/>
        </w:rPr>
      </w:pPr>
      <w:r>
        <w:rPr>
          <w:rFonts w:eastAsiaTheme="minorEastAsia"/>
        </w:rPr>
        <w:t>Which finally can be used to calculate the utility of a single parcel:</w:t>
      </w:r>
    </w:p>
    <w:p w14:paraId="00D413E8" w14:textId="77777777" w:rsidR="009644C4" w:rsidRPr="00B64493" w:rsidRDefault="009644C4" w:rsidP="009644C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m</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ctrlPr>
                <w:rPr>
                  <w:rFonts w:ascii="Cambria Math" w:eastAsiaTheme="minorEastAsia" w:hAnsi="Cambria Math"/>
                  <w:i/>
                </w:rPr>
              </m:ctrlPr>
            </m:e>
          </m:nary>
        </m:oMath>
      </m:oMathPara>
    </w:p>
    <w:p w14:paraId="3EA27AEB" w14:textId="77777777" w:rsidR="00B64493" w:rsidRPr="000D41B6" w:rsidRDefault="00B64493" w:rsidP="009644C4">
      <w:pPr>
        <w:rPr>
          <w:rFonts w:eastAsiaTheme="minorEastAsia"/>
        </w:rPr>
      </w:pPr>
    </w:p>
    <w:p w14:paraId="630C4EF2" w14:textId="77777777" w:rsidR="009644C4" w:rsidRPr="000D41B6" w:rsidRDefault="009644C4" w:rsidP="009644C4">
      <w:pPr>
        <w:rPr>
          <w:rFonts w:eastAsiaTheme="minorEastAsia"/>
        </w:rPr>
      </w:pPr>
    </w:p>
    <w:p w14:paraId="6A3D856F" w14:textId="77777777" w:rsidR="009644C4" w:rsidRDefault="009644C4" w:rsidP="009644C4">
      <w:pPr>
        <w:rPr>
          <w:rFonts w:eastAsiaTheme="minorEastAsia"/>
        </w:rPr>
      </w:pPr>
      <w:r>
        <w:rPr>
          <w:rFonts w:eastAsiaTheme="minorEastAsia"/>
        </w:rPr>
        <w:t>Now that the utility functions have been formulated for each parcels’ criteria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sub>
            <m:r>
              <w:rPr>
                <w:rFonts w:ascii="Cambria Math" w:eastAsiaTheme="minorEastAsia" w:hAnsi="Cambria Math"/>
              </w:rPr>
              <m:t>j</m:t>
            </m:r>
          </m:sub>
        </m:sSub>
      </m:oMath>
      <w:r>
        <w:rPr>
          <w:rFonts w:eastAsiaTheme="minorEastAsia"/>
        </w:rPr>
        <w:t xml:space="preserve">), we may define a decision makers preferred set of parcel alternatives as </w:t>
      </w:r>
      <w:r>
        <w:rPr>
          <w:rFonts w:eastAsiaTheme="minorEastAsia"/>
          <w:i/>
          <w:iCs/>
        </w:rPr>
        <w:t xml:space="preserve">U(p) </w:t>
      </w:r>
      <w:r>
        <w:rPr>
          <w:rFonts w:eastAsiaTheme="minorEastAsia"/>
        </w:rPr>
        <w:t xml:space="preserve">and a set of all other non-preferred parcels as </w:t>
      </w:r>
      <w:r>
        <w:rPr>
          <w:rFonts w:eastAsiaTheme="minorEastAsia"/>
          <w:i/>
          <w:iCs/>
        </w:rPr>
        <w:t xml:space="preserve">U(q). </w:t>
      </w:r>
      <w:r>
        <w:rPr>
          <w:rFonts w:eastAsiaTheme="minorEastAsia"/>
        </w:rPr>
        <w:t xml:space="preserve">Between these sets of preferred and non-preferred parcels, we formulate a constraint which may keep track of each parcel in </w:t>
      </w:r>
      <w:r>
        <w:rPr>
          <w:rFonts w:eastAsiaTheme="minorEastAsia"/>
          <w:i/>
          <w:iCs/>
        </w:rPr>
        <w:t>U(q)</w:t>
      </w:r>
      <w:r>
        <w:rPr>
          <w:rFonts w:eastAsiaTheme="minorEastAsia"/>
        </w:rPr>
        <w:t xml:space="preserve"> that outscores </w:t>
      </w:r>
      <w:r>
        <w:rPr>
          <w:rFonts w:eastAsiaTheme="minorEastAsia"/>
          <w:i/>
          <w:iCs/>
        </w:rPr>
        <w:t>U(p)</w:t>
      </w:r>
      <w:r>
        <w:rPr>
          <w:rFonts w:eastAsiaTheme="minorEastAsia"/>
        </w:rPr>
        <w:t>, noting the magnitude in loss with an error constant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pq</m:t>
            </m:r>
          </m:sub>
        </m:sSub>
      </m:oMath>
      <w:r>
        <w:rPr>
          <w:rFonts w:eastAsiaTheme="minorEastAsia"/>
        </w:rPr>
        <w:t>).</w:t>
      </w:r>
    </w:p>
    <w:p w14:paraId="5534F1BA" w14:textId="77777777" w:rsidR="009644C4" w:rsidRPr="00B64493" w:rsidRDefault="009644C4" w:rsidP="009644C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m:t>
          </m:r>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pq</m:t>
              </m:r>
            </m:sub>
          </m:sSub>
          <m:r>
            <m:rPr>
              <m:sty m:val="p"/>
            </m:rPr>
            <w:rPr>
              <w:rFonts w:ascii="Cambria Math" w:eastAsiaTheme="minorEastAsia" w:hAnsi="Cambria Math"/>
            </w:rPr>
            <m:t> </m:t>
          </m:r>
        </m:oMath>
      </m:oMathPara>
    </w:p>
    <w:p w14:paraId="44FCE891" w14:textId="77777777" w:rsidR="00B64493" w:rsidRPr="00A31D40" w:rsidRDefault="00B64493" w:rsidP="009644C4">
      <w:pPr>
        <w:rPr>
          <w:rFonts w:eastAsiaTheme="minorEastAsia"/>
        </w:rPr>
      </w:pPr>
    </w:p>
    <w:p w14:paraId="6B2A56D1" w14:textId="77777777" w:rsidR="009644C4" w:rsidRDefault="009644C4" w:rsidP="009644C4">
      <w:pPr>
        <w:rPr>
          <w:rFonts w:eastAsiaTheme="minorEastAsia"/>
        </w:rPr>
      </w:pPr>
    </w:p>
    <w:p w14:paraId="52517F7E" w14:textId="77777777" w:rsidR="009644C4" w:rsidRDefault="009644C4" w:rsidP="009644C4">
      <w:pPr>
        <w:rPr>
          <w:rFonts w:eastAsiaTheme="minorEastAsia"/>
        </w:rPr>
      </w:pPr>
      <w:r>
        <w:rPr>
          <w:rFonts w:eastAsiaTheme="minorEastAsia"/>
        </w:rPr>
        <w:t xml:space="preserve">Cognitively, our objective in preference disaggregation is to have all preferred alternatives </w:t>
      </w:r>
      <w:r>
        <w:rPr>
          <w:rFonts w:eastAsiaTheme="minorEastAsia"/>
          <w:i/>
          <w:iCs/>
        </w:rPr>
        <w:t>U</w:t>
      </w:r>
      <w:r w:rsidRPr="00A31D40">
        <w:rPr>
          <w:rFonts w:eastAsiaTheme="minorEastAsia"/>
          <w:i/>
          <w:iCs/>
        </w:rPr>
        <w:t>(</w:t>
      </w:r>
      <w:r>
        <w:rPr>
          <w:rFonts w:eastAsiaTheme="minorEastAsia"/>
          <w:i/>
          <w:iCs/>
        </w:rPr>
        <w:t>p</w:t>
      </w:r>
      <w:r w:rsidRPr="00A31D40">
        <w:rPr>
          <w:rFonts w:eastAsiaTheme="minorEastAsia"/>
          <w:i/>
          <w:iCs/>
        </w:rPr>
        <w:t>)</w:t>
      </w:r>
      <w:r>
        <w:rPr>
          <w:rFonts w:eastAsiaTheme="minorEastAsia"/>
          <w:i/>
          <w:iCs/>
        </w:rPr>
        <w:t xml:space="preserve"> </w:t>
      </w:r>
      <w:r>
        <w:rPr>
          <w:rFonts w:eastAsiaTheme="minorEastAsia"/>
        </w:rPr>
        <w:t xml:space="preserve">outrank all non-preferred alternatives </w:t>
      </w:r>
      <w:r w:rsidRPr="00A31D40">
        <w:rPr>
          <w:rFonts w:eastAsiaTheme="minorEastAsia"/>
          <w:i/>
          <w:iCs/>
        </w:rPr>
        <w:t>U(q)</w:t>
      </w:r>
      <w:r>
        <w:rPr>
          <w:rFonts w:eastAsiaTheme="minorEastAsia"/>
          <w:i/>
          <w:iCs/>
        </w:rPr>
        <w:t xml:space="preserve"> </w:t>
      </w:r>
      <w:r>
        <w:rPr>
          <w:rFonts w:eastAsiaTheme="minorEastAsia"/>
        </w:rPr>
        <w:t>in terms of their overall utility (</w:t>
      </w:r>
      <w:r w:rsidRPr="00A31D40">
        <w:rPr>
          <w:rFonts w:eastAsiaTheme="minorEastAsia"/>
          <w:i/>
          <w:iCs/>
        </w:rPr>
        <w:t>U(</w:t>
      </w:r>
      <w:proofErr w:type="spellStart"/>
      <w:r w:rsidRPr="00A31D40">
        <w:rPr>
          <w:rFonts w:eastAsiaTheme="minorEastAsia"/>
          <w:i/>
          <w:iCs/>
        </w:rPr>
        <w:t>i</w:t>
      </w:r>
      <w:proofErr w:type="spellEnd"/>
      <w:r w:rsidRPr="00A31D40">
        <w:rPr>
          <w:rFonts w:eastAsiaTheme="minorEastAsia"/>
          <w:i/>
          <w:iCs/>
        </w:rPr>
        <w:t>)</w:t>
      </w:r>
      <w:r>
        <w:rPr>
          <w:rFonts w:eastAsiaTheme="minorEastAsia"/>
        </w:rPr>
        <w:t xml:space="preserve">). In practice, we solve a proxy of this by minimizing the total error found in the previous comparison constraint: </w:t>
      </w:r>
    </w:p>
    <w:p w14:paraId="1B94F073" w14:textId="77777777" w:rsidR="009644C4" w:rsidRPr="00B64493" w:rsidRDefault="009644C4" w:rsidP="009644C4">
      <w:pPr>
        <w:rPr>
          <w:rFonts w:eastAsiaTheme="minorEastAsia"/>
        </w:rPr>
      </w:pPr>
      <m:oMathPara>
        <m:oMath>
          <m:r>
            <m:rPr>
              <m:sty m:val="p"/>
            </m:rPr>
            <w:rPr>
              <w:rFonts w:ascii="Cambria Math" w:eastAsiaTheme="minorEastAsia" w:hAnsi="Cambria Math"/>
            </w:rPr>
            <w:lastRenderedPageBreak/>
            <m:t>min</m:t>
          </m:r>
          <m:nary>
            <m:naryPr>
              <m:chr m:val="∑"/>
              <m:supHide m:val="1"/>
              <m:ctrlPr>
                <w:rPr>
                  <w:rFonts w:ascii="Cambria Math" w:eastAsiaTheme="minorEastAsia" w:hAnsi="Cambria Math"/>
                </w:rPr>
              </m:ctrlPr>
            </m:naryPr>
            <m:sub>
              <m:d>
                <m:dPr>
                  <m:ctrlPr>
                    <w:rPr>
                      <w:rFonts w:ascii="Cambria Math" w:eastAsiaTheme="minorEastAsia" w:hAnsi="Cambria Math"/>
                      <w:i/>
                    </w:rPr>
                  </m:ctrlPr>
                </m:dPr>
                <m:e>
                  <m:r>
                    <w:rPr>
                      <w:rFonts w:ascii="Cambria Math" w:eastAsiaTheme="minorEastAsia" w:hAnsi="Cambria Math"/>
                    </w:rPr>
                    <m:t>p,q</m:t>
                  </m:r>
                </m:e>
              </m:d>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pq</m:t>
                  </m:r>
                </m:sub>
              </m:sSub>
              <m:ctrlPr>
                <w:rPr>
                  <w:rFonts w:ascii="Cambria Math" w:eastAsiaTheme="minorEastAsia" w:hAnsi="Cambria Math"/>
                  <w:i/>
                </w:rPr>
              </m:ctrlPr>
            </m:e>
          </m:nary>
        </m:oMath>
      </m:oMathPara>
    </w:p>
    <w:p w14:paraId="11B94EAE" w14:textId="77777777" w:rsidR="00B64493" w:rsidRPr="00A31D40" w:rsidRDefault="00B64493" w:rsidP="009644C4">
      <w:pPr>
        <w:rPr>
          <w:rFonts w:eastAsiaTheme="minorEastAsia"/>
        </w:rPr>
      </w:pPr>
    </w:p>
    <w:p w14:paraId="3BD91FEE" w14:textId="77777777" w:rsidR="009644C4" w:rsidRDefault="009644C4" w:rsidP="009644C4">
      <w:pPr>
        <w:rPr>
          <w:rFonts w:eastAsiaTheme="minorEastAsia"/>
          <w:b/>
          <w:bCs/>
          <w:sz w:val="28"/>
          <w:szCs w:val="28"/>
        </w:rPr>
      </w:pPr>
    </w:p>
    <w:p w14:paraId="13AAB120" w14:textId="77777777" w:rsidR="009644C4" w:rsidRDefault="009644C4" w:rsidP="009644C4">
      <w:pPr>
        <w:rPr>
          <w:rFonts w:eastAsiaTheme="minorEastAsia"/>
          <w:b/>
          <w:bCs/>
          <w:sz w:val="28"/>
          <w:szCs w:val="28"/>
        </w:rPr>
      </w:pPr>
      <w:r>
        <w:rPr>
          <w:rFonts w:eastAsiaTheme="minorEastAsia"/>
          <w:b/>
          <w:bCs/>
          <w:sz w:val="28"/>
          <w:szCs w:val="28"/>
        </w:rPr>
        <w:t xml:space="preserve">4.1.2 Implementation </w:t>
      </w:r>
    </w:p>
    <w:p w14:paraId="1659CCEE" w14:textId="77777777" w:rsidR="009644C4" w:rsidRPr="0045198E" w:rsidRDefault="009644C4" w:rsidP="009644C4">
      <w:pPr>
        <w:rPr>
          <w:rFonts w:eastAsiaTheme="minorEastAsia"/>
          <w:b/>
          <w:bCs/>
          <w:sz w:val="28"/>
          <w:szCs w:val="28"/>
        </w:rPr>
      </w:pPr>
    </w:p>
    <w:p w14:paraId="0E1771B3" w14:textId="77777777" w:rsidR="009644C4" w:rsidRDefault="009644C4" w:rsidP="009644C4">
      <w:pPr>
        <w:ind w:firstLine="720"/>
        <w:rPr>
          <w:rFonts w:eastAsiaTheme="minorEastAsia"/>
        </w:rPr>
      </w:pPr>
      <w:r>
        <w:rPr>
          <w:rFonts w:eastAsiaTheme="minorEastAsia"/>
        </w:rPr>
        <w:t xml:space="preserve">As shown in figure 3.3, our selected preferred alternatives </w:t>
      </w:r>
      <w:r>
        <w:rPr>
          <w:rFonts w:eastAsiaTheme="minorEastAsia"/>
          <w:i/>
          <w:iCs/>
        </w:rPr>
        <w:t xml:space="preserve">U(p) </w:t>
      </w:r>
      <w:r>
        <w:rPr>
          <w:rFonts w:eastAsiaTheme="minorEastAsia"/>
        </w:rPr>
        <w:t xml:space="preserve">includes three separate locations across Santa Barbara’s WUI, counting a total of 271 parcels. In our non-preferred set </w:t>
      </w:r>
      <w:r>
        <w:rPr>
          <w:rFonts w:eastAsiaTheme="minorEastAsia"/>
          <w:i/>
          <w:iCs/>
        </w:rPr>
        <w:t>U(q)</w:t>
      </w:r>
      <w:r>
        <w:rPr>
          <w:rFonts w:eastAsiaTheme="minorEastAsia"/>
        </w:rPr>
        <w:t xml:space="preserve"> there are 26,125 parcels, which account for all parcels within the WUI apart from our preferred selection.  To solve the above preference disaggregation method with this data is computationally expensive. Given a preferred set of 271 and a non-preferred set of 26,125, there could be up to 7,079,875 constraints formulated per solve. In solving such as problem, we implemented </w:t>
      </w:r>
      <w:proofErr w:type="spellStart"/>
      <w:r>
        <w:rPr>
          <w:rFonts w:eastAsiaTheme="minorEastAsia"/>
        </w:rPr>
        <w:t>Gurobi</w:t>
      </w:r>
      <w:proofErr w:type="spellEnd"/>
      <w:r>
        <w:rPr>
          <w:rFonts w:eastAsiaTheme="minorEastAsia"/>
        </w:rPr>
        <w:t xml:space="preserve"> (12.0.3) through Python (3.13.7). </w:t>
      </w:r>
    </w:p>
    <w:p w14:paraId="34718C16" w14:textId="77777777" w:rsidR="009644C4" w:rsidRDefault="009644C4" w:rsidP="009644C4">
      <w:pPr>
        <w:ind w:firstLine="720"/>
        <w:rPr>
          <w:rFonts w:eastAsiaTheme="minorEastAsia"/>
        </w:rPr>
      </w:pPr>
    </w:p>
    <w:p w14:paraId="0317FA58" w14:textId="77777777" w:rsidR="009644C4" w:rsidRDefault="009644C4" w:rsidP="009644C4">
      <w:pPr>
        <w:ind w:firstLine="720"/>
        <w:rPr>
          <w:rFonts w:eastAsiaTheme="minorEastAsia"/>
        </w:rPr>
      </w:pPr>
      <w:r>
        <w:rPr>
          <w:rFonts w:eastAsiaTheme="minorEastAsia"/>
        </w:rPr>
        <w:t>As mentioned in 4.1.1, the definition of breakpoints in this model are loose, and may be specified by a user. In preference disaggregation using a method such as this, it is possible and sometimes common for a decision maker to set specified breakpoints at across the value space of a given criterion (SOURCE). This typically requires an informed decision, where a decision maker may know that utility should or should not assigned at certain values (SOURCE).</w:t>
      </w:r>
    </w:p>
    <w:p w14:paraId="49EBA6FC" w14:textId="77777777" w:rsidR="009644C4" w:rsidRDefault="009644C4" w:rsidP="009644C4">
      <w:pPr>
        <w:ind w:firstLine="720"/>
        <w:rPr>
          <w:rFonts w:eastAsiaTheme="minorEastAsia"/>
        </w:rPr>
      </w:pPr>
    </w:p>
    <w:p w14:paraId="7071E10C" w14:textId="77777777" w:rsidR="009644C4" w:rsidRDefault="009644C4" w:rsidP="009644C4">
      <w:pPr>
        <w:ind w:firstLine="720"/>
        <w:rPr>
          <w:rFonts w:eastAsiaTheme="minorEastAsia"/>
        </w:rPr>
      </w:pPr>
      <w:r>
        <w:rPr>
          <w:rFonts w:eastAsiaTheme="minorEastAsia"/>
        </w:rPr>
        <w:t xml:space="preserve">In this paper, we do not define breakpoints on known utility / value relationships. Rather, as is standard practice (SOURCE), we can assign k breakpoints in even steps over a criterion’s values. While utility functions may not be non-linear or else they would be non-convex and NP-hard (SOURCE), they can be made increasingly less linear. As the number of breakpoints is increased, a utility function is given more flexibility to emulate that of a non-linear function. </w:t>
      </w:r>
    </w:p>
    <w:p w14:paraId="5BD36F7C" w14:textId="77777777" w:rsidR="009644C4" w:rsidRDefault="009644C4" w:rsidP="009644C4">
      <w:pPr>
        <w:ind w:firstLine="720"/>
        <w:rPr>
          <w:rFonts w:eastAsiaTheme="minorEastAsia"/>
        </w:rPr>
      </w:pPr>
    </w:p>
    <w:p w14:paraId="5968D810" w14:textId="77777777" w:rsidR="009644C4" w:rsidRDefault="009644C4" w:rsidP="009644C4">
      <w:pPr>
        <w:ind w:firstLine="720"/>
        <w:rPr>
          <w:rFonts w:eastAsiaTheme="minorEastAsia"/>
        </w:rPr>
      </w:pPr>
      <w:r>
        <w:rPr>
          <w:rFonts w:eastAsiaTheme="minorEastAsia"/>
        </w:rPr>
        <w:t xml:space="preserve">To robustly consider different variations in weighting and utility linearity, we propose solutions under vary breakpoint conditions, where breakpoints are defined at equal intervals between [0,1] with iterative alpha values of (k-1). </w:t>
      </w:r>
    </w:p>
    <w:p w14:paraId="2635CCDC" w14:textId="77777777" w:rsidR="009644C4" w:rsidRDefault="009644C4" w:rsidP="009644C4">
      <w:pPr>
        <w:rPr>
          <w:rFonts w:eastAsiaTheme="minorEastAsia"/>
        </w:rPr>
      </w:pPr>
    </w:p>
    <w:p w14:paraId="7900CEBD" w14:textId="77777777" w:rsidR="009644C4" w:rsidRDefault="009644C4" w:rsidP="009644C4">
      <w:pPr>
        <w:ind w:firstLine="720"/>
        <w:rPr>
          <w:rFonts w:eastAsiaTheme="minorEastAsia"/>
        </w:rPr>
      </w:pPr>
      <w:r>
        <w:rPr>
          <w:rFonts w:eastAsiaTheme="minorEastAsia"/>
        </w:rPr>
        <w:t xml:space="preserve">When alpha is equal to one, two break points are set. One where </w:t>
      </w:r>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Sub>
      </m:oMath>
      <w:r>
        <w:rPr>
          <w:rFonts w:eastAsiaTheme="minorEastAsia"/>
        </w:rPr>
        <w:t xml:space="preserve"> = 0 and one where </w:t>
      </w:r>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Sub>
      </m:oMath>
      <w:r>
        <w:rPr>
          <w:rFonts w:eastAsiaTheme="minorEastAsia"/>
        </w:rPr>
        <w:t xml:space="preserve"> is equal to one. Given that we enforce piecewise linear monotonic constraints, the derived utility functions under this scenario are forced to be linear, matching that of typical global linear derived weights. Below we show the derived utility functions of our model using the above preferences under increasing alpha values of 1, 2, 3, and 4. </w:t>
      </w:r>
    </w:p>
    <w:p w14:paraId="2F08190E" w14:textId="77777777" w:rsidR="009644C4" w:rsidRDefault="009644C4" w:rsidP="009644C4">
      <w:pPr>
        <w:rPr>
          <w:rFonts w:eastAsiaTheme="minorEastAsia"/>
        </w:rPr>
      </w:pPr>
    </w:p>
    <w:p w14:paraId="64B5F33E" w14:textId="77777777" w:rsidR="009644C4" w:rsidRDefault="009644C4" w:rsidP="009644C4">
      <w:pPr>
        <w:rPr>
          <w:rFonts w:eastAsiaTheme="minorEastAsia"/>
        </w:rPr>
      </w:pPr>
    </w:p>
    <w:p w14:paraId="33418477" w14:textId="77777777" w:rsidR="009644C4" w:rsidRDefault="009644C4" w:rsidP="009644C4">
      <w:pPr>
        <w:rPr>
          <w:rFonts w:eastAsiaTheme="minorEastAsia"/>
          <w:b/>
          <w:bCs/>
          <w:sz w:val="28"/>
          <w:szCs w:val="28"/>
        </w:rPr>
      </w:pPr>
      <w:r>
        <w:rPr>
          <w:rFonts w:eastAsiaTheme="minorEastAsia"/>
          <w:b/>
          <w:bCs/>
          <w:sz w:val="28"/>
          <w:szCs w:val="28"/>
        </w:rPr>
        <w:t>5. Results</w:t>
      </w:r>
    </w:p>
    <w:p w14:paraId="73839521" w14:textId="77777777" w:rsidR="009644C4" w:rsidRDefault="009644C4" w:rsidP="009644C4">
      <w:pPr>
        <w:rPr>
          <w:rFonts w:eastAsiaTheme="minorEastAsia"/>
          <w:b/>
          <w:bCs/>
          <w:sz w:val="28"/>
          <w:szCs w:val="28"/>
        </w:rPr>
      </w:pPr>
    </w:p>
    <w:p w14:paraId="19FD1345" w14:textId="77777777" w:rsidR="009644C4" w:rsidRPr="00100AC1" w:rsidRDefault="009644C4" w:rsidP="009644C4">
      <w:pPr>
        <w:jc w:val="both"/>
        <w:rPr>
          <w:rFonts w:eastAsiaTheme="minorEastAsia"/>
        </w:rPr>
      </w:pPr>
      <w:r w:rsidRPr="00100AC1">
        <w:rPr>
          <w:rFonts w:eastAsiaTheme="minorEastAsia"/>
        </w:rPr>
        <w:tab/>
        <w:t xml:space="preserve">In the </w:t>
      </w:r>
      <w:proofErr w:type="gramStart"/>
      <w:r w:rsidRPr="00100AC1">
        <w:rPr>
          <w:rFonts w:eastAsiaTheme="minorEastAsia"/>
        </w:rPr>
        <w:t>figure</w:t>
      </w:r>
      <w:r>
        <w:rPr>
          <w:rFonts w:eastAsiaTheme="minorEastAsia"/>
        </w:rPr>
        <w:t>’s</w:t>
      </w:r>
      <w:proofErr w:type="gramEnd"/>
      <w:r>
        <w:rPr>
          <w:rFonts w:eastAsiaTheme="minorEastAsia"/>
        </w:rPr>
        <w:t xml:space="preserve"> to follow, it can be </w:t>
      </w:r>
      <w:proofErr w:type="gramStart"/>
      <w:r>
        <w:rPr>
          <w:rFonts w:eastAsiaTheme="minorEastAsia"/>
        </w:rPr>
        <w:t>see</w:t>
      </w:r>
      <w:proofErr w:type="gramEnd"/>
      <w:r>
        <w:rPr>
          <w:rFonts w:eastAsiaTheme="minorEastAsia"/>
        </w:rPr>
        <w:t xml:space="preserve"> that </w:t>
      </w:r>
    </w:p>
    <w:p w14:paraId="31C90B4D" w14:textId="77777777" w:rsidR="00BB708E" w:rsidRPr="009644C4" w:rsidRDefault="00BB708E" w:rsidP="009644C4"/>
    <w:sectPr w:rsidR="00BB708E" w:rsidRPr="0096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0356D"/>
    <w:multiLevelType w:val="hybridMultilevel"/>
    <w:tmpl w:val="9B0803BC"/>
    <w:lvl w:ilvl="0" w:tplc="F3968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356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D1"/>
    <w:rsid w:val="00005B8B"/>
    <w:rsid w:val="000414D1"/>
    <w:rsid w:val="000D41B6"/>
    <w:rsid w:val="001E1F6A"/>
    <w:rsid w:val="002B5E59"/>
    <w:rsid w:val="0045198E"/>
    <w:rsid w:val="00461BE0"/>
    <w:rsid w:val="00553D4A"/>
    <w:rsid w:val="00627055"/>
    <w:rsid w:val="009644C4"/>
    <w:rsid w:val="009715C6"/>
    <w:rsid w:val="00A31D40"/>
    <w:rsid w:val="00A60603"/>
    <w:rsid w:val="00B64493"/>
    <w:rsid w:val="00B76650"/>
    <w:rsid w:val="00BB708E"/>
    <w:rsid w:val="00BE238C"/>
    <w:rsid w:val="00CC7684"/>
    <w:rsid w:val="00CD3FD3"/>
    <w:rsid w:val="00DC30BB"/>
    <w:rsid w:val="00F74821"/>
    <w:rsid w:val="00FA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20BC"/>
  <w15:chartTrackingRefBased/>
  <w15:docId w15:val="{42D53323-E9FF-934C-8808-FE889754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C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41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4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4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4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4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4D1"/>
    <w:rPr>
      <w:rFonts w:eastAsiaTheme="majorEastAsia" w:cstheme="majorBidi"/>
      <w:color w:val="272727" w:themeColor="text1" w:themeTint="D8"/>
    </w:rPr>
  </w:style>
  <w:style w:type="paragraph" w:styleId="Title">
    <w:name w:val="Title"/>
    <w:basedOn w:val="Normal"/>
    <w:next w:val="Normal"/>
    <w:link w:val="TitleChar"/>
    <w:uiPriority w:val="10"/>
    <w:qFormat/>
    <w:rsid w:val="000414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4D1"/>
    <w:pPr>
      <w:spacing w:before="160"/>
      <w:jc w:val="center"/>
    </w:pPr>
    <w:rPr>
      <w:i/>
      <w:iCs/>
      <w:color w:val="404040" w:themeColor="text1" w:themeTint="BF"/>
    </w:rPr>
  </w:style>
  <w:style w:type="character" w:customStyle="1" w:styleId="QuoteChar">
    <w:name w:val="Quote Char"/>
    <w:basedOn w:val="DefaultParagraphFont"/>
    <w:link w:val="Quote"/>
    <w:uiPriority w:val="29"/>
    <w:rsid w:val="000414D1"/>
    <w:rPr>
      <w:i/>
      <w:iCs/>
      <w:color w:val="404040" w:themeColor="text1" w:themeTint="BF"/>
    </w:rPr>
  </w:style>
  <w:style w:type="paragraph" w:styleId="ListParagraph">
    <w:name w:val="List Paragraph"/>
    <w:basedOn w:val="Normal"/>
    <w:uiPriority w:val="34"/>
    <w:qFormat/>
    <w:rsid w:val="000414D1"/>
    <w:pPr>
      <w:ind w:left="720"/>
      <w:contextualSpacing/>
    </w:pPr>
  </w:style>
  <w:style w:type="character" w:styleId="IntenseEmphasis">
    <w:name w:val="Intense Emphasis"/>
    <w:basedOn w:val="DefaultParagraphFont"/>
    <w:uiPriority w:val="21"/>
    <w:qFormat/>
    <w:rsid w:val="000414D1"/>
    <w:rPr>
      <w:i/>
      <w:iCs/>
      <w:color w:val="0F4761" w:themeColor="accent1" w:themeShade="BF"/>
    </w:rPr>
  </w:style>
  <w:style w:type="paragraph" w:styleId="IntenseQuote">
    <w:name w:val="Intense Quote"/>
    <w:basedOn w:val="Normal"/>
    <w:next w:val="Normal"/>
    <w:link w:val="IntenseQuoteChar"/>
    <w:uiPriority w:val="30"/>
    <w:qFormat/>
    <w:rsid w:val="00041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4D1"/>
    <w:rPr>
      <w:i/>
      <w:iCs/>
      <w:color w:val="0F4761" w:themeColor="accent1" w:themeShade="BF"/>
    </w:rPr>
  </w:style>
  <w:style w:type="character" w:styleId="IntenseReference">
    <w:name w:val="Intense Reference"/>
    <w:basedOn w:val="DefaultParagraphFont"/>
    <w:uiPriority w:val="32"/>
    <w:qFormat/>
    <w:rsid w:val="000414D1"/>
    <w:rPr>
      <w:b/>
      <w:bCs/>
      <w:smallCaps/>
      <w:color w:val="0F4761" w:themeColor="accent1" w:themeShade="BF"/>
      <w:spacing w:val="5"/>
    </w:rPr>
  </w:style>
  <w:style w:type="character" w:styleId="PlaceholderText">
    <w:name w:val="Placeholder Text"/>
    <w:basedOn w:val="DefaultParagraphFont"/>
    <w:uiPriority w:val="99"/>
    <w:semiHidden/>
    <w:rsid w:val="00BB708E"/>
    <w:rPr>
      <w:color w:val="666666"/>
    </w:rPr>
  </w:style>
  <w:style w:type="table" w:styleId="TableGrid">
    <w:name w:val="Table Grid"/>
    <w:basedOn w:val="TableNormal"/>
    <w:uiPriority w:val="39"/>
    <w:rsid w:val="00F74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Funk</dc:creator>
  <cp:keywords/>
  <dc:description/>
  <cp:lastModifiedBy>Theo Funk</cp:lastModifiedBy>
  <cp:revision>4</cp:revision>
  <dcterms:created xsi:type="dcterms:W3CDTF">2025-09-03T16:41:00Z</dcterms:created>
  <dcterms:modified xsi:type="dcterms:W3CDTF">2025-09-04T02:12:00Z</dcterms:modified>
</cp:coreProperties>
</file>