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196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1958年股市的整体情况</w:t>
      </w:r>
    </w:p>
    <w:p w14:paraId="22D1BB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有位朋友，他管理一只中等规模的投资信托，最近他写了这样一句话：“美国人典型的性格特征是善变，这种性格造就了1958年的股票市场，如果要用一个词来形容1958年他们在股市上的情绪，这个词就是“亢奋”。</w:t>
      </w:r>
    </w:p>
    <w:p w14:paraId="1FCF3B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这句话很好地总结出了1958年股市的主要情绪变化，无论业余投资者，还是专业投资者，都这样。在过去一年里，人们找各种理由来证明“投资”股市的正确。和前些年相比，现在股市里性格善变的人更多了，只要他们觉得能轻松赚大钱，就一直不会离开。还有更多这样的人在不断涌入股市，把股价炒得越来越高，这个现象什么时候才能休止，不得而知。有一点我是确定的，股市里这样的人越多，持续时间越长，将来的后果越严重。</w:t>
      </w:r>
    </w:p>
    <w:p w14:paraId="783C7F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不想预测股市，我的精力都放在了寻找低估的股票上。但是，所有人都以为买股票肯定能赚钱，最后一定不会有好结果。到时候，就连低估的股票也难免受到牵连，虽然它们的内在价值不会减少，但股价会大跌。</w:t>
      </w:r>
    </w:p>
    <w:p w14:paraId="1D239B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1958年的业绩</w:t>
      </w:r>
    </w:p>
    <w:p w14:paraId="1A5218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在去年的信中写道：“与一般水平相比，我们在熊市里会比牛市里做得更好。我们今年的业绩不错，但在这样的年份中，我们的表现本来就应该比指数更好。当股市整体大幅上涨时，只要能跟上指数涨幅，我就非常满意了。”</w:t>
      </w:r>
    </w:p>
    <w:p w14:paraId="5EE99D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1958年就属于最后一句话说的情况，我说中了。道指从435点上升到583点，算上20点的股息，道指整体上涨38.5%。过去一年，我管理的五个合伙人账户获得的平均收益率是略高于38.5%。按照年末净值计算，各个合伙人账户的收益率在36.7%到46.2%之间。在我们的投资组合里，有很大一部分股票并没从快速上涨的行情中受益，考虑到这个情况，我认为我们的业绩很不错了。我始终相信，在下跌或平盘的行情中，我们的业绩会跑赢指数，在上涨的行情中，我们能跟上指数涨幅就很好了。</w:t>
      </w:r>
    </w:p>
    <w:p w14:paraId="0A3215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典型案例</w:t>
      </w:r>
    </w:p>
    <w:p w14:paraId="24F5AD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觉得以我们在1958年所做的一项投资为例进行分析，可以让大家更好地了解我们的投资方法。去年，我提到了我们的第一重仓股，它占各个合伙人账户10%到20%的仓位。我说我希望这只股票最好下跌或者平盘，这样我们才能买到更多的货，继续增加仓位。因此，在牛市里，这个股票可能会拖累我们的相对收益。</w:t>
      </w:r>
    </w:p>
    <w:p w14:paraId="54683F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这只股票是新泽西州联合市的联邦信托公司(Commonwealth Trust Co.)。在我们开始买入这只股票时，保守估算，它的内在价值是每股125美元。虽然这家公司每年有10美元左右的盈利，但它出于正当理由，并不发放现金股息，可能主要就是因为不分红，它才会有50美元左右这么低的股价。于是，我们就有了这个投资机会：一家管理优良的银行，盈利能力强，按内在价值计算折价高。管理层对我们的到来表示欢迎，这笔投资最终亏损的风险非常小。</w:t>
      </w:r>
    </w:p>
    <w:p w14:paraId="69249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联邦信托的第一大股东是另一家规模更大的银行，持股比例是25.5%（联邦信托总资产为5000万美元，规模大约是奥马哈第一国民银行(First National)的一半）。多年来，第一大股东一直希望能并购联邦信托。某些个人原因阻碍了并购，但是有迹象表明这种状况不会无限期持续下去。综合起来看，摆在我们面前的这家公司情况是这样的：</w:t>
      </w:r>
    </w:p>
    <w:p w14:paraId="518235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1.防守属性极高；</w:t>
      </w:r>
    </w:p>
    <w:p w14:paraId="215481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2.价值明确可靠，而且能持续以令人满意的速度创造价值；</w:t>
      </w:r>
    </w:p>
    <w:p w14:paraId="19AFE3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3.有迹象表明，公司的价值最终会释放出来，这个时间可能是一年，也可能是十年。假如是十年，公司在此期间会积累非常高的价值，到时它可能值每股250美元。</w:t>
      </w:r>
    </w:p>
    <w:p w14:paraId="4FFF79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用了一年左右时间，买到了这家银行12%的股份，买入平均成本大约是每股51美元。不难看出，这只股票股价沉闷对我们绝对是好事。这家公司的股票，我们持有的越多，价值越高，特别是我们成为第二大股东后，我们就有了充足的投票权，在任何并购提议上，我们的意见都有举足轻重的作用。</w:t>
      </w:r>
    </w:p>
    <w:p w14:paraId="2223B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联邦信托只有300多个股东，平均每月只有两笔交易。这样你就明白了，为什么我说我们持有的一些股票受大盘行情的影响很小。</w:t>
      </w:r>
    </w:p>
    <w:p w14:paraId="4CB534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很可惜，我们在买入过程中确实遭遇了竞争对手，股价涨到了65美元，在这个价格，我们既没买，也没卖。对于不活跃的股票，很小的买单就能导致价格发生这么大的变化，所以说一定不能“泄漏”我们的投资组合持股。</w:t>
      </w:r>
    </w:p>
    <w:p w14:paraId="6EB8D5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去年年末，我找到了一个特殊情况投资机会，可以以很便宜的价格成为最大股东。于是，我卖出了我们持有的联邦信托股票，卖出价是每股80美元，当时市场报价比这个价格低20%。我们完全可以继续持有50美元买入的联邦信托，继续耐心地零星买入。我很愿意这么做，不过要是这样做的话，我们去年的业绩就跟不上市场了。买联邦信托这样的股票，我们在哪一年能获利，有很大的偶然因素，很难说。我们在一个年度里的盈亏完全不足以衡量我们的长期业绩。虽然如此，我相信投资低估的、能得到良好保护的股票，是取得长期收益最可靠的途径。</w:t>
      </w:r>
    </w:p>
    <w:p w14:paraId="6F6B02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顺便说一句，80美元买入联邦信托的，长期来看，收益会相当不错。可是，135美元的内在价值，80美元价格的低估，与125美元的内在价值，50美元价格的低估，比起来差距还是很大的。我认为，我把资金换到另一只股票上，在这只股票上，我们的资金可以创造更多收益。这只新股票体量比联邦信托大一些，占各个合伙人账户资产的25%左右。虽说与我们现在持有的许多（或一些）其他股票相比，这只新股票的折价没它们高，但是我们是这只新股票的最大股东，这个大股东的地位给了我们巨大优势，我们可以施加更多影响，控制估值修复所需的时间。就这只股票而言，在我们持有期间，我们几乎可以保证它的表现会优于道指。</w:t>
      </w:r>
    </w:p>
    <w:p w14:paraId="4E56D7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当前的情况</w:t>
      </w:r>
    </w:p>
    <w:p w14:paraId="6F31F6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股市越高，低估的股票越少。我现在发现找到足够多的便宜的股票，有些不容易了。我想提升套利类的占比，但很难找到条件合适的套利品种。如果可能的话，我想大量买入几只低估的股票，自己创造套利机会。按照这样的策略，我们应该能做到我之前所预测的——在熊市中跑赢指数。我希望合伙人按照这个标准评价我的表现。如果有问题，请随时问我。</w:t>
      </w:r>
    </w:p>
    <w:p w14:paraId="00A4B2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沃伦.巴菲特</w:t>
      </w:r>
    </w:p>
    <w:p w14:paraId="4A8278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1959年2月11日</w:t>
      </w:r>
    </w:p>
    <w:p w14:paraId="418A4C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5E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2025-02-15T17:41:53Z</dcterms:created>
  <dc:creator>ginge</dc:creator>
  <cp:lastModifiedBy>A Unique Pig 金杰</cp:lastModifiedBy>
  <dcterms:modified xsi:type="dcterms:W3CDTF">2025-02-15T17:42:05Z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eyJoZGlkIjoiMzEwNTM5NzYwMDRjMzkwZTVkZjY2ODkwMGIxNGU0OTUiLCJ1c2VySWQiOiIyMzYyNzMyMzcifQ==</vt:lpwstr>
  </property>
  <property fmtid="{D5CDD505-2E9C-101B-9397-08002B2CF9AE}" pid="4" name="ICV">
    <vt:lpwstr>B66182668D1B406AACAED69530E9C75A_12</vt:lpwstr>
  </property>
</Properties>
</file>