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3603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0"/>
          <w:szCs w:val="40"/>
        </w:rPr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致伯克希尔·哈撒韦全体股东：</w:t>
      </w:r>
    </w:p>
    <w:p w14:paraId="53D53A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1972年伯克希尔·哈撒韦的营业利润令人兴奋的达到了年初股东权益的19.8%。这些业绩都记录在我们所有的主要业务当中。但最大的利润贡献是我们的保险承保利润。保费利润已经超过了我们的历史平均水平，甚至要比我们未来的利润还要高。</w:t>
      </w:r>
    </w:p>
    <w:p w14:paraId="0E3659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虽然我们预测1973年营业利润会有适度降低，但是近年来我们的多样化的举动已经建立了一个高盈利的基础。假定我们在1965年接管伯克希尔，继续将我们的资金投入到我们的纺织业务中我们的利润是非常低的。1972年的营业利润为$11,116,256，是我们如上述那样做（继续投资于纺织业务）的好多倍。1964年底，伯克希尔的股东权益为$22,138,753。从那时起，我们没有把额外的资本投入纺织业务，无论是现金方式或者股本合并方式。相反，我们对股票进行了回购，使股本减少了14%。每股账面价值从1964年的19.46美元增加到1972年的69.72美元，复合增长率为16.5%。</w:t>
      </w:r>
    </w:p>
    <w:p w14:paraId="2E6E5F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近年来，不论从金融方面还是人力方面，我们的三个主要收购表现的都非常的好。在这三个收购中，创始人是主要卖方，在将公司卖给我们时收到了现金，同时Jack Ringwalt,Gene Abegg和Vic Raab三个人继续经营着企业，热情和想象力丝毫没有减少，使公司的业务继续保持好的发展势头。我们将继续稳健拓展主要业务，同时也开拓新业务，使我们的资本更有效率的运用。</w:t>
      </w:r>
    </w:p>
    <w:p w14:paraId="41B22CE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19EB1F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92" w:afterAutospacing="0" w:line="24" w:lineRule="atLeast"/>
        <w:ind w:left="0" w:right="0"/>
        <w:rPr>
          <w:sz w:val="18"/>
          <w:szCs w:val="18"/>
        </w:rPr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纺织业务</w:t>
      </w:r>
    </w:p>
    <w:p w14:paraId="28073E3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2C133F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正如去年年报所说的，我们的纺织业务1972年有了些起色。这几年，Ken Chace和Ralph Rigby建立了出色的销售队伍，名声、服务、责任心都非常好。我们对产品生产进行了调整，使其可以与我们的销售相适应。受惠于行业复苏，我们的努力在1972年获得了一些成绩。除了减少资金需求，存货也得到控制，出清存货损失也达到最小化，产品结构大大提高了。虽然行业大背景对我们纺织业务影响很大，但是我们在行业的地位得到了很大的提升。1973 年的前景应该会比较好。</w:t>
      </w:r>
    </w:p>
    <w:p w14:paraId="428ADDA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15D3FC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92" w:afterAutospacing="0" w:line="24" w:lineRule="atLeast"/>
        <w:ind w:left="0" w:right="0"/>
        <w:rPr>
          <w:sz w:val="18"/>
          <w:szCs w:val="18"/>
        </w:rPr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保险承销</w:t>
      </w:r>
    </w:p>
    <w:p w14:paraId="3A45342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62C64A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1972年，国民保险公司在传统保险领域的保费利润增长巨大，这与现实经营环境貌似相冲突。72年利润大增，但这样的利润导致产生大量的新竞争对手。总之，如果今年利润没有这样大幅的增加，我们会预测我们未来5年发展前景良好。</w:t>
      </w:r>
    </w:p>
    <w:p w14:paraId="68A540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我们在去年年度报告里已经预测了将会有大量新的竞争对手出现，依据是去年的保单数量。我们认为行业承保利润率在1973、1974年将会变小。不幸的是，现在剧烈竞争的影响可能是在未来几年。在这段时间，我们希望继续减少我们的保单数量。我们经验丰富的管理层（由Jack Ringwalt和Phil Liesche领导）将继续保持承保利润（虽然不会像1972年那样高），我们的眼光是长期而非短期。虽然现在情况可能不是太好，但长期来看我们的业绩会很好。</w:t>
      </w:r>
    </w:p>
    <w:p w14:paraId="0C80F0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我们的再保险部门也同样在72年面临了很大的竞争。大量新公司进入到这个原本就不大的市场，而且利率水平也出现了下降，尤其是在可能发生大灾难的区域。由于1972年没有出现重大灾难，我们业务运转良好。</w:t>
      </w:r>
    </w:p>
    <w:p w14:paraId="70ADFC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George Young在几年时间里就已经建立了非常好的再保险业务。从长远来看，我们计划成为该领域的领头羊。但是在利率条件恶化的背景下，冒然增加保单量不是一个明智的做法。在我们看来，承销风险比以往任何时候都大。如果潜在的损失变为现实，我们会重新进行评估，从而指导我们工作，使其更好发展。</w:t>
      </w:r>
    </w:p>
    <w:p w14:paraId="7CA2EA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在“home state”业务上，我们第一个公司，Cornhusker Casualty Company取得了非常理想的业绩。该公司只在内布拉斯加州有业务。在第二年，保险索赔已经占到了整个地区订单的三分之一。另外两家小公司分别位于明尼苏达州（Minnesota）和得克萨斯州（Texas），发生了少量的亏损。“home state”的管理层明白对我们业绩衡量的唯一标尺为盈利能力，我们只有在我们的业务被证明是明智的情况下，才开始拓展我们的业务。新公司的费用较高，其原因为他们现在处于一个高速发展时期。John Ringwalt出色的运营着我们的业务，并计划在73年至少增加一个州的业务量。现在还有很多的工作需要做。“home state”的前景会相当的好。</w:t>
      </w:r>
    </w:p>
    <w:p w14:paraId="6F1B8D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去年我们说了我们收购了位于芝加哥的Home and Automobile Insurance。那时我们感觉良好，现在感觉更好。公司由Vic Raab领导，72年业务仍然相当不错。我们计划73年进入佛罗里达和加州市场，该公司在城市有很高的机动车辆覆盖率，在库克郡我们就是采用这种策略成功的。Vic Raab拥有管理大公司的才能。我们希望公司未来几年加速发展。</w:t>
      </w:r>
    </w:p>
    <w:p w14:paraId="4CD8A58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02DDB0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92" w:afterAutospacing="0" w:line="24" w:lineRule="atLeast"/>
        <w:ind w:left="0" w:right="0"/>
        <w:rPr>
          <w:sz w:val="18"/>
          <w:szCs w:val="18"/>
        </w:rPr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保险投资</w:t>
      </w:r>
    </w:p>
    <w:p w14:paraId="682BA18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08C3D7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1969年到1971年的保费收入非常的高，这几年利率水平也很好，我们因此而受惠。我们建立了大型基金并很好的加以运用。大部分基金投资在了免税债券。我们的投资所得从 1969年的$2,025,201增加到1972年的$6,755,242，这些投资容易受低有效税率的影响。我们的债券投资组合将会在未来几年使我们受益。虽然现在保费收入不足，但是稳健的投资收益弥补了这些。</w:t>
      </w:r>
    </w:p>
    <w:p w14:paraId="7E48607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57CE5E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92" w:afterAutospacing="0" w:line="24" w:lineRule="atLeast"/>
        <w:ind w:left="0" w:right="0"/>
        <w:rPr>
          <w:sz w:val="18"/>
          <w:szCs w:val="18"/>
        </w:rPr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银行业务</w:t>
      </w:r>
    </w:p>
    <w:p w14:paraId="50099DC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29B066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我们的银行子公司（伊利诺斯州银行及信托公司），继续在盈利水平上保持行业领先地位，税后利润为平均存款的2.2%。取得这样成绩与如下因素有关：(1)各种存款工具中定期存款占到了50%，都达到了法律允许的最高利率;(2)保持了强劲的资产流动性并避免了货币市场借款;(3)这两年，贷款产生的坏账率水平只有商业银行平均值的5%。这些好成绩都归功于Gene Abegg和Bob Kline的领导。在他们的领导下股东和储户都可以睡个好觉。</w:t>
      </w:r>
    </w:p>
    <w:p w14:paraId="290742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1972年我们向储户支付的利率是1969年的两倍。我们积极寻求消费者定期存款，却没有追求大“货币市场”存单，尽管在过去的几年里，他们的成本较低。</w:t>
      </w:r>
    </w:p>
    <w:p w14:paraId="0BC847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在过去的一年里，贷款增加了大约38%。大大超过了的1971年的资产负债表，71年总贷款中短期商业票据为10.9万，但是72年资产负债表中没有记录这些。</w:t>
      </w:r>
    </w:p>
    <w:p w14:paraId="01A4A6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1972年，伊利诺斯州银行及信托公司的地位得到提升。现在的利率结构，投资基金的减少以及非联邦税收的增加，这几个因素使伊利诺斯国家银行73年的利润增长变得困难。</w:t>
      </w:r>
    </w:p>
    <w:p w14:paraId="7303FB6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52D739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92" w:afterAutospacing="0" w:line="24" w:lineRule="atLeast"/>
        <w:ind w:left="0" w:right="0"/>
        <w:rPr>
          <w:sz w:val="18"/>
          <w:szCs w:val="18"/>
        </w:rPr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金融</w:t>
      </w:r>
    </w:p>
    <w:p w14:paraId="6314554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3EC86F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1973年3月15日，伯克希尔-哈撒韦从20家机构借款2000万美元，利率为8%。这批借款在1993年3月1到期，主要还款开始日期为1979年3月1日。其中900万被用来偿还我们的银行贷款，其余的被投资于保险子公司。我们期待将有机会不断扩张我们的保险业务，我们加强公司资金基础，为这些机会的到来准备。</w:t>
      </w:r>
    </w:p>
    <w:p w14:paraId="63826F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我们的银行与保险信托公司对客户非常负责。在这些业务中，我们保持资本实力远远高于行业标准，而且保持良好的盈利能力。我们将继续实现之前制定的目标，同时保持良好盈利。</w:t>
      </w:r>
    </w:p>
    <w:p w14:paraId="78C651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jc w:val="righ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沃伦·巴菲特</w:t>
      </w:r>
    </w:p>
    <w:p w14:paraId="32979B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jc w:val="righ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董事会主席</w:t>
      </w:r>
    </w:p>
    <w:p w14:paraId="3E3D55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jc w:val="righ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1973年3月16日</w:t>
      </w:r>
    </w:p>
    <w:p w14:paraId="62E48DD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011B14"/>
    <w:multiLevelType w:val="multilevel"/>
    <w:tmpl w:val="92011B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B482210"/>
    <w:multiLevelType w:val="multilevel"/>
    <w:tmpl w:val="AB4822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C74609B0"/>
    <w:multiLevelType w:val="multilevel"/>
    <w:tmpl w:val="C74609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FFADC83E"/>
    <w:multiLevelType w:val="multilevel"/>
    <w:tmpl w:val="FFADC8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4F581D29"/>
    <w:multiLevelType w:val="multilevel"/>
    <w:tmpl w:val="4F581D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50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2025-02-15T18:13:48Z</dcterms:created>
  <dc:creator>ginge</dc:creator>
  <cp:lastModifiedBy>A Unique Pig 金杰</cp:lastModifiedBy>
  <dcterms:modified xsi:type="dcterms:W3CDTF">2025-02-15T18:14:02Z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eyJoZGlkIjoiMzEwNTM5NzYwMDRjMzkwZTVkZjY2ODkwMGIxNGU0OTUiLCJ1c2VySWQiOiIyMzYyNzMyMzcifQ==</vt:lpwstr>
  </property>
  <property fmtid="{D5CDD505-2E9C-101B-9397-08002B2CF9AE}" pid="4" name="ICV">
    <vt:lpwstr>97EE1E3AF0EE43FB9C1D3D893A8CAEE1_12</vt:lpwstr>
  </property>
</Properties>
</file>