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Investigative Eating Meditation — An Explanation</w:t>
      </w:r>
    </w:p>
    <w:p>
      <w:pPr>
        <w:jc w:val="center"/>
      </w:pPr>
      <w:r>
        <w:rPr>
          <w:i/>
          <w:color w:val="777777"/>
          <w:sz w:val="20"/>
        </w:rPr>
        <w:t>Thème : Daily Life &amp; Integration</w:t>
      </w:r>
    </w:p>
    <w:p>
      <w:pPr>
        <w:jc w:val="center"/>
      </w:pPr>
      <w:r>
        <w:rPr>
          <w:i/>
          <w:color w:val="777777"/>
          <w:sz w:val="20"/>
        </w:rPr>
        <w:t>Source : Investigative Eating Meditation — An Explanation</w:t>
      </w:r>
    </w:p>
    <w:p/>
    <w:p>
      <w:pPr>
        <w:spacing w:after="120"/>
        <w:ind w:firstLine="397"/>
        <w:jc w:val="both"/>
      </w:pPr>
      <w:r>
        <w:rPr>
          <w:color w:val="000000"/>
        </w:rPr>
        <w:t xml:space="preserve">*Namo tassa bhagavato arahato sammāsambuddhassa*  </w:t>
        <w:br/>
        <w:t xml:space="preserve">*Namo tassa bhagavato arahato sammāsambuddhassa*  </w:t>
        <w:br/>
        <w:t>*Namo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This is a talk about eating meditation or using the process of eating for purposes of becoming fully liberated.</w:t>
      </w:r>
    </w:p>
    <w:p>
      <w:pPr>
        <w:spacing w:after="120"/>
        <w:ind w:firstLine="397"/>
        <w:jc w:val="both"/>
      </w:pPr>
      <w:r>
        <w:rPr>
          <w:color w:val="000000"/>
        </w:rP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pPr>
        <w:spacing w:after="120"/>
        <w:ind w:firstLine="397"/>
        <w:jc w:val="both"/>
      </w:pPr>
      <w:r>
        <w:rPr>
          <w:color w:val="000000"/>
        </w:rPr>
        <w:t>While I was staying at Kanduboda Meditation Centre in Sri Lanka, a man told me that once when out in the wilds he'd got lost and over a period of a few days became so hungry that when he finally caught a pigeon, he ripped it open and ate it raw. He was a good meditator.</w:t>
      </w:r>
    </w:p>
    <w:p>
      <w:pPr>
        <w:spacing w:after="120"/>
        <w:ind w:firstLine="397"/>
        <w:jc w:val="both"/>
      </w:pPr>
      <w:r>
        <w:rPr>
          <w:color w:val="000000"/>
        </w:rP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pPr>
        <w:spacing w:after="120"/>
        <w:ind w:firstLine="397"/>
        <w:jc w:val="both"/>
      </w:pPr>
      <w:r>
        <w:rPr>
          <w:color w:val="000000"/>
        </w:rP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 themselves buying a packet. That is, attachment is none other than a dependency on something or indeed someone to create a mental state of happiness.</w:t>
      </w:r>
    </w:p>
    <w:p>
      <w:pPr>
        <w:spacing w:after="120"/>
        <w:ind w:firstLine="397"/>
        <w:jc w:val="both"/>
      </w:pPr>
      <w:r>
        <w:rPr>
          <w:color w:val="000000"/>
        </w:rP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pPr>
        <w:spacing w:after="120"/>
        <w:ind w:firstLine="397"/>
        <w:jc w:val="both"/>
      </w:pPr>
      <w:r>
        <w:rPr>
          <w:color w:val="000000"/>
        </w:rPr>
        <w:t>The third is grief. The misery we feel when we have to diet. The shock we suffer when we lose a mobile. The distress of leaving an expensive hat or bag behind in a restaurant only to find it has disappeared. But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friend.</w:t>
      </w:r>
    </w:p>
    <w:p>
      <w:pPr>
        <w:spacing w:after="120"/>
        <w:ind w:firstLine="397"/>
        <w:jc w:val="both"/>
      </w:pPr>
      <w:r>
        <w:rPr>
          <w:color w:val="000000"/>
        </w:rPr>
        <w:t>Fourthly, there's anxiety, which always sits beneath everything we possess. The run on flour, pasta and, bewilderingly, toilet paper at the start of the lockdown is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pPr>
        <w:spacing w:after="120"/>
        <w:ind w:firstLine="397"/>
        <w:jc w:val="both"/>
      </w:pPr>
      <w:r>
        <w:rPr>
          <w:color w:val="000000"/>
        </w:rPr>
        <w:t>Finally there is boredom. If you remember Māra the evil tempter, the sensual life personified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pPr>
        <w:spacing w:after="120"/>
        <w:ind w:firstLine="397"/>
        <w:jc w:val="both"/>
      </w:pPr>
      <w:r>
        <w:rPr>
          <w:color w:val="000000"/>
        </w:rP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pPr>
        <w:spacing w:after="120"/>
        <w:ind w:firstLine="397"/>
        <w:jc w:val="both"/>
      </w:pPr>
      <w:r>
        <w:rPr>
          <w:color w:val="000000"/>
        </w:rPr>
        <w:t>The second noble truth states that the cause of suffering is the insatiable thirst which generates moment to moment becoming, accompanied by obsessive indulgence, finding fresh excitement now here, now there, namely, the insatiable hunger for sensual pleasures, for continued becoming and non-becoming.</w:t>
      </w:r>
    </w:p>
    <w:p>
      <w:pPr>
        <w:spacing w:after="120"/>
        <w:ind w:firstLine="397"/>
        <w:jc w:val="both"/>
      </w:pPr>
      <w:r>
        <w:rPr>
          <w:color w:val="000000"/>
        </w:rPr>
        <w:t>What do we do? Well,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is to begin to realize that we are but a compound made up of many pieces, all depending on each other, to create an embodied person. We are beginning to undermine this delusion. I am what I feel or think I am.</w:t>
      </w:r>
    </w:p>
    <w:p>
      <w:pPr>
        <w:spacing w:after="120"/>
        <w:ind w:firstLine="397"/>
        <w:jc w:val="both"/>
      </w:pPr>
      <w:r>
        <w:rPr>
          <w:color w:val="000000"/>
        </w:rP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pPr>
        <w:spacing w:after="120"/>
        <w:ind w:firstLine="397"/>
        <w:jc w:val="both"/>
      </w:pPr>
      <w:r>
        <w:rPr>
          <w:color w:val="000000"/>
        </w:rP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pPr>
        <w:spacing w:after="120"/>
        <w:ind w:firstLine="397"/>
        <w:jc w:val="both"/>
      </w:pPr>
      <w:r>
        <w:rPr>
          <w:color w:val="000000"/>
        </w:rPr>
        <w:t>If we determine it is unwholesome all we have to do is bear with the desire until it burns itself out. In so doing the habit that it expresses is weakened and will eventually lose all power over us. If a desire is judged to be wholesome, well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pPr>
        <w:spacing w:after="120"/>
        <w:ind w:firstLine="397"/>
        <w:jc w:val="both"/>
      </w:pPr>
      <w:r>
        <w:rPr>
          <w:color w:val="000000"/>
        </w:rPr>
        <w:t>In the Brahmāyu Sutta, there's a passage describing how the Buddha receives food and eats it. Here, he's described what he actually experiences. He takes the food experiencing the taste, though not experiencing greed for the taste. In other words, just the pleasant sensations. This is on occasion chanted by monastics at mealtimes.</w:t>
      </w:r>
    </w:p>
    <w:p>
      <w:pPr>
        <w:spacing w:after="120"/>
        <w:ind w:firstLine="397"/>
        <w:jc w:val="both"/>
      </w:pPr>
      <w:r>
        <w:rPr>
          <w:color w:val="000000"/>
        </w:rPr>
        <w:t>Food, I take, has eight factors. It is neither for amusement 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pPr>
        <w:spacing w:after="120"/>
        <w:ind w:firstLine="397"/>
        <w:jc w:val="both"/>
      </w:pPr>
      <w:r>
        <w:rPr>
          <w:color w:val="000000"/>
        </w:rPr>
        <w:t>What we're developing is an attitude, and an attitude is a way of relating. It's not specific to a particular object. So as we undermine greed around food, we're undermining all indulgence, for the same psychology appears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*Nibbāna* is freedom. It's freedom from unwholesome desires.</w:t>
      </w:r>
    </w:p>
    <w:p>
      <w:pPr>
        <w:spacing w:after="120"/>
        <w:ind w:firstLine="397"/>
        <w:jc w:val="both"/>
      </w:pPr>
      <w:r>
        <w:rPr>
          <w:color w:val="000000"/>
        </w:rP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pPr>
        <w:spacing w:after="120"/>
        <w:ind w:firstLine="397"/>
        <w:jc w:val="both"/>
      </w:pPr>
      <w:r>
        <w:rPr>
          <w:color w:val="000000"/>
        </w:rP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 Here, between indulgence and self-mortification, the pleasures and joys of life are a human birthright, but they come and go like everything else. What are we actually holding on to?</w:t>
      </w:r>
    </w:p>
    <w:p>
      <w:pPr>
        <w:spacing w:after="120"/>
        <w:ind w:firstLine="397"/>
        <w:jc w:val="both"/>
      </w:pPr>
      <w:r>
        <w:rPr>
          <w:color w:val="000000"/>
        </w:rPr>
        <w:t>In conclusion then,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w:t>
      </w:r>
    </w:p>
    <w:p>
      <w:pPr>
        <w:spacing w:after="120"/>
        <w:ind w:firstLine="397"/>
        <w:jc w:val="both"/>
      </w:pPr>
      <w:r>
        <w:rPr>
          <w:color w:val="000000"/>
        </w:rPr>
        <w:t>I can only hope my words have been of some assistance that they have not caused confusion and that by your careful attentive eating you will liberate yourself from all suffering.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