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FA68348" w:rsidP="2FA68348" w:rsidRDefault="2FA68348" w14:paraId="49E2FD52" w14:textId="3D0A1E58">
      <w:pPr>
        <w:spacing w:before="240" w:beforeAutospacing="off" w:after="115" w:afterAutospacing="off"/>
      </w:pPr>
      <w:r w:rsidRPr="2FA68348" w:rsidR="2FA68348">
        <w:rPr>
          <w:rFonts w:ascii="Arial" w:hAnsi="Arial" w:eastAsia="Arial" w:cs="Arial"/>
          <w:b w:val="1"/>
          <w:bCs w:val="1"/>
          <w:i w:val="0"/>
          <w:iCs w:val="0"/>
          <w:strike w:val="0"/>
          <w:dstrike w:val="0"/>
          <w:noProof w:val="0"/>
          <w:color w:val="000000" w:themeColor="text1" w:themeTint="FF" w:themeShade="FF"/>
          <w:sz w:val="22"/>
          <w:szCs w:val="22"/>
          <w:u w:val="none"/>
          <w:lang w:val="en"/>
        </w:rPr>
        <w:t>Presumptive Definition of the Term “vapor money theory” Under Rule of Evidence 301:</w:t>
      </w:r>
    </w:p>
    <w:p w:rsidR="2FA68348" w:rsidP="2FA68348" w:rsidRDefault="2FA68348" w14:paraId="6BFCBB46" w14:textId="69ADCDD7">
      <w:pPr>
        <w:shd w:val="clear" w:color="auto" w:fill="FFFFFF" w:themeFill="background1"/>
        <w:spacing w:before="240" w:beforeAutospacing="off" w:after="0" w:afterAutospacing="off" w:line="331" w:lineRule="auto"/>
      </w:pPr>
      <w:r w:rsidRPr="15FEF1DA" w:rsidR="15FEF1DA">
        <w:rPr>
          <w:rFonts w:ascii="Arial" w:hAnsi="Arial" w:eastAsia="Arial" w:cs="Arial"/>
          <w:b w:val="0"/>
          <w:bCs w:val="0"/>
          <w:i w:val="0"/>
          <w:iCs w:val="0"/>
          <w:strike w:val="0"/>
          <w:dstrike w:val="0"/>
          <w:noProof w:val="0"/>
          <w:color w:val="000000" w:themeColor="text1" w:themeTint="FF" w:themeShade="FF"/>
          <w:sz w:val="22"/>
          <w:szCs w:val="22"/>
          <w:u w:val="none"/>
          <w:lang w:val="en"/>
        </w:rPr>
        <w:t>Due to this term having a very vague official legal definition, I will place forth a definition here that will become a stipulated fact of this case if not rebutted by the advocates for the opposing counsel.</w:t>
      </w:r>
    </w:p>
    <w:p w:rsidR="2FA68348" w:rsidP="2FA68348" w:rsidRDefault="2FA68348" w14:paraId="6F77D306" w14:textId="288C8193">
      <w:pPr>
        <w:shd w:val="clear" w:color="auto" w:fill="FFFFFF" w:themeFill="background1"/>
        <w:spacing w:before="240" w:beforeAutospacing="off" w:after="0" w:afterAutospacing="off" w:line="331" w:lineRule="auto"/>
      </w:pP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
        </w:rPr>
        <w:t>Supreme Court case law is clear on this definition and supersedes all references in this case on these subjects.</w:t>
      </w:r>
    </w:p>
    <w:p w:rsidR="2FA68348" w:rsidP="2FA68348" w:rsidRDefault="2FA68348" w14:paraId="12AF9684" w14:textId="207238B3">
      <w:pPr>
        <w:shd w:val="clear" w:color="auto" w:fill="FFFFFF" w:themeFill="background1"/>
        <w:spacing w:before="240" w:beforeAutospacing="off" w:after="0" w:afterAutospacing="off" w:line="331" w:lineRule="auto"/>
      </w:pP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
        </w:rPr>
        <w:t xml:space="preserve">In </w:t>
      </w:r>
      <w:r w:rsidRPr="2FA68348" w:rsidR="2FA68348">
        <w:rPr>
          <w:rFonts w:ascii="Arial" w:hAnsi="Arial" w:eastAsia="Arial" w:cs="Arial"/>
          <w:b w:val="0"/>
          <w:bCs w:val="0"/>
          <w:i w:val="1"/>
          <w:iCs w:val="1"/>
          <w:strike w:val="0"/>
          <w:dstrike w:val="0"/>
          <w:noProof w:val="0"/>
          <w:color w:val="000000" w:themeColor="text1" w:themeTint="FF" w:themeShade="FF"/>
          <w:sz w:val="22"/>
          <w:szCs w:val="22"/>
          <w:u w:val="none"/>
          <w:lang w:val="en"/>
        </w:rPr>
        <w:t>Shaw v. Railroad Co., 101 US 557 (U.S. Supreme Court - 1880)</w:t>
      </w: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
        </w:rPr>
        <w:t>, the Honorable Mr. William Strong states the following:</w:t>
      </w:r>
    </w:p>
    <w:p w:rsidR="2FA68348" w:rsidP="2FA68348" w:rsidRDefault="2FA68348" w14:paraId="150D56A9" w14:textId="309E592E">
      <w:pPr>
        <w:shd w:val="clear" w:color="auto" w:fill="FFFFFF" w:themeFill="background1"/>
        <w:spacing w:before="240" w:beforeAutospacing="off" w:after="0" w:afterAutospacing="off" w:line="331" w:lineRule="auto"/>
        <w:ind w:left="720" w:right="0"/>
      </w:pPr>
      <w:r w:rsidRPr="2FA68348" w:rsidR="2FA68348">
        <w:rPr>
          <w:rFonts w:ascii="Arial" w:hAnsi="Arial" w:eastAsia="Arial" w:cs="Arial"/>
          <w:b w:val="1"/>
          <w:bCs w:val="1"/>
          <w:i w:val="0"/>
          <w:iCs w:val="0"/>
          <w:strike w:val="0"/>
          <w:dstrike w:val="0"/>
          <w:noProof w:val="0"/>
          <w:color w:val="000000" w:themeColor="text1" w:themeTint="FF" w:themeShade="FF"/>
          <w:sz w:val="22"/>
          <w:szCs w:val="22"/>
          <w:u w:val="none"/>
          <w:lang w:val="en"/>
        </w:rPr>
        <w:t>Bills of exchange and promissory notes are exceptional in their character. They are representatives of money, circulating in the commercial world as evidence of money, "of which any person in lawful possession may avail himself to pay debts or make purchases or make remittances of money from one country to another, or to remote places in the same country. Hence, as said by Story, J., it has become a general rule of the commercial world to hold bills of exchange, as in some sort, sacred instrument in favor of bona fide holders for a valuable consideration without notice." Without such a holding they could not perform their peculiar functions. It is for this reason it is held that if a bill or note, endorsed in blank or payable to bearer, be lost or stolen, and be purchased from the finder or thief, without any knowledge of want of ownership in the vendor, the bona fide purchaser may hold it against the true owner.</w:t>
      </w:r>
    </w:p>
    <w:p w:rsidR="2FA68348" w:rsidP="2FA68348" w:rsidRDefault="2FA68348" w14:paraId="4E1E24DA" w14:textId="600E71EA">
      <w:pPr>
        <w:shd w:val="clear" w:color="auto" w:fill="FFFFFF" w:themeFill="background1"/>
        <w:spacing w:before="240" w:beforeAutospacing="off" w:after="0" w:afterAutospacing="off" w:line="331" w:lineRule="auto"/>
      </w:pP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In </w:t>
      </w:r>
      <w:r w:rsidRPr="2FA68348" w:rsidR="2FA68348">
        <w:rPr>
          <w:rFonts w:ascii="Arial" w:hAnsi="Arial" w:eastAsia="Arial" w:cs="Arial"/>
          <w:b w:val="0"/>
          <w:bCs w:val="0"/>
          <w:i w:val="1"/>
          <w:iCs w:val="1"/>
          <w:strike w:val="0"/>
          <w:dstrike w:val="0"/>
          <w:noProof w:val="0"/>
          <w:color w:val="000000" w:themeColor="text1" w:themeTint="FF" w:themeShade="FF"/>
          <w:sz w:val="22"/>
          <w:szCs w:val="22"/>
          <w:u w:val="none"/>
          <w:lang w:val="en-US"/>
        </w:rPr>
        <w:t>FDIC v. Philadelphia Gear Corp., 476 US 426 (U.S. Supreme Court - 1986)</w:t>
      </w: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 Honorable Justice Sandra Day O'Connor </w:t>
      </w: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US"/>
        </w:rPr>
        <w:t>states</w:t>
      </w: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 following:</w:t>
      </w:r>
    </w:p>
    <w:p w:rsidR="2FA68348" w:rsidP="2FA68348" w:rsidRDefault="2FA68348" w14:paraId="3D1694D3" w14:textId="11F45A3D">
      <w:pPr>
        <w:shd w:val="clear" w:color="auto" w:fill="FFFFFF" w:themeFill="background1"/>
        <w:spacing w:before="240" w:beforeAutospacing="off" w:after="0" w:afterAutospacing="off" w:line="331" w:lineRule="auto"/>
        <w:ind w:left="720" w:right="0"/>
      </w:pPr>
      <w:r w:rsidRPr="2FA68348" w:rsidR="2FA68348">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FDIC concedes, as it must, that Congress has </w:t>
      </w:r>
      <w:r w:rsidRPr="2FA68348" w:rsidR="2FA68348">
        <w:rPr>
          <w:rFonts w:ascii="Arial" w:hAnsi="Arial" w:eastAsia="Arial" w:cs="Arial"/>
          <w:b w:val="1"/>
          <w:bCs w:val="1"/>
          <w:i w:val="0"/>
          <w:iCs w:val="0"/>
          <w:strike w:val="0"/>
          <w:dstrike w:val="0"/>
          <w:noProof w:val="0"/>
          <w:color w:val="000000" w:themeColor="text1" w:themeTint="FF" w:themeShade="FF"/>
          <w:sz w:val="22"/>
          <w:szCs w:val="22"/>
          <w:u w:val="none"/>
          <w:lang w:val="en-US"/>
        </w:rPr>
        <w:t>determined</w:t>
      </w:r>
      <w:r w:rsidRPr="2FA68348" w:rsidR="2FA68348">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 that a promissory note </w:t>
      </w:r>
      <w:r w:rsidRPr="2FA68348" w:rsidR="2FA68348">
        <w:rPr>
          <w:rFonts w:ascii="Arial" w:hAnsi="Arial" w:eastAsia="Arial" w:cs="Arial"/>
          <w:b w:val="1"/>
          <w:bCs w:val="1"/>
          <w:i w:val="0"/>
          <w:iCs w:val="0"/>
          <w:strike w:val="0"/>
          <w:dstrike w:val="0"/>
          <w:noProof w:val="0"/>
          <w:color w:val="000000" w:themeColor="text1" w:themeTint="FF" w:themeShade="FF"/>
          <w:sz w:val="22"/>
          <w:szCs w:val="22"/>
          <w:u w:val="none"/>
          <w:lang w:val="en-US"/>
        </w:rPr>
        <w:t>generally constitutes</w:t>
      </w:r>
      <w:r w:rsidRPr="2FA68348" w:rsidR="2FA68348">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 money or its equivalent. Moreover, that statutory definition comports with economic reality. Promissory notes typically are negotiable instruments and therefore readily convertible into cash.</w:t>
      </w:r>
    </w:p>
    <w:p w:rsidR="2FA68348" w:rsidP="2FA68348" w:rsidRDefault="2FA68348" w14:paraId="3001A05B" w14:textId="43DC9EA4">
      <w:pPr>
        <w:shd w:val="clear" w:color="auto" w:fill="FFFFFF" w:themeFill="background1"/>
        <w:spacing w:before="240" w:beforeAutospacing="off" w:after="0" w:afterAutospacing="off" w:line="331" w:lineRule="auto"/>
      </w:pP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In </w:t>
      </w:r>
      <w:r w:rsidRPr="2FA68348" w:rsidR="2FA68348">
        <w:rPr>
          <w:rFonts w:ascii="Arial" w:hAnsi="Arial" w:eastAsia="Arial" w:cs="Arial"/>
          <w:b w:val="0"/>
          <w:bCs w:val="0"/>
          <w:i w:val="1"/>
          <w:iCs w:val="1"/>
          <w:strike w:val="0"/>
          <w:dstrike w:val="0"/>
          <w:noProof w:val="0"/>
          <w:color w:val="000000" w:themeColor="text1" w:themeTint="FF" w:themeShade="FF"/>
          <w:sz w:val="22"/>
          <w:szCs w:val="22"/>
          <w:u w:val="none"/>
          <w:lang w:val="en-US"/>
        </w:rPr>
        <w:t>Swift v. Tyson, 41 US 1 (U.S. Supreme Court - 1842)</w:t>
      </w: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 Honorable Justice Joseph Story </w:t>
      </w: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US"/>
        </w:rPr>
        <w:t>states</w:t>
      </w: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 following:</w:t>
      </w:r>
    </w:p>
    <w:p w:rsidR="2FA68348" w:rsidP="2FA68348" w:rsidRDefault="2FA68348" w14:paraId="50152C8C" w14:textId="61814AFB">
      <w:pPr>
        <w:shd w:val="clear" w:color="auto" w:fill="FFFFFF" w:themeFill="background1"/>
        <w:spacing w:before="240" w:beforeAutospacing="off" w:after="0" w:afterAutospacing="off" w:line="331" w:lineRule="auto"/>
        <w:ind w:left="720" w:right="0"/>
      </w:pPr>
      <w:r w:rsidRPr="2FA68348" w:rsidR="2FA68348">
        <w:rPr>
          <w:rFonts w:ascii="Arial" w:hAnsi="Arial" w:eastAsia="Arial" w:cs="Arial"/>
          <w:b w:val="1"/>
          <w:bCs w:val="1"/>
          <w:i w:val="0"/>
          <w:iCs w:val="0"/>
          <w:strike w:val="0"/>
          <w:dstrike w:val="0"/>
          <w:noProof w:val="0"/>
          <w:color w:val="000000" w:themeColor="text1" w:themeTint="FF" w:themeShade="FF"/>
          <w:sz w:val="22"/>
          <w:szCs w:val="22"/>
          <w:u w:val="none"/>
          <w:lang w:val="en"/>
        </w:rPr>
        <w:t>The debtor also has the advantage of making his negotiable securities of equivalent value to cash.</w:t>
      </w:r>
    </w:p>
    <w:p w:rsidR="2FA68348" w:rsidP="2FA68348" w:rsidRDefault="2FA68348" w14:paraId="0187E94D" w14:textId="337E71D9">
      <w:pPr>
        <w:shd w:val="clear" w:color="auto" w:fill="FFFFFF" w:themeFill="background1"/>
        <w:spacing w:before="240" w:beforeAutospacing="off" w:after="0" w:afterAutospacing="off" w:line="331" w:lineRule="auto"/>
      </w:pP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
        </w:rPr>
        <w:t xml:space="preserve">In </w:t>
      </w:r>
      <w:r w:rsidRPr="2FA68348" w:rsidR="2FA68348">
        <w:rPr>
          <w:rFonts w:ascii="Arial" w:hAnsi="Arial" w:eastAsia="Arial" w:cs="Arial"/>
          <w:b w:val="0"/>
          <w:bCs w:val="0"/>
          <w:i w:val="1"/>
          <w:iCs w:val="1"/>
          <w:strike w:val="0"/>
          <w:dstrike w:val="0"/>
          <w:noProof w:val="0"/>
          <w:color w:val="000000" w:themeColor="text1" w:themeTint="FF" w:themeShade="FF"/>
          <w:sz w:val="22"/>
          <w:szCs w:val="22"/>
          <w:u w:val="none"/>
          <w:lang w:val="en"/>
        </w:rPr>
        <w:t>Juilliard v. Greenman, 110 US 421 (U.S. Supreme Court 1884)</w:t>
      </w: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
        </w:rPr>
        <w:t xml:space="preserve">, which is part of the </w:t>
      </w:r>
      <w:r w:rsidRPr="2FA68348" w:rsidR="2FA68348">
        <w:rPr>
          <w:rFonts w:ascii="Arial" w:hAnsi="Arial" w:eastAsia="Arial" w:cs="Arial"/>
          <w:b w:val="0"/>
          <w:bCs w:val="0"/>
          <w:i w:val="1"/>
          <w:iCs w:val="1"/>
          <w:strike w:val="0"/>
          <w:dstrike w:val="0"/>
          <w:noProof w:val="0"/>
          <w:color w:val="000000" w:themeColor="text1" w:themeTint="FF" w:themeShade="FF"/>
          <w:sz w:val="22"/>
          <w:szCs w:val="22"/>
          <w:u w:val="none"/>
          <w:lang w:val="en"/>
        </w:rPr>
        <w:t>Legal Tender Cases</w:t>
      </w:r>
      <w:r w:rsidRPr="2FA68348" w:rsidR="2FA68348">
        <w:rPr>
          <w:rFonts w:ascii="Arial" w:hAnsi="Arial" w:eastAsia="Arial" w:cs="Arial"/>
          <w:b w:val="0"/>
          <w:bCs w:val="0"/>
          <w:strike w:val="0"/>
          <w:dstrike w:val="0"/>
          <w:noProof w:val="0"/>
          <w:color w:val="000000" w:themeColor="text1" w:themeTint="FF" w:themeShade="FF"/>
          <w:sz w:val="22"/>
          <w:szCs w:val="22"/>
          <w:u w:val="none"/>
          <w:lang w:val="en"/>
        </w:rPr>
        <w:t xml:space="preserve"> and composes much of the backbone information behind the structure of Federal Reserve Notes, the Honorable Horace Gray states the following:</w:t>
      </w:r>
    </w:p>
    <w:p w:rsidR="2FA68348" w:rsidP="40EA5794" w:rsidRDefault="2FA68348" w14:paraId="0FCA7383" w14:textId="21EBC149">
      <w:pPr>
        <w:pStyle w:val="ListParagraph"/>
        <w:numPr>
          <w:ilvl w:val="0"/>
          <w:numId w:val="1"/>
        </w:numPr>
        <w:shd w:val="clear" w:color="auto" w:fill="FFFFFF" w:themeFill="background1"/>
        <w:spacing w:before="240" w:beforeAutospacing="off" w:after="240" w:afterAutospacing="off" w:line="331" w:lineRule="auto"/>
        <w:rPr>
          <w:rFonts w:ascii="Arial" w:hAnsi="Arial" w:eastAsia="Arial" w:cs="Arial"/>
          <w:b w:val="1"/>
          <w:bCs w:val="1"/>
          <w:i w:val="0"/>
          <w:iCs w:val="0"/>
          <w:strike w:val="0"/>
          <w:dstrike w:val="0"/>
          <w:noProof w:val="0"/>
          <w:color w:val="000000" w:themeColor="text1" w:themeTint="FF" w:themeShade="FF"/>
          <w:sz w:val="22"/>
          <w:szCs w:val="22"/>
          <w:u w:val="none"/>
          <w:lang w:val="en-US"/>
        </w:rPr>
      </w:pPr>
      <w:r w:rsidRPr="40EA5794" w:rsidR="40EA5794">
        <w:rPr>
          <w:rFonts w:ascii="Arial" w:hAnsi="Arial" w:eastAsia="Arial" w:cs="Arial"/>
          <w:b w:val="1"/>
          <w:bCs w:val="1"/>
          <w:i w:val="0"/>
          <w:iCs w:val="0"/>
          <w:strike w:val="0"/>
          <w:dstrike w:val="0"/>
          <w:noProof w:val="0"/>
          <w:color w:val="000000" w:themeColor="text1" w:themeTint="FF" w:themeShade="FF"/>
          <w:sz w:val="22"/>
          <w:szCs w:val="22"/>
          <w:u w:val="none"/>
          <w:lang w:val="en-US"/>
        </w:rPr>
        <w:t>By the Constitution of the United States, the several States are prohibited from coining money, emitting bills of credit, or making anything but gold and silver coin a tender in payment of debts. But no intention can be inferred from this to deny to Congress either of these powers.</w:t>
      </w:r>
    </w:p>
    <w:p w:rsidR="2FA68348" w:rsidP="2FA68348" w:rsidRDefault="2FA68348" w14:paraId="6DBBC16F" w14:textId="09B2BE24">
      <w:pPr>
        <w:pStyle w:val="ListParagraph"/>
        <w:shd w:val="clear" w:color="auto" w:fill="FFFFFF" w:themeFill="background1"/>
        <w:spacing w:before="240" w:beforeAutospacing="off" w:after="240" w:afterAutospacing="off" w:line="331" w:lineRule="auto"/>
        <w:ind w:left="720"/>
        <w:rPr>
          <w:rFonts w:ascii="Arial" w:hAnsi="Arial" w:eastAsia="Arial" w:cs="Arial"/>
          <w:b w:val="1"/>
          <w:bCs w:val="1"/>
          <w:i w:val="0"/>
          <w:iCs w:val="0"/>
          <w:strike w:val="0"/>
          <w:dstrike w:val="0"/>
          <w:noProof w:val="0"/>
          <w:color w:val="000000" w:themeColor="text1" w:themeTint="FF" w:themeShade="FF"/>
          <w:sz w:val="22"/>
          <w:szCs w:val="22"/>
          <w:u w:val="none"/>
          <w:lang w:val="en"/>
        </w:rPr>
      </w:pPr>
    </w:p>
    <w:p w:rsidR="2FA68348" w:rsidP="2FA68348" w:rsidRDefault="2FA68348" w14:paraId="27963B36" w14:textId="1F0E5EA7">
      <w:pPr>
        <w:pStyle w:val="ListParagraph"/>
        <w:numPr>
          <w:ilvl w:val="0"/>
          <w:numId w:val="2"/>
        </w:numPr>
        <w:shd w:val="clear" w:color="auto" w:fill="FFFFFF" w:themeFill="background1"/>
        <w:spacing w:before="240" w:beforeAutospacing="off" w:after="240" w:afterAutospacing="off" w:line="331" w:lineRule="auto"/>
        <w:rPr>
          <w:rFonts w:ascii="Arial" w:hAnsi="Arial" w:eastAsia="Arial" w:cs="Arial"/>
          <w:b w:val="1"/>
          <w:bCs w:val="1"/>
          <w:i w:val="0"/>
          <w:iCs w:val="0"/>
          <w:strike w:val="0"/>
          <w:dstrike w:val="0"/>
          <w:noProof w:val="0"/>
          <w:color w:val="000000" w:themeColor="text1" w:themeTint="FF" w:themeShade="FF"/>
          <w:sz w:val="22"/>
          <w:szCs w:val="22"/>
          <w:u w:val="none"/>
          <w:lang w:val="en"/>
        </w:rPr>
      </w:pPr>
      <w:r w:rsidRPr="2FA68348" w:rsidR="2FA68348">
        <w:rPr>
          <w:rFonts w:ascii="Arial" w:hAnsi="Arial" w:eastAsia="Arial" w:cs="Arial"/>
          <w:b w:val="1"/>
          <w:bCs w:val="1"/>
          <w:i w:val="0"/>
          <w:iCs w:val="0"/>
          <w:strike w:val="0"/>
          <w:dstrike w:val="0"/>
          <w:noProof w:val="0"/>
          <w:color w:val="000000" w:themeColor="text1" w:themeTint="FF" w:themeShade="FF"/>
          <w:sz w:val="22"/>
          <w:szCs w:val="22"/>
          <w:u w:val="none"/>
          <w:lang w:val="en"/>
        </w:rPr>
        <w:t>It appears to us to follow, as a logical and necessary consequence, that Congress has the power to issue the obligations of the United States in such form, and to impress upon them such qualities as currency for the purchase of merchandise and the payment of debts, as accord with the usage of sovereign governments. The power, as incident to the power of borrowing money and issuing bills or notes of the government for money borrowed, of impressing upon those bills or notes the quality of being a legal tender for the payment of private debts, was a power universally understood to belong to sovereignty, in Europe and America, at the time of the framing and adoption of the Constitution of the United States.</w:t>
      </w:r>
    </w:p>
    <w:p w:rsidR="2FA68348" w:rsidP="2FA68348" w:rsidRDefault="2FA68348" w14:paraId="0EBFE5D3" w14:textId="3734514A">
      <w:pPr>
        <w:shd w:val="clear" w:color="auto" w:fill="FFFFFF" w:themeFill="background1"/>
        <w:spacing w:before="240" w:beforeAutospacing="off" w:after="0" w:afterAutospacing="off" w:line="331" w:lineRule="auto"/>
      </w:pP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
        </w:rPr>
        <w:t xml:space="preserve">Then, finally, in </w:t>
      </w:r>
      <w:r w:rsidRPr="2FA68348" w:rsidR="2FA68348">
        <w:rPr>
          <w:rFonts w:ascii="Arial" w:hAnsi="Arial" w:eastAsia="Arial" w:cs="Arial"/>
          <w:b w:val="0"/>
          <w:bCs w:val="0"/>
          <w:i w:val="1"/>
          <w:iCs w:val="1"/>
          <w:strike w:val="0"/>
          <w:dstrike w:val="0"/>
          <w:noProof w:val="0"/>
          <w:color w:val="000000" w:themeColor="text1" w:themeTint="FF" w:themeShade="FF"/>
          <w:sz w:val="22"/>
          <w:szCs w:val="22"/>
          <w:u w:val="none"/>
          <w:lang w:val="en"/>
        </w:rPr>
        <w:t>Perry v. United States, 294 US 330 (U.S. Supreme Court - 1935)</w:t>
      </w: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
        </w:rPr>
        <w:t>, which explains the Emergency Banking Act and Gold Abrogation Act, has these quotes to say by the Honorable Charles Evans Hughes:</w:t>
      </w:r>
    </w:p>
    <w:p w:rsidR="2FA68348" w:rsidP="2FA68348" w:rsidRDefault="2FA68348" w14:paraId="153C01B9" w14:textId="4DF5356D">
      <w:pPr>
        <w:pStyle w:val="ListParagraph"/>
        <w:numPr>
          <w:ilvl w:val="0"/>
          <w:numId w:val="3"/>
        </w:numPr>
        <w:shd w:val="clear" w:color="auto" w:fill="FFFFFF" w:themeFill="background1"/>
        <w:spacing w:before="240" w:beforeAutospacing="off" w:after="240" w:afterAutospacing="off" w:line="331" w:lineRule="auto"/>
        <w:rPr/>
      </w:pP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The moneys under consideration in the Legal Tender Cases, decided May 1, 1871, 12 Wall. 457, and March 3, 1884, 110 U.S. 421, were promises to pay dollars, "bills of credit." They were "a pledge of the national credit," promises "by the Government to pay dollars," "the standard of value is not changed." The expectation,</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 </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ultimately realize</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d</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 was that</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 </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in due tim</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e</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 they would be redeemed in standard coin. The Court was careful to show that they were issued to meet a great emergency in time of</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 </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war, whe</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n</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 the overthrow of the Government was threatened and specie payments had been suspended. Both the end in view and the means employed, the Court held were lawful. The thing</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 </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actually don</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e</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 was the issuance of bills endowed with the quality of legal tender</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 </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in order t</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o</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 carry on until the United States could find it possible to meet their obligations in standard coin. This they</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 </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accomplishe</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d</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 in 1879. The purpose was to meet honorable obligations — not to repudiate them.</w:t>
      </w:r>
    </w:p>
    <w:p w:rsidR="2FA68348" w:rsidP="2FA68348" w:rsidRDefault="2FA68348" w14:paraId="09B3F6EF" w14:textId="29E754E0">
      <w:pPr>
        <w:pStyle w:val="ListParagraph"/>
        <w:shd w:val="clear" w:color="auto" w:fill="FFFFFF" w:themeFill="background1"/>
        <w:spacing w:before="240" w:beforeAutospacing="off" w:after="240" w:afterAutospacing="off" w:line="331" w:lineRule="auto"/>
        <w:ind w:left="720"/>
      </w:pPr>
    </w:p>
    <w:p w:rsidR="2FA68348" w:rsidP="2FA68348" w:rsidRDefault="2FA68348" w14:paraId="5B73AC3D" w14:textId="0EEF5ECB">
      <w:pPr>
        <w:pStyle w:val="ListParagraph"/>
        <w:numPr>
          <w:ilvl w:val="0"/>
          <w:numId w:val="4"/>
        </w:numPr>
        <w:shd w:val="clear" w:color="auto" w:fill="FFFFFF" w:themeFill="background1"/>
        <w:spacing w:before="240" w:beforeAutospacing="off" w:after="240" w:afterAutospacing="off" w:line="331" w:lineRule="auto"/>
        <w:rPr>
          <w:rFonts w:ascii="Arial" w:hAnsi="Arial" w:eastAsia="Arial" w:cs="Arial"/>
          <w:b w:val="1"/>
          <w:bCs w:val="1"/>
          <w:i w:val="0"/>
          <w:iCs w:val="0"/>
          <w:strike w:val="0"/>
          <w:dstrike w:val="0"/>
          <w:noProof w:val="0"/>
          <w:color w:val="000000" w:themeColor="text1" w:themeTint="FF" w:themeShade="FF"/>
          <w:sz w:val="22"/>
          <w:szCs w:val="22"/>
          <w:u w:val="none"/>
          <w:lang w:val="en"/>
        </w:rPr>
      </w:pPr>
      <w:r w:rsidRPr="2FA68348" w:rsidR="2FA68348">
        <w:rPr>
          <w:rFonts w:ascii="Arial" w:hAnsi="Arial" w:eastAsia="Arial" w:cs="Arial"/>
          <w:b w:val="1"/>
          <w:bCs w:val="1"/>
          <w:i w:val="0"/>
          <w:iCs w:val="0"/>
          <w:strike w:val="0"/>
          <w:dstrike w:val="0"/>
          <w:noProof w:val="0"/>
          <w:color w:val="000000" w:themeColor="text1" w:themeTint="FF" w:themeShade="FF"/>
          <w:sz w:val="22"/>
          <w:szCs w:val="22"/>
          <w:u w:val="none"/>
          <w:lang w:val="en"/>
        </w:rPr>
        <w:t>There was no coin — specie — in general circulation in the United States between 1862 and 1879. Both gold and silver were treated in business as commodities. The Legal Tender Cases arose during that period.</w:t>
      </w:r>
    </w:p>
    <w:p w:rsidR="2FA68348" w:rsidP="2FA68348" w:rsidRDefault="2FA68348" w14:paraId="590C8BD2" w14:textId="0E7E1BC2">
      <w:pPr>
        <w:shd w:val="clear" w:color="auto" w:fill="FFFFFF" w:themeFill="background1"/>
        <w:spacing w:before="240" w:beforeAutospacing="off" w:after="0" w:afterAutospacing="off" w:line="331" w:lineRule="auto"/>
      </w:pP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Our financial system is </w:t>
      </w: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US"/>
        </w:rPr>
        <w:t>very simple</w:t>
      </w: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US"/>
        </w:rPr>
        <w:t>:</w:t>
      </w:r>
    </w:p>
    <w:p w:rsidR="2FA68348" w:rsidP="2FA68348" w:rsidRDefault="2FA68348" w14:paraId="7C9C28BD" w14:textId="44487CE4">
      <w:pPr>
        <w:pStyle w:val="ListParagraph"/>
        <w:numPr>
          <w:ilvl w:val="0"/>
          <w:numId w:val="5"/>
        </w:numPr>
        <w:spacing w:before="240" w:beforeAutospacing="off" w:after="240" w:afterAutospacing="off"/>
        <w:rPr/>
      </w:pPr>
      <w:r w:rsidRPr="40EA5794" w:rsidR="40EA5794">
        <w:rPr>
          <w:rFonts w:ascii="Arial" w:hAnsi="Arial" w:eastAsia="Arial" w:cs="Arial"/>
          <w:b w:val="0"/>
          <w:bCs w:val="0"/>
          <w:i w:val="0"/>
          <w:iCs w:val="0"/>
          <w:strike w:val="0"/>
          <w:dstrike w:val="0"/>
          <w:noProof w:val="0"/>
          <w:color w:val="000000" w:themeColor="text1" w:themeTint="FF" w:themeShade="FF"/>
          <w:sz w:val="22"/>
          <w:szCs w:val="22"/>
          <w:u w:val="none"/>
          <w:lang w:val="en"/>
        </w:rPr>
        <w:t>Currency is composed of negotiable instruments (unconditional promises and orders to pay). This is clarified in UCC 3-104</w:t>
      </w:r>
    </w:p>
    <w:p w:rsidR="2FA68348" w:rsidP="6424A1C2" w:rsidRDefault="2FA68348" w14:paraId="7DB5EC9A" w14:textId="27AFFD04">
      <w:pPr>
        <w:pStyle w:val="ListParagraph"/>
        <w:numPr>
          <w:ilvl w:val="0"/>
          <w:numId w:val="5"/>
        </w:numPr>
        <w:shd w:val="clear" w:color="auto" w:fill="FFFFFF" w:themeFill="background1"/>
        <w:spacing w:before="240" w:beforeAutospacing="off" w:after="240" w:afterAutospacing="off" w:line="331" w:lineRule="auto"/>
        <w:rPr>
          <w:rFonts w:ascii="Arial" w:hAnsi="Arial" w:eastAsia="Arial" w:cs="Arial"/>
          <w:b w:val="0"/>
          <w:bCs w:val="0"/>
          <w:i w:val="0"/>
          <w:iCs w:val="0"/>
          <w:strike w:val="0"/>
          <w:dstrike w:val="0"/>
          <w:noProof w:val="0"/>
          <w:color w:val="000000" w:themeColor="text1" w:themeTint="FF" w:themeShade="FF"/>
          <w:sz w:val="22"/>
          <w:szCs w:val="22"/>
          <w:u w:val="none"/>
          <w:lang w:val="en"/>
        </w:rPr>
      </w:pPr>
      <w:r w:rsidRPr="6424A1C2" w:rsidR="6424A1C2">
        <w:rPr>
          <w:rFonts w:ascii="Arial" w:hAnsi="Arial" w:eastAsia="Arial" w:cs="Arial"/>
          <w:b w:val="0"/>
          <w:bCs w:val="0"/>
          <w:i w:val="0"/>
          <w:iCs w:val="0"/>
          <w:strike w:val="0"/>
          <w:dstrike w:val="0"/>
          <w:noProof w:val="0"/>
          <w:color w:val="000000" w:themeColor="text1" w:themeTint="FF" w:themeShade="FF"/>
          <w:sz w:val="22"/>
          <w:szCs w:val="22"/>
          <w:u w:val="none"/>
          <w:lang w:val="en"/>
        </w:rPr>
        <w:t>A Federal Reserve Note is an unconditional promise to pay between “United States” (defined in UCC 9-307) and the Federal Reserve</w:t>
      </w:r>
    </w:p>
    <w:p w:rsidR="6424A1C2" w:rsidP="6424A1C2" w:rsidRDefault="6424A1C2" w14:paraId="2318E518" w14:textId="21BC5044">
      <w:pPr>
        <w:pStyle w:val="ListParagraph"/>
        <w:numPr>
          <w:ilvl w:val="0"/>
          <w:numId w:val="5"/>
        </w:numPr>
        <w:shd w:val="clear" w:color="auto" w:fill="FFFFFF" w:themeFill="background1"/>
        <w:spacing w:before="240" w:beforeAutospacing="off" w:after="240" w:afterAutospacing="off" w:line="331" w:lineRule="auto"/>
        <w:rPr>
          <w:rFonts w:ascii="Arial" w:hAnsi="Arial" w:eastAsia="Arial" w:cs="Arial"/>
          <w:b w:val="0"/>
          <w:bCs w:val="0"/>
          <w:i w:val="0"/>
          <w:iCs w:val="0"/>
          <w:strike w:val="0"/>
          <w:dstrike w:val="0"/>
          <w:noProof w:val="0"/>
          <w:color w:val="000000" w:themeColor="text1" w:themeTint="FF" w:themeShade="FF"/>
          <w:sz w:val="22"/>
          <w:szCs w:val="22"/>
          <w:u w:val="none"/>
          <w:lang w:val="en"/>
        </w:rPr>
      </w:pPr>
      <w:r w:rsidRPr="6424A1C2" w:rsidR="6424A1C2">
        <w:rPr>
          <w:rFonts w:ascii="Arial" w:hAnsi="Arial" w:eastAsia="Arial" w:cs="Arial"/>
          <w:b w:val="0"/>
          <w:bCs w:val="0"/>
          <w:i w:val="0"/>
          <w:iCs w:val="0"/>
          <w:strike w:val="0"/>
          <w:dstrike w:val="0"/>
          <w:noProof w:val="0"/>
          <w:color w:val="000000" w:themeColor="text1" w:themeTint="FF" w:themeShade="FF"/>
          <w:sz w:val="22"/>
          <w:szCs w:val="22"/>
          <w:u w:val="none"/>
          <w:lang w:val="en"/>
        </w:rPr>
        <w:t xml:space="preserve">The Federal Reserve is defined in </w:t>
      </w:r>
      <w:r w:rsidRPr="6424A1C2" w:rsidR="6424A1C2">
        <w:rPr>
          <w:rFonts w:ascii="Arial" w:hAnsi="Arial" w:eastAsia="Arial" w:cs="Arial"/>
          <w:b w:val="0"/>
          <w:bCs w:val="0"/>
          <w:i w:val="1"/>
          <w:iCs w:val="1"/>
          <w:strike w:val="0"/>
          <w:dstrike w:val="0"/>
          <w:noProof w:val="0"/>
          <w:color w:val="000000" w:themeColor="text1" w:themeTint="FF" w:themeShade="FF"/>
          <w:sz w:val="22"/>
          <w:szCs w:val="22"/>
          <w:u w:val="none"/>
          <w:lang w:val="en"/>
        </w:rPr>
        <w:t>John L. Lewis v. United States of America, 680 F.2d 1239 (9th Circuit Court of Appeals - 1982)</w:t>
      </w:r>
      <w:r w:rsidRPr="6424A1C2" w:rsidR="6424A1C2">
        <w:rPr>
          <w:rFonts w:ascii="Arial" w:hAnsi="Arial" w:eastAsia="Arial" w:cs="Arial"/>
          <w:b w:val="0"/>
          <w:bCs w:val="0"/>
          <w:i w:val="0"/>
          <w:iCs w:val="0"/>
          <w:strike w:val="0"/>
          <w:dstrike w:val="0"/>
          <w:noProof w:val="0"/>
          <w:color w:val="000000" w:themeColor="text1" w:themeTint="FF" w:themeShade="FF"/>
          <w:sz w:val="22"/>
          <w:szCs w:val="22"/>
          <w:u w:val="none"/>
          <w:lang w:val="en"/>
        </w:rPr>
        <w:t>, where the Honorable Cecil F. Poole said the following:</w:t>
      </w:r>
    </w:p>
    <w:p w:rsidR="6424A1C2" w:rsidP="6424A1C2" w:rsidRDefault="6424A1C2" w14:paraId="400D88E3" w14:textId="0A3D2927">
      <w:pPr>
        <w:pStyle w:val="ListParagraph"/>
        <w:spacing w:before="240" w:beforeAutospacing="off" w:after="240" w:afterAutospacing="off"/>
        <w:ind w:left="720"/>
        <w:rPr>
          <w:noProof w:val="0"/>
          <w:sz w:val="22"/>
          <w:szCs w:val="22"/>
          <w:lang w:val="en"/>
        </w:rPr>
      </w:pPr>
      <w:r w:rsidRPr="6424A1C2" w:rsidR="6424A1C2">
        <w:rPr>
          <w:noProof w:val="0"/>
          <w:lang w:val="en"/>
        </w:rPr>
        <w:t xml:space="preserve"> </w:t>
      </w:r>
    </w:p>
    <w:p w:rsidR="6424A1C2" w:rsidP="6424A1C2" w:rsidRDefault="6424A1C2" w14:paraId="11BDE1B3" w14:textId="6604E5C3">
      <w:pPr>
        <w:pStyle w:val="ListParagraph"/>
        <w:spacing w:before="240" w:beforeAutospacing="off" w:after="240" w:afterAutospacing="off"/>
        <w:ind w:left="720"/>
        <w:rPr>
          <w:b w:val="1"/>
          <w:bCs w:val="1"/>
          <w:i w:val="1"/>
          <w:iCs w:val="1"/>
          <w:noProof w:val="0"/>
          <w:sz w:val="22"/>
          <w:szCs w:val="22"/>
          <w:lang w:val="en"/>
        </w:rPr>
      </w:pPr>
      <w:r w:rsidRPr="6424A1C2" w:rsidR="6424A1C2">
        <w:rPr>
          <w:b w:val="1"/>
          <w:bCs w:val="1"/>
          <w:i w:val="1"/>
          <w:iCs w:val="1"/>
          <w:noProof w:val="0"/>
          <w:lang w:val="en"/>
        </w:rPr>
        <w:t>Examining the organization and function of the Federal Reserve Banks, and applying the relevant factors, we conclude that the Reserve Banks are not federal instrumentalities for purposes of the FTCA, but are independent, privately owned and locally controlled corporations.</w:t>
      </w:r>
    </w:p>
    <w:p w:rsidR="2FA68348" w:rsidP="2FA68348" w:rsidRDefault="2FA68348" w14:paraId="403375A8" w14:textId="6659CC5C">
      <w:pPr>
        <w:pStyle w:val="ListParagraph"/>
        <w:numPr>
          <w:ilvl w:val="0"/>
          <w:numId w:val="5"/>
        </w:numPr>
        <w:shd w:val="clear" w:color="auto" w:fill="FFFFFF" w:themeFill="background1"/>
        <w:spacing w:before="240" w:beforeAutospacing="off" w:after="240" w:afterAutospacing="off" w:line="331" w:lineRule="auto"/>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
        </w:rPr>
        <w:t>Negotiable instruments are exchanged and transferred by what is called “negotiation”</w:t>
      </w:r>
    </w:p>
    <w:p w:rsidR="2FA68348" w:rsidP="2FA68348" w:rsidRDefault="2FA68348" w14:paraId="40FCEB06" w14:textId="059D91BA">
      <w:pPr>
        <w:pStyle w:val="ListParagraph"/>
        <w:numPr>
          <w:ilvl w:val="0"/>
          <w:numId w:val="5"/>
        </w:numPr>
        <w:shd w:val="clear" w:color="auto" w:fill="FFFFFF" w:themeFill="background1"/>
        <w:spacing w:before="240" w:beforeAutospacing="off" w:after="240" w:afterAutospacing="off" w:line="331" w:lineRule="auto"/>
        <w:rPr/>
      </w:pPr>
      <w:r w:rsidRPr="79E56C9A" w:rsidR="79E56C9A">
        <w:rPr>
          <w:rFonts w:ascii="Arial" w:hAnsi="Arial" w:eastAsia="Arial" w:cs="Arial"/>
          <w:b w:val="0"/>
          <w:bCs w:val="0"/>
          <w:i w:val="0"/>
          <w:iCs w:val="0"/>
          <w:strike w:val="0"/>
          <w:dstrike w:val="0"/>
          <w:noProof w:val="0"/>
          <w:color w:val="000000" w:themeColor="text1" w:themeTint="FF" w:themeShade="FF"/>
          <w:sz w:val="22"/>
          <w:szCs w:val="22"/>
          <w:u w:val="none"/>
          <w:lang w:val="en-US"/>
        </w:rPr>
        <w:t>The basis of negotiation is the subject of indorsements (spelled with an “</w:t>
      </w:r>
      <w:r w:rsidRPr="79E56C9A" w:rsidR="79E56C9A">
        <w:rPr>
          <w:rFonts w:ascii="Arial" w:hAnsi="Arial" w:eastAsia="Arial" w:cs="Arial"/>
          <w:b w:val="0"/>
          <w:bCs w:val="0"/>
          <w:i w:val="0"/>
          <w:iCs w:val="0"/>
          <w:strike w:val="0"/>
          <w:dstrike w:val="0"/>
          <w:noProof w:val="0"/>
          <w:color w:val="000000" w:themeColor="text1" w:themeTint="FF" w:themeShade="FF"/>
          <w:sz w:val="22"/>
          <w:szCs w:val="22"/>
          <w:u w:val="none"/>
          <w:lang w:val="en-US"/>
        </w:rPr>
        <w:t>i</w:t>
      </w:r>
      <w:r w:rsidRPr="79E56C9A" w:rsidR="79E56C9A">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in UCC Article 3 but spelled with an “e” often in life, such as on the back of </w:t>
      </w:r>
      <w:r w:rsidRPr="79E56C9A" w:rsidR="79E56C9A">
        <w:rPr>
          <w:rFonts w:ascii="Arial" w:hAnsi="Arial" w:eastAsia="Arial" w:cs="Arial"/>
          <w:b w:val="0"/>
          <w:bCs w:val="0"/>
          <w:i w:val="0"/>
          <w:iCs w:val="0"/>
          <w:strike w:val="0"/>
          <w:dstrike w:val="0"/>
          <w:noProof w:val="0"/>
          <w:color w:val="000000" w:themeColor="text1" w:themeTint="FF" w:themeShade="FF"/>
          <w:sz w:val="22"/>
          <w:szCs w:val="22"/>
          <w:u w:val="none"/>
          <w:lang w:val="en-US"/>
        </w:rPr>
        <w:t>checks)</w:t>
      </w:r>
    </w:p>
    <w:p w:rsidR="2FA68348" w:rsidP="15FEF1DA" w:rsidRDefault="2FA68348" w14:paraId="2A9F1D11" w14:textId="5B673F9E">
      <w:pPr>
        <w:pStyle w:val="ListParagraph"/>
        <w:numPr>
          <w:ilvl w:val="0"/>
          <w:numId w:val="5"/>
        </w:numPr>
        <w:shd w:val="clear" w:color="auto" w:fill="FFFFFF" w:themeFill="background1"/>
        <w:spacing w:before="240" w:beforeAutospacing="off" w:after="240" w:afterAutospacing="off" w:line="331" w:lineRule="auto"/>
        <w:rPr>
          <w:lang w:val="en-US"/>
        </w:rPr>
      </w:pPr>
      <w:r w:rsidRPr="79E56C9A" w:rsidR="79E56C9A">
        <w:rPr>
          <w:rFonts w:ascii="Arial" w:hAnsi="Arial" w:eastAsia="Arial" w:cs="Arial"/>
          <w:b w:val="0"/>
          <w:bCs w:val="0"/>
          <w:i w:val="0"/>
          <w:iCs w:val="0"/>
          <w:strike w:val="0"/>
          <w:dstrike w:val="0"/>
          <w:noProof w:val="0"/>
          <w:color w:val="000000" w:themeColor="text1" w:themeTint="FF" w:themeShade="FF"/>
          <w:sz w:val="22"/>
          <w:szCs w:val="22"/>
          <w:u w:val="none"/>
          <w:lang w:val="en-US"/>
        </w:rPr>
        <w:t>Indorsements fall into a few main categories (these are the key ones): blank indorsement (UCC 3–205(b)), special indorsement (UCC 3-205(a)), restrictive indorsement (UCC 3-206) and qualified indorsement (UCC 3-415(b)).</w:t>
      </w:r>
    </w:p>
    <w:p w:rsidR="2FA68348" w:rsidP="15FEF1DA" w:rsidRDefault="2FA68348" w14:paraId="457078AF" w14:textId="60A1AC40">
      <w:pPr>
        <w:pStyle w:val="ListParagraph"/>
        <w:numPr>
          <w:ilvl w:val="0"/>
          <w:numId w:val="5"/>
        </w:numPr>
        <w:shd w:val="clear" w:color="auto" w:fill="FFFFFF" w:themeFill="background1"/>
        <w:spacing w:before="240" w:beforeAutospacing="off" w:after="240" w:afterAutospacing="off" w:line="331" w:lineRule="auto"/>
        <w:rPr>
          <w:lang w:val="en-US"/>
        </w:rPr>
      </w:pPr>
      <w:r w:rsidRPr="40EA5794" w:rsidR="40EA5794">
        <w:rPr>
          <w:rFonts w:ascii="Arial" w:hAnsi="Arial" w:eastAsia="Arial" w:cs="Arial"/>
          <w:b w:val="0"/>
          <w:bCs w:val="0"/>
          <w:i w:val="0"/>
          <w:iCs w:val="0"/>
          <w:strike w:val="0"/>
          <w:dstrike w:val="0"/>
          <w:noProof w:val="0"/>
          <w:color w:val="000000" w:themeColor="text1" w:themeTint="FF" w:themeShade="FF"/>
          <w:sz w:val="22"/>
          <w:szCs w:val="22"/>
          <w:u w:val="none"/>
          <w:lang w:val="en-US"/>
        </w:rPr>
        <w:t>A Federal Reserve Note, for example, since it is originally indorsed in blank, is negotiated as described in UCC 3-201(b): “</w:t>
      </w:r>
      <w:r w:rsidRPr="40EA5794" w:rsidR="40EA5794">
        <w:rPr>
          <w:rFonts w:ascii="Arial" w:hAnsi="Arial" w:eastAsia="Arial" w:cs="Arial"/>
          <w:b w:val="1"/>
          <w:bCs w:val="1"/>
          <w:i w:val="0"/>
          <w:iCs w:val="0"/>
          <w:strike w:val="0"/>
          <w:dstrike w:val="0"/>
          <w:noProof w:val="0"/>
          <w:color w:val="000000" w:themeColor="text1" w:themeTint="FF" w:themeShade="FF"/>
          <w:sz w:val="22"/>
          <w:szCs w:val="22"/>
          <w:u w:val="none"/>
          <w:lang w:val="en-US"/>
        </w:rPr>
        <w:t>If an instrument is payable to bearer, it may be negotiated by transfer of possession alone.”</w:t>
      </w:r>
    </w:p>
    <w:p w:rsidR="2FA68348" w:rsidP="2FA68348" w:rsidRDefault="2FA68348" w14:paraId="4664E447" w14:textId="5C6A7CCA">
      <w:pPr>
        <w:pStyle w:val="ListParagraph"/>
        <w:numPr>
          <w:ilvl w:val="0"/>
          <w:numId w:val="5"/>
        </w:numPr>
        <w:shd w:val="clear" w:color="auto" w:fill="FFFFFF" w:themeFill="background1"/>
        <w:spacing w:before="240" w:beforeAutospacing="off" w:after="240" w:afterAutospacing="off" w:line="331" w:lineRule="auto"/>
        <w:rPr>
          <w:lang w:val="en-US"/>
        </w:rPr>
      </w:pPr>
      <w:r w:rsidRPr="40EA5794" w:rsidR="40EA5794">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Rules of negotiation are simple: after tendering an instrument, the other party can either accept the instrument or dishonor it </w:t>
      </w:r>
      <w:r w:rsidRPr="40EA5794" w:rsidR="40EA5794">
        <w:rPr>
          <w:rFonts w:ascii="Arial" w:hAnsi="Arial" w:eastAsia="Arial" w:cs="Arial"/>
          <w:b w:val="0"/>
          <w:bCs w:val="0"/>
          <w:i w:val="0"/>
          <w:iCs w:val="0"/>
          <w:strike w:val="0"/>
          <w:dstrike w:val="0"/>
          <w:noProof w:val="0"/>
          <w:color w:val="000000" w:themeColor="text1" w:themeTint="FF" w:themeShade="FF"/>
          <w:sz w:val="22"/>
          <w:szCs w:val="22"/>
          <w:u w:val="none"/>
          <w:lang w:val="en-US"/>
        </w:rPr>
        <w:t>in accordance with</w:t>
      </w:r>
      <w:r w:rsidRPr="40EA5794" w:rsidR="40EA5794">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 rules of dishonor found in UCC 3-502</w:t>
      </w:r>
    </w:p>
    <w:p w:rsidR="2FA68348" w:rsidP="2FA68348" w:rsidRDefault="2FA68348" w14:paraId="14BE37FA" w14:textId="3DF1D0B1">
      <w:pPr>
        <w:pStyle w:val="ListParagraph"/>
        <w:numPr>
          <w:ilvl w:val="0"/>
          <w:numId w:val="5"/>
        </w:numPr>
        <w:shd w:val="clear" w:color="auto" w:fill="FFFFFF" w:themeFill="background1"/>
        <w:spacing w:before="240" w:beforeAutospacing="off" w:after="240" w:afterAutospacing="off" w:line="331" w:lineRule="auto"/>
        <w:rPr/>
      </w:pPr>
      <w:r w:rsidRPr="40EA5794" w:rsidR="40EA5794">
        <w:rPr>
          <w:rFonts w:ascii="Arial" w:hAnsi="Arial" w:eastAsia="Arial" w:cs="Arial"/>
          <w:b w:val="0"/>
          <w:bCs w:val="0"/>
          <w:i w:val="0"/>
          <w:iCs w:val="0"/>
          <w:strike w:val="0"/>
          <w:dstrike w:val="0"/>
          <w:noProof w:val="0"/>
          <w:color w:val="000000" w:themeColor="text1" w:themeTint="FF" w:themeShade="FF"/>
          <w:sz w:val="22"/>
          <w:szCs w:val="22"/>
          <w:u w:val="none"/>
          <w:lang w:val="en"/>
        </w:rPr>
        <w:t xml:space="preserve">If the tender is not “dishonored” and not “accepted,” then it </w:t>
      </w:r>
      <w:r>
        <w:tab/>
      </w:r>
      <w:r w:rsidRPr="40EA5794" w:rsidR="40EA5794">
        <w:rPr>
          <w:rFonts w:ascii="Arial" w:hAnsi="Arial" w:eastAsia="Arial" w:cs="Arial"/>
          <w:b w:val="0"/>
          <w:bCs w:val="0"/>
          <w:i w:val="0"/>
          <w:iCs w:val="0"/>
          <w:strike w:val="0"/>
          <w:dstrike w:val="0"/>
          <w:noProof w:val="0"/>
          <w:color w:val="000000" w:themeColor="text1" w:themeTint="FF" w:themeShade="FF"/>
          <w:sz w:val="22"/>
          <w:szCs w:val="22"/>
          <w:u w:val="none"/>
          <w:lang w:val="en"/>
        </w:rPr>
        <w:t>is refused… which activates the provisions found in UCC 3-603(b)</w:t>
      </w:r>
    </w:p>
    <w:p w:rsidR="2FA68348" w:rsidP="1D6B8C62" w:rsidRDefault="2FA68348" w14:paraId="613FC132" w14:textId="7DF496CA">
      <w:pPr>
        <w:pStyle w:val="ListParagraph"/>
        <w:numPr>
          <w:ilvl w:val="0"/>
          <w:numId w:val="5"/>
        </w:numPr>
        <w:shd w:val="clear" w:color="auto" w:fill="FFFFFF" w:themeFill="background1"/>
        <w:spacing w:before="240" w:beforeAutospacing="off" w:after="240" w:afterAutospacing="off" w:line="331" w:lineRule="auto"/>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1D6B8C62" w:rsidR="1D6B8C62">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The above steps are beautifully laid out in the 6 various subparts of UCC Article 3: 1. General Provisions and Definitions; 2. Negotiation, </w:t>
      </w:r>
      <w:r w:rsidRPr="1D6B8C62" w:rsidR="1D6B8C62">
        <w:rPr>
          <w:rFonts w:ascii="Arial" w:hAnsi="Arial" w:eastAsia="Arial" w:cs="Arial"/>
          <w:b w:val="0"/>
          <w:bCs w:val="0"/>
          <w:i w:val="0"/>
          <w:iCs w:val="0"/>
          <w:strike w:val="0"/>
          <w:dstrike w:val="0"/>
          <w:noProof w:val="0"/>
          <w:color w:val="000000" w:themeColor="text1" w:themeTint="FF" w:themeShade="FF"/>
          <w:sz w:val="22"/>
          <w:szCs w:val="22"/>
          <w:u w:val="none"/>
          <w:lang w:val="en-US"/>
        </w:rPr>
        <w:t>Transfer</w:t>
      </w:r>
      <w:r w:rsidRPr="1D6B8C62" w:rsidR="1D6B8C62">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and Indorsement; 3. Enforcement of Instruments; 4. Liability of Parties; 5. Dishonor; and 6. Discharge and Payment</w:t>
      </w:r>
    </w:p>
    <w:p w:rsidR="1D6B8C62" w:rsidP="1D6B8C62" w:rsidRDefault="1D6B8C62" w14:paraId="4831DBA5" w14:textId="18BD2551">
      <w:pPr>
        <w:pStyle w:val="ListParagraph"/>
        <w:numPr>
          <w:ilvl w:val="0"/>
          <w:numId w:val="5"/>
        </w:numPr>
        <w:shd w:val="clear" w:color="auto" w:fill="FFFFFF" w:themeFill="background1"/>
        <w:spacing w:before="240" w:beforeAutospacing="off" w:after="240" w:afterAutospacing="off" w:line="331" w:lineRule="auto"/>
        <w:rPr>
          <w:rFonts w:ascii="Arial" w:hAnsi="Arial" w:eastAsia="Arial" w:cs="Arial"/>
          <w:b w:val="1"/>
          <w:bCs w:val="1"/>
          <w:i w:val="0"/>
          <w:iCs w:val="0"/>
          <w:strike w:val="0"/>
          <w:dstrike w:val="0"/>
          <w:noProof w:val="0"/>
          <w:color w:val="000000" w:themeColor="text1" w:themeTint="FF" w:themeShade="FF"/>
          <w:sz w:val="22"/>
          <w:szCs w:val="22"/>
          <w:u w:val="none"/>
          <w:lang w:val="en-US"/>
        </w:rPr>
      </w:pPr>
      <w:r w:rsidRPr="1D6B8C62" w:rsidR="1D6B8C62">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Everything in UCC Article 3 establishes a presumption, automatically, in accordance with UCC 1-206, which states: </w:t>
      </w:r>
      <w:r w:rsidRPr="1D6B8C62" w:rsidR="1D6B8C62">
        <w:rPr>
          <w:rFonts w:ascii="Arial" w:hAnsi="Arial" w:eastAsia="Arial" w:cs="Arial"/>
          <w:b w:val="1"/>
          <w:bCs w:val="1"/>
          <w:i w:val="0"/>
          <w:iCs w:val="0"/>
          <w:strike w:val="0"/>
          <w:dstrike w:val="0"/>
          <w:noProof w:val="0"/>
          <w:color w:val="000000" w:themeColor="text1" w:themeTint="FF" w:themeShade="FF"/>
          <w:sz w:val="22"/>
          <w:szCs w:val="22"/>
          <w:u w:val="none"/>
          <w:lang w:val="en-US"/>
        </w:rPr>
        <w:t>Whenever the Uniform Commercial Code creates a "presumption" with respect to a fact, or provides that a fact is "presumed," the trier of fact must find the existence of the fact unless and until evidence is introduced that supports a finding of its nonexistence.</w:t>
      </w:r>
    </w:p>
    <w:p w:rsidR="2FA68348" w:rsidP="15FEF1DA" w:rsidRDefault="2FA68348" w14:paraId="24641355" w14:textId="51D32AF9">
      <w:pPr>
        <w:pStyle w:val="ListParagraph"/>
        <w:numPr>
          <w:ilvl w:val="0"/>
          <w:numId w:val="5"/>
        </w:numPr>
        <w:shd w:val="clear" w:color="auto" w:fill="FFFFFF" w:themeFill="background1"/>
        <w:spacing w:before="240" w:beforeAutospacing="off" w:after="240" w:afterAutospacing="off" w:line="331" w:lineRule="auto"/>
        <w:rPr>
          <w:lang w:val="en-US"/>
        </w:rPr>
      </w:pPr>
      <w:r w:rsidRPr="79E56C9A" w:rsidR="79E56C9A">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UCC 3-603(b) is the core of my entire complaint. The absolute dead center of </w:t>
      </w:r>
      <w:r w:rsidRPr="79E56C9A" w:rsidR="79E56C9A">
        <w:rPr>
          <w:rFonts w:ascii="Arial" w:hAnsi="Arial" w:eastAsia="Arial" w:cs="Arial"/>
          <w:b w:val="0"/>
          <w:bCs w:val="0"/>
          <w:i w:val="0"/>
          <w:iCs w:val="0"/>
          <w:strike w:val="0"/>
          <w:dstrike w:val="0"/>
          <w:noProof w:val="0"/>
          <w:color w:val="000000" w:themeColor="text1" w:themeTint="FF" w:themeShade="FF"/>
          <w:sz w:val="22"/>
          <w:szCs w:val="22"/>
          <w:u w:val="none"/>
          <w:lang w:val="en-US"/>
        </w:rPr>
        <w:t>it.</w:t>
      </w:r>
    </w:p>
    <w:p w:rsidR="2FA68348" w:rsidP="15FEF1DA" w:rsidRDefault="2FA68348" w14:paraId="3429F12B" w14:textId="05101871">
      <w:pPr>
        <w:pStyle w:val="ListParagraph"/>
        <w:numPr>
          <w:ilvl w:val="0"/>
          <w:numId w:val="5"/>
        </w:numPr>
        <w:shd w:val="clear" w:color="auto" w:fill="FFFFFF" w:themeFill="background1"/>
        <w:spacing w:before="240" w:beforeAutospacing="off" w:after="240" w:afterAutospacing="off" w:line="331" w:lineRule="auto"/>
        <w:rPr>
          <w:lang w:val="en-US"/>
        </w:rPr>
      </w:pPr>
      <w:r w:rsidRPr="79E56C9A" w:rsidR="79E56C9A">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None of the above has anything to do with “money,” as described in UCC 3-102: </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“(a) This Article applies to negotiable instruments. It does not apply to </w:t>
      </w:r>
      <w:r w:rsidRPr="79E56C9A" w:rsidR="79E56C9A">
        <w:rPr>
          <w:rFonts w:ascii="Arial" w:hAnsi="Arial" w:eastAsia="Arial" w:cs="Arial"/>
          <w:b w:val="1"/>
          <w:bCs w:val="1"/>
          <w:i w:val="0"/>
          <w:iCs w:val="0"/>
          <w:strike w:val="0"/>
          <w:dstrike w:val="0"/>
          <w:noProof w:val="0"/>
          <w:color w:val="000000" w:themeColor="text1" w:themeTint="FF" w:themeShade="FF"/>
          <w:sz w:val="22"/>
          <w:szCs w:val="22"/>
          <w:u w:val="none"/>
          <w:lang w:val="en-US"/>
        </w:rPr>
        <w:t>money”</w:t>
      </w:r>
    </w:p>
    <w:p w:rsidR="2FA68348" w:rsidP="15FEF1DA" w:rsidRDefault="2FA68348" w14:paraId="38968E49" w14:textId="7BAB5525">
      <w:pPr>
        <w:pStyle w:val="ListParagraph"/>
        <w:numPr>
          <w:ilvl w:val="0"/>
          <w:numId w:val="5"/>
        </w:numPr>
        <w:shd w:val="clear" w:color="auto" w:fill="FFFFFF" w:themeFill="background1"/>
        <w:spacing w:before="240" w:beforeAutospacing="off" w:after="240" w:afterAutospacing="off" w:line="331" w:lineRule="auto"/>
        <w:rPr>
          <w:lang w:val="en-US"/>
        </w:rPr>
      </w:pPr>
      <w:r w:rsidRPr="79E56C9A" w:rsidR="79E56C9A">
        <w:rPr>
          <w:rFonts w:ascii="Arial" w:hAnsi="Arial" w:eastAsia="Arial" w:cs="Arial"/>
          <w:b w:val="0"/>
          <w:bCs w:val="0"/>
          <w:i w:val="0"/>
          <w:iCs w:val="0"/>
          <w:strike w:val="0"/>
          <w:dstrike w:val="0"/>
          <w:noProof w:val="0"/>
          <w:color w:val="000000" w:themeColor="text1" w:themeTint="FF" w:themeShade="FF"/>
          <w:sz w:val="22"/>
          <w:szCs w:val="22"/>
          <w:u w:val="none"/>
          <w:lang w:val="en-US"/>
        </w:rPr>
        <w:t>None of the above is a “</w:t>
      </w:r>
      <w:r w:rsidRPr="79E56C9A" w:rsidR="79E56C9A">
        <w:rPr>
          <w:rFonts w:ascii="Arial" w:hAnsi="Arial" w:eastAsia="Arial" w:cs="Arial"/>
          <w:b w:val="0"/>
          <w:bCs w:val="0"/>
          <w:i w:val="0"/>
          <w:iCs w:val="0"/>
          <w:strike w:val="0"/>
          <w:dstrike w:val="0"/>
          <w:noProof w:val="0"/>
          <w:color w:val="000000" w:themeColor="text1" w:themeTint="FF" w:themeShade="FF"/>
          <w:sz w:val="22"/>
          <w:szCs w:val="22"/>
          <w:u w:val="none"/>
          <w:lang w:val="en-US"/>
        </w:rPr>
        <w:t>theory”</w:t>
      </w:r>
    </w:p>
    <w:p w:rsidR="49A7A2BE" w:rsidP="49A7A2BE" w:rsidRDefault="49A7A2BE" w14:paraId="602C13D6" w14:textId="2E1397C1">
      <w:pPr>
        <w:pStyle w:val="ListParagraph"/>
        <w:numPr>
          <w:ilvl w:val="0"/>
          <w:numId w:val="5"/>
        </w:numPr>
        <w:shd w:val="clear" w:color="auto" w:fill="FFFFFF" w:themeFill="background1"/>
        <w:spacing w:before="240" w:beforeAutospacing="off" w:after="240" w:afterAutospacing="off" w:line="331" w:lineRule="auto"/>
        <w:rPr>
          <w:rFonts w:ascii="Arial" w:hAnsi="Arial" w:eastAsia="Arial" w:cs="Arial"/>
          <w:b w:val="0"/>
          <w:bCs w:val="0"/>
          <w:i w:val="0"/>
          <w:iCs w:val="0"/>
          <w:strike w:val="0"/>
          <w:dstrike w:val="0"/>
          <w:noProof w:val="0"/>
          <w:color w:val="000000" w:themeColor="text1" w:themeTint="FF" w:themeShade="FF"/>
          <w:sz w:val="22"/>
          <w:szCs w:val="22"/>
          <w:u w:val="none"/>
          <w:lang w:val="en"/>
        </w:rPr>
      </w:pPr>
      <w:r w:rsidRPr="49A7A2BE" w:rsidR="49A7A2BE">
        <w:rPr>
          <w:rFonts w:ascii="Arial" w:hAnsi="Arial" w:eastAsia="Arial" w:cs="Arial"/>
          <w:b w:val="0"/>
          <w:bCs w:val="0"/>
          <w:i w:val="0"/>
          <w:iCs w:val="0"/>
          <w:strike w:val="0"/>
          <w:dstrike w:val="0"/>
          <w:noProof w:val="0"/>
          <w:color w:val="000000" w:themeColor="text1" w:themeTint="FF" w:themeShade="FF"/>
          <w:sz w:val="22"/>
          <w:szCs w:val="22"/>
          <w:u w:val="none"/>
          <w:lang w:val="en"/>
        </w:rPr>
        <w:t>The above has nothing to do with “vapor” or the idea of being “vaporous.”</w:t>
      </w:r>
    </w:p>
    <w:p w:rsidR="49A7A2BE" w:rsidP="49A7A2BE" w:rsidRDefault="49A7A2BE" w14:paraId="4497B56F" w14:textId="2F88B2B8">
      <w:pPr>
        <w:pStyle w:val="Normal"/>
        <w:shd w:val="clear" w:color="auto" w:fill="FFFFFF" w:themeFill="background1"/>
        <w:spacing w:before="240" w:beforeAutospacing="off" w:after="240" w:afterAutospacing="off" w:line="331" w:lineRule="auto"/>
        <w:ind w:left="0"/>
        <w:rPr>
          <w:rFonts w:ascii="Arial" w:hAnsi="Arial" w:eastAsia="Arial" w:cs="Arial"/>
          <w:b w:val="0"/>
          <w:bCs w:val="0"/>
          <w:i w:val="0"/>
          <w:iCs w:val="0"/>
          <w:strike w:val="0"/>
          <w:dstrike w:val="0"/>
          <w:noProof w:val="0"/>
          <w:color w:val="000000" w:themeColor="text1" w:themeTint="FF" w:themeShade="FF"/>
          <w:sz w:val="22"/>
          <w:szCs w:val="22"/>
          <w:u w:val="none"/>
          <w:lang w:val="en"/>
        </w:rPr>
      </w:pPr>
    </w:p>
    <w:p w:rsidR="2FA68348" w:rsidP="2FA68348" w:rsidRDefault="2FA68348" w14:paraId="64B9B0E2" w14:textId="2BB38322">
      <w:pPr>
        <w:shd w:val="clear" w:color="auto" w:fill="FFFFFF" w:themeFill="background1"/>
        <w:spacing w:before="240" w:beforeAutospacing="off" w:after="0" w:afterAutospacing="off" w:line="331" w:lineRule="auto"/>
      </w:pPr>
      <w:r w:rsidRPr="4FF5450D" w:rsidR="4FF5450D">
        <w:rPr>
          <w:rFonts w:ascii="Arial" w:hAnsi="Arial" w:eastAsia="Arial" w:cs="Arial"/>
          <w:b w:val="0"/>
          <w:bCs w:val="0"/>
          <w:i w:val="0"/>
          <w:iCs w:val="0"/>
          <w:strike w:val="0"/>
          <w:dstrike w:val="0"/>
          <w:noProof w:val="0"/>
          <w:color w:val="000000" w:themeColor="text1" w:themeTint="FF" w:themeShade="FF"/>
          <w:sz w:val="22"/>
          <w:szCs w:val="22"/>
          <w:u w:val="none"/>
          <w:lang w:val="en-US"/>
        </w:rPr>
        <w:t>So, the term “vapor money theory,” if defined while taking all the above into account would be the following: “</w:t>
      </w:r>
      <w:r w:rsidRPr="4FF5450D" w:rsidR="4FF5450D">
        <w:rPr>
          <w:rFonts w:ascii="Arial" w:hAnsi="Arial" w:eastAsia="Arial" w:cs="Arial"/>
          <w:b w:val="1"/>
          <w:bCs w:val="1"/>
          <w:i w:val="0"/>
          <w:iCs w:val="0"/>
          <w:strike w:val="0"/>
          <w:dstrike w:val="0"/>
          <w:noProof w:val="0"/>
          <w:color w:val="000000" w:themeColor="text1" w:themeTint="FF" w:themeShade="FF"/>
          <w:sz w:val="22"/>
          <w:szCs w:val="22"/>
          <w:u w:val="none"/>
          <w:lang w:val="en-US"/>
        </w:rPr>
        <w:t>an ignorant attempt at describing our current currency system as something more than being composed of unconditional promises and orders to pay in accordance with how those are defined in UCC 3-104. This term is a very depressing and sad attempt to degrade a monetary system with a long and rich history, both in case law and without. This is an attempt</w:t>
      </w:r>
      <w:r w:rsidRPr="4FF5450D" w:rsidR="4FF5450D">
        <w:rPr>
          <w:rFonts w:ascii="Arial" w:hAnsi="Arial" w:eastAsia="Arial" w:cs="Arial"/>
          <w:b w:val="1"/>
          <w:bCs w:val="1"/>
          <w:i w:val="0"/>
          <w:iCs w:val="0"/>
          <w:strike w:val="0"/>
          <w:dstrike w:val="0"/>
          <w:noProof w:val="0"/>
          <w:color w:val="000000" w:themeColor="text1" w:themeTint="FF" w:themeShade="FF"/>
          <w:sz w:val="22"/>
          <w:szCs w:val="22"/>
          <w:u w:val="none"/>
          <w:lang w:val="en-US"/>
        </w:rPr>
        <w:t>, essentially, to</w:t>
      </w:r>
      <w:r w:rsidRPr="4FF5450D" w:rsidR="4FF5450D">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 gaslight people and persons who are </w:t>
      </w:r>
      <w:r w:rsidRPr="4FF5450D" w:rsidR="4FF5450D">
        <w:rPr>
          <w:rFonts w:ascii="Arial" w:hAnsi="Arial" w:eastAsia="Arial" w:cs="Arial"/>
          <w:b w:val="1"/>
          <w:bCs w:val="1"/>
          <w:i w:val="0"/>
          <w:iCs w:val="0"/>
          <w:strike w:val="0"/>
          <w:dstrike w:val="0"/>
          <w:noProof w:val="0"/>
          <w:color w:val="000000" w:themeColor="text1" w:themeTint="FF" w:themeShade="FF"/>
          <w:sz w:val="22"/>
          <w:szCs w:val="22"/>
          <w:u w:val="none"/>
          <w:lang w:val="en-US"/>
        </w:rPr>
        <w:t>attempting</w:t>
      </w:r>
      <w:r w:rsidRPr="4FF5450D" w:rsidR="4FF5450D">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 to use the actual law found in case law and in the various State-adapted Commercial Codes (typically close duplicates of the model UCC). This term attempts to derail any attempt at applying the Commercial Codes by making use of those Codes appear to be frivolous. This term is a term of massive degradation and shows deep ignorance and </w:t>
      </w:r>
      <w:r w:rsidRPr="4FF5450D" w:rsidR="4FF5450D">
        <w:rPr>
          <w:rFonts w:ascii="Arial" w:hAnsi="Arial" w:eastAsia="Arial" w:cs="Arial"/>
          <w:b w:val="1"/>
          <w:bCs w:val="1"/>
          <w:i w:val="0"/>
          <w:iCs w:val="0"/>
          <w:strike w:val="0"/>
          <w:dstrike w:val="0"/>
          <w:noProof w:val="0"/>
          <w:color w:val="000000" w:themeColor="text1" w:themeTint="FF" w:themeShade="FF"/>
          <w:sz w:val="22"/>
          <w:szCs w:val="22"/>
          <w:u w:val="none"/>
          <w:lang w:val="en-US"/>
        </w:rPr>
        <w:t>maybe even</w:t>
      </w:r>
      <w:r w:rsidRPr="4FF5450D" w:rsidR="4FF5450D">
        <w:rPr>
          <w:rFonts w:ascii="Arial" w:hAnsi="Arial" w:eastAsia="Arial" w:cs="Arial"/>
          <w:b w:val="1"/>
          <w:bCs w:val="1"/>
          <w:i w:val="0"/>
          <w:iCs w:val="0"/>
          <w:strike w:val="0"/>
          <w:dstrike w:val="0"/>
          <w:noProof w:val="0"/>
          <w:color w:val="000000" w:themeColor="text1" w:themeTint="FF" w:themeShade="FF"/>
          <w:sz w:val="22"/>
          <w:szCs w:val="22"/>
          <w:u w:val="none"/>
          <w:lang w:val="en-US"/>
        </w:rPr>
        <w:t xml:space="preserve"> contempt for our negotiable instrument monetary system as well as the law. For those aware of the functionalities of negotiable instruments, which is well articulated by Article 3 of the model UCC, the term “vapor money theory” is offensive as it is a generic and ignorant attempt at invalidating all of UCC Article 3 and the entire legal basis behind legal tender and the operation of unconditional promises and orders to pay.”</w:t>
      </w:r>
    </w:p>
    <w:p w:rsidR="2FA68348" w:rsidP="2FA68348" w:rsidRDefault="2FA68348" w14:paraId="17CDBE51" w14:textId="567CE8C7">
      <w:pPr>
        <w:shd w:val="clear" w:color="auto" w:fill="FFFFFF" w:themeFill="background1"/>
        <w:spacing w:before="240" w:beforeAutospacing="off" w:after="0" w:afterAutospacing="off" w:line="331" w:lineRule="auto"/>
      </w:pP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This definition, if not rebutted, is now active in this case as the definition of “vapor money theory.” I would like to give any </w:t>
      </w: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US"/>
        </w:rPr>
        <w:t>possible leeway</w:t>
      </w: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necessary to allow the advocates for the opposing counsel to rebut this definition with </w:t>
      </w: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US"/>
        </w:rPr>
        <w:t>evidence, if</w:t>
      </w: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they so choose. If no rebuttal is </w:t>
      </w: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US"/>
        </w:rPr>
        <w:t>attempted</w:t>
      </w:r>
      <w:r w:rsidRPr="2FA68348" w:rsidR="2FA68348">
        <w:rPr>
          <w:rFonts w:ascii="Arial" w:hAnsi="Arial" w:eastAsia="Arial" w:cs="Arial"/>
          <w:b w:val="0"/>
          <w:bCs w:val="0"/>
          <w:i w:val="0"/>
          <w:iCs w:val="0"/>
          <w:strike w:val="0"/>
          <w:dstrike w:val="0"/>
          <w:noProof w:val="0"/>
          <w:color w:val="000000" w:themeColor="text1" w:themeTint="FF" w:themeShade="FF"/>
          <w:sz w:val="22"/>
          <w:szCs w:val="22"/>
          <w:u w:val="none"/>
          <w:lang w:val="en-US"/>
        </w:rPr>
        <w:t>, the above will become stipulated facts of this case.</w:t>
      </w:r>
    </w:p>
    <w:sectPr w:rsidR="006545CC">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http://schemas.openxmlformats.org/wordprocessingml/2006/main">
  <w:abstractNum xmlns:w="http://schemas.openxmlformats.org/wordprocessingml/2006/main" w:abstractNumId="6">
    <w:nsid w:val="2bc36a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63918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db3f638"/>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402c2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83c271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ad038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5CC"/>
    <w:rsid w:val="006545CC"/>
    <w:rsid w:val="006D541E"/>
    <w:rsid w:val="00E256E1"/>
    <w:rsid w:val="15FEF1DA"/>
    <w:rsid w:val="1D6B8C62"/>
    <w:rsid w:val="220B4DA2"/>
    <w:rsid w:val="2749DBEB"/>
    <w:rsid w:val="2FA68348"/>
    <w:rsid w:val="3333BA2B"/>
    <w:rsid w:val="3A492092"/>
    <w:rsid w:val="3DB5C7AE"/>
    <w:rsid w:val="40EA5794"/>
    <w:rsid w:val="42408985"/>
    <w:rsid w:val="49A7A2BE"/>
    <w:rsid w:val="4FF5450D"/>
    <w:rsid w:val="52DD8CCA"/>
    <w:rsid w:val="6424A1C2"/>
    <w:rsid w:val="6E92B76C"/>
    <w:rsid w:val="70F016F1"/>
    <w:rsid w:val="79E56C9A"/>
    <w:rsid w:val="7A990D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F20614F5-5AFC-4A46-A6A7-EAFBB6333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uiPriority w:val="34"/>
    <w:name w:val="List Paragraph"/>
    <w:basedOn w:val="Normal"/>
    <w:qFormat/>
    <w:rsid w:val="2FA68348"/>
    <w:pPr>
      <w:spacing/>
      <w:ind w:left="720"/>
      <w:contextualSpacing/>
    </w:pPr>
  </w:style>
  <w:style w:type="character" w:styleId="Hyperlink">
    <w:uiPriority w:val="99"/>
    <w:name w:val="Hyperlink"/>
    <w:basedOn w:val="DefaultParagraphFont"/>
    <w:unhideWhenUsed/>
    <w:rsid w:val="220B4D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88f1e55f2c641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Brandon Williams</lastModifiedBy>
  <revision>19</revision>
  <dcterms:created xsi:type="dcterms:W3CDTF">2025-07-25T23:19:00.0000000Z</dcterms:created>
  <dcterms:modified xsi:type="dcterms:W3CDTF">2025-08-11T23:50:22.1778929Z</dcterms:modified>
</coreProperties>
</file>