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EC5A13"/>
          <w:sz w:val="28"/>
        </w:rPr>
        <w:t>VoiturePrepa.fr</w:t>
      </w:r>
    </w:p>
    <w:p>
      <w:pPr>
        <w:spacing w:before="1200"/>
        <w:jc w:val="center"/>
      </w:pPr>
      <w:r>
        <w:rPr>
          <w:b/>
          <w:color w:val="2A3BD0"/>
          <w:sz w:val="64"/>
        </w:rPr>
        <w:t>Cahier des charges technique</w:t>
      </w:r>
    </w:p>
    <w:p>
      <w:pPr>
        <w:jc w:val="center"/>
      </w:pPr>
      <w:r>
        <w:rPr>
          <w:color w:val="555555"/>
          <w:sz w:val="32"/>
        </w:rPr>
        <w:t>Passage en production — backend &amp; sécurité</w:t>
      </w:r>
    </w:p>
    <w:p>
      <w:pPr>
        <w:spacing w:before="3600"/>
        <w:jc w:val="center"/>
      </w:pPr>
      <w:r>
        <w:rPr>
          <w:i/>
          <w:color w:val="555555"/>
          <w:sz w:val="22"/>
        </w:rPr>
        <w:t>Document de référence à destination d'un développeur back-end ou d'un prestataire technique.</w:t>
      </w:r>
    </w:p>
    <w:p>
      <w:pPr>
        <w:spacing w:before="2800"/>
        <w:jc w:val="center"/>
      </w:pPr>
      <w:r>
        <w:rPr>
          <w:color w:val="888888"/>
          <w:sz w:val="20"/>
        </w:rPr>
        <w:t>Version 1.0  ·  26 mai 2026</w:t>
      </w:r>
    </w:p>
    <w:p>
      <w:r>
        <w:br w:type="page"/>
      </w:r>
    </w:p>
    <w:p>
      <w:pPr>
        <w:keepNext/>
        <w:spacing w:before="240" w:after="120"/>
      </w:pPr>
      <w:r>
        <w:rPr>
          <w:b/>
          <w:color w:val="2A3BD0"/>
          <w:sz w:val="44"/>
        </w:rPr>
        <w:t>1. Contexte du projet</w:t>
      </w:r>
    </w:p>
    <w:p>
      <w:r>
        <w:rPr>
          <w:b w:val="0"/>
          <w:i w:val="0"/>
        </w:rPr>
        <w:t>VoiturePrepa.fr est une plateforme française de petites annonces spécialisée dans les véhicules — préparés ou de série — et les pièces détachées, qu'elles soient de performance ou d'origine. Le service met en relation des particuliers, des professionnels (garages, concessionnaires, préparateurs) et des garages partenaires (intervenant dans les inspections avant-vente).</w:t>
      </w:r>
    </w:p>
    <w:p>
      <w:r>
        <w:rPr>
          <w:b w:val="0"/>
          <w:i w:val="0"/>
        </w:rPr>
        <w:t>Une maquette HTML/CSS/JavaScript complète a été développée. Elle simule l'intégralité de l'expérience utilisateur, mais ne possède pas de serveur : toutes les données vivent dans le localStorage du navigateur. Le présent document décrit les éléments à mettre en place côté backend, sécurité et conformité pour passer de la maquette à un site en production conforme à l'état de l'art.</w:t>
      </w:r>
    </w:p>
    <w:p>
      <w:pPr>
        <w:keepNext/>
        <w:spacing w:before="240" w:after="120"/>
      </w:pPr>
      <w:r>
        <w:rPr>
          <w:b/>
          <w:color w:val="2A3BD0"/>
          <w:sz w:val="26"/>
        </w:rPr>
        <w:t>Services principaux exposés par la maquette</w:t>
      </w:r>
    </w:p>
    <w:p>
      <w:pPr>
        <w:pStyle w:val="ListBullet"/>
        <w:spacing w:after="60"/>
        <w:ind w:left="283"/>
      </w:pPr>
      <w:r>
        <w:t>Inscription / connexion / gestion de compte (3 types : Particulier, Professionnel, Garage)</w:t>
      </w:r>
    </w:p>
    <w:p>
      <w:pPr>
        <w:pStyle w:val="ListBullet"/>
        <w:spacing w:after="60"/>
        <w:ind w:left="283"/>
      </w:pPr>
      <w:r>
        <w:t>Dépôt et consultation d'annonces (voitures et pièces) avec modération a priori</w:t>
      </w:r>
    </w:p>
    <w:p>
      <w:pPr>
        <w:pStyle w:val="ListBullet"/>
        <w:spacing w:after="60"/>
        <w:ind w:left="283"/>
      </w:pPr>
      <w:r>
        <w:t>Vente en ligne sécurisée par dépôt fiduciaire (commission 3 % voitures / 10 % pièces)</w:t>
      </w:r>
    </w:p>
    <w:p>
      <w:pPr>
        <w:pStyle w:val="ListBullet"/>
        <w:spacing w:after="60"/>
        <w:ind w:left="283"/>
      </w:pPr>
      <w:r>
        <w:t>Inspection avant-vente par un garage partenaire (Bronze 150 € / Argent 300 € / Or 500 €)</w:t>
      </w:r>
    </w:p>
    <w:p>
      <w:pPr>
        <w:pStyle w:val="ListBullet"/>
        <w:spacing w:after="60"/>
        <w:ind w:left="283"/>
      </w:pPr>
      <w:r>
        <w:t>Annuaire des garages spécialisés avec géolocalisation et calcul d'itinéraire</w:t>
      </w:r>
    </w:p>
    <w:p>
      <w:pPr>
        <w:pStyle w:val="ListBullet"/>
        <w:spacing w:after="60"/>
        <w:ind w:left="283"/>
      </w:pPr>
      <w:r>
        <w:t>Messagerie acheteur–vendeur intégrée</w:t>
      </w:r>
    </w:p>
    <w:p>
      <w:pPr>
        <w:pStyle w:val="ListBullet"/>
        <w:spacing w:after="60"/>
        <w:ind w:left="283"/>
      </w:pPr>
      <w:r>
        <w:t>Système d'avis et de signalements</w:t>
      </w:r>
    </w:p>
    <w:p>
      <w:pPr>
        <w:pStyle w:val="ListBullet"/>
        <w:spacing w:after="60"/>
        <w:ind w:left="283"/>
      </w:pPr>
      <w:r>
        <w:t>Espace administrateur (modération, transactions, statistiques, paramétrage)</w:t>
      </w:r>
    </w:p>
    <w:p>
      <w:pPr>
        <w:keepNext/>
        <w:spacing w:before="240" w:after="120"/>
      </w:pPr>
      <w:r>
        <w:rPr>
          <w:b/>
          <w:color w:val="2A3BD0"/>
          <w:sz w:val="44"/>
        </w:rPr>
        <w:t>2. État actuel — ce que fait la maquette</w:t>
      </w:r>
    </w:p>
    <w:p>
      <w:r>
        <w:rPr>
          <w:b w:val="0"/>
          <w:i w:val="0"/>
        </w:rPr>
        <w:t>La maquette implémente l'intégralité du parcours utilisateur sur 21 pages HTML statiques, un fichier JavaScript central (≈ 60 000 caractères) et une CSS unique. Le stockage est entièrement client (15 clés localStorage préfixées « voitureprepa_ »). Aucun appel API n'est effectué, à l'exception des services tiers publics suivants : OpenStreetMap (Nominatim, OSRM) pour le géocodage et le calcul d'itinéraires, geo.api.gouv.fr pour la validation ville/département.</w:t>
      </w:r>
    </w:p>
    <w:p>
      <w:pPr>
        <w:keepNext/>
        <w:spacing w:before="240" w:after="120"/>
      </w:pPr>
      <w:r>
        <w:rPr>
          <w:b/>
          <w:color w:val="2A3BD0"/>
          <w:sz w:val="26"/>
        </w:rPr>
        <w:t>Ce qui est déjà construit côté UX</w:t>
      </w:r>
    </w:p>
    <w:p>
      <w:pPr>
        <w:pStyle w:val="ListBullet"/>
        <w:spacing w:after="60"/>
        <w:ind w:left="283"/>
      </w:pPr>
      <w:r>
        <w:t>Tous les écrans publics (accueil, listing avec filtres, fiche annonce, dépôt en 4 étapes, garages, inspection, protection des achats, tarifs, abonnement pro, CGU/CGV)</w:t>
      </w:r>
    </w:p>
    <w:p>
      <w:pPr>
        <w:pStyle w:val="ListBullet"/>
        <w:spacing w:after="60"/>
        <w:ind w:left="283"/>
      </w:pPr>
      <w:r>
        <w:t>Tableau de bord vendeur complet (annonces, transactions, inspections, favoris, messagerie, recherches sauvegardées, avis)</w:t>
      </w:r>
    </w:p>
    <w:p>
      <w:pPr>
        <w:pStyle w:val="ListBullet"/>
        <w:spacing w:after="60"/>
        <w:ind w:left="283"/>
      </w:pPr>
      <w:r>
        <w:t>Espace administrateur (modération, annonces publiées/refusées/vendues, transactions, signalements, messages, utilisateurs, inspections, statistiques, emails, tarifs, commissions, avis, garages partenaires, SEO)</w:t>
      </w:r>
    </w:p>
    <w:p>
      <w:pPr>
        <w:pStyle w:val="ListBullet"/>
        <w:spacing w:after="60"/>
        <w:ind w:left="283"/>
      </w:pPr>
      <w:r>
        <w:t>Modale de paiement Stripe simulée avec cartes de test</w:t>
      </w:r>
    </w:p>
    <w:p>
      <w:pPr>
        <w:pStyle w:val="ListBullet"/>
        <w:spacing w:after="60"/>
        <w:ind w:left="283"/>
      </w:pPr>
      <w:r>
        <w:t>Authentification admin simulée (email + mot de passe + 2FA)</w:t>
      </w:r>
    </w:p>
    <w:p>
      <w:pPr>
        <w:pStyle w:val="ListBullet"/>
        <w:spacing w:after="60"/>
        <w:ind w:left="283"/>
      </w:pPr>
      <w:r>
        <w:t>Back-office éditable : tarifs/formules, emails automatiques, SEO, garages partenaires</w:t>
      </w:r>
    </w:p>
    <w:p>
      <w:pPr>
        <w:keepNext/>
        <w:spacing w:before="240" w:after="120"/>
      </w:pPr>
      <w:r>
        <w:rPr>
          <w:b/>
          <w:color w:val="2A3BD0"/>
          <w:sz w:val="26"/>
        </w:rPr>
        <w:t>Limites volontaires de la maquette</w:t>
      </w:r>
    </w:p>
    <w:p>
      <w:pPr>
        <w:pStyle w:val="ListBullet"/>
        <w:spacing w:after="60"/>
        <w:ind w:left="283"/>
      </w:pPr>
      <w:r>
        <w:t>Mots de passe stockés en clair dans le localStorage</w:t>
      </w:r>
    </w:p>
    <w:p>
      <w:pPr>
        <w:pStyle w:val="ListBullet"/>
        <w:spacing w:after="60"/>
        <w:ind w:left="283"/>
      </w:pPr>
      <w:r>
        <w:t>Contrôle d'accès admin réalisé en JavaScript (contournable via la console navigateur)</w:t>
      </w:r>
    </w:p>
    <w:p>
      <w:pPr>
        <w:pStyle w:val="ListBullet"/>
        <w:spacing w:after="60"/>
        <w:ind w:left="283"/>
      </w:pPr>
      <w:r>
        <w:t>Paiements simulés (aucun débit réel, pas d'intégration Stripe Connect)</w:t>
      </w:r>
    </w:p>
    <w:p>
      <w:pPr>
        <w:pStyle w:val="ListBullet"/>
        <w:spacing w:after="60"/>
        <w:ind w:left="283"/>
      </w:pPr>
      <w:r>
        <w:t>Aucune persistance multi-utilisateur (chaque navigateur a son propre état)</w:t>
      </w:r>
    </w:p>
    <w:p>
      <w:pPr>
        <w:pStyle w:val="ListBullet"/>
        <w:spacing w:after="60"/>
        <w:ind w:left="283"/>
      </w:pPr>
      <w:r>
        <w:t>Documents sensibles (Contrôle Technique, carte grise, pièce d'identité) stockés en Data URL dans le navigateur</w:t>
      </w:r>
    </w:p>
    <w:p>
      <w:pPr>
        <w:pStyle w:val="ListBullet"/>
        <w:spacing w:after="60"/>
        <w:ind w:left="283"/>
      </w:pPr>
      <w:r>
        <w:t>Aucune vérification d'email à l'inscription (token simulé)</w:t>
      </w:r>
    </w:p>
    <w:p>
      <w:pPr>
        <w:pStyle w:val="ListBullet"/>
        <w:spacing w:after="60"/>
        <w:ind w:left="283"/>
      </w:pPr>
      <w:r>
        <w:t>Aucun en-tête de sécurité HTTP (pas de serveur)</w:t>
      </w:r>
    </w:p>
    <w:p>
      <w:pPr>
        <w:spacing w:after="160"/>
        <w:ind w:left="283"/>
      </w:pPr>
      <w:r>
        <w:rPr>
          <w:i/>
          <w:color w:val="555555"/>
        </w:rPr>
        <w:t>Le présent cahier des charges ne demande pas de réécrire l'UX : tous les écrans, libellés, parcours et règles métier sont déjà figés dans la maquette et servent de spécification visuelle. L'objet est exclusivement de remplacer la couche de stockage et d'exécution par un vrai backend sécurisé.</w:t>
      </w:r>
    </w:p>
    <w:p>
      <w:r>
        <w:br w:type="page"/>
      </w:r>
    </w:p>
    <w:p>
      <w:pPr>
        <w:keepNext/>
        <w:spacing w:before="240" w:after="120"/>
      </w:pPr>
      <w:r>
        <w:rPr>
          <w:b/>
          <w:color w:val="2A3BD0"/>
          <w:sz w:val="44"/>
        </w:rPr>
        <w:t>3. Architecture cible</w:t>
      </w:r>
    </w:p>
    <w:p>
      <w:pPr>
        <w:keepNext/>
        <w:spacing w:before="240" w:after="120"/>
      </w:pPr>
      <w:r>
        <w:rPr>
          <w:b/>
          <w:color w:val="2A3BD0"/>
          <w:sz w:val="32"/>
        </w:rPr>
        <w:t>3.1 Vue d'ensemble</w:t>
      </w:r>
    </w:p>
    <w:p>
      <w:r>
        <w:rPr>
          <w:b w:val="0"/>
          <w:i w:val="0"/>
        </w:rPr>
        <w:t>L'architecture recommandée est classique : un frontend (HTML/CSS/JS, en grande partie réutilisable depuis la maquette) communiquant avec une API REST ou GraphQL servie par un backend applicatif, lui-même connecté à une base de données relationnelle. Un cache court (Redis) accélère les listings et les sessions. Tout passe derrière un reverse-proxy Nginx ou équivalent gérant HTTPS, en-têtes et limitation de débit.</w:t>
      </w:r>
    </w:p>
    <w:p>
      <w:pPr>
        <w:keepNext/>
        <w:spacing w:before="240" w:after="120"/>
      </w:pPr>
      <w:r>
        <w:rPr>
          <w:b/>
          <w:color w:val="2A3BD0"/>
          <w:sz w:val="32"/>
        </w:rPr>
        <w:t>3.2 Stack recommandée</w:t>
      </w:r>
    </w:p>
    <w:tbl>
      <w:tblPr>
        <w:tblStyle w:val="LightGrid-Accent1"/>
        <w:tblW w:type="auto" w:w="0"/>
        <w:tblLook w:firstColumn="1" w:firstRow="1" w:lastColumn="0" w:lastRow="0" w:noHBand="0" w:noVBand="1" w:val="04A0"/>
      </w:tblPr>
      <w:tblGrid>
        <w:gridCol w:w="4986"/>
        <w:gridCol w:w="4986"/>
      </w:tblGrid>
      <w:tr>
        <w:tc>
          <w:tcPr>
            <w:tcW w:type="dxa" w:w="2448"/>
          </w:tcPr>
          <w:p>
            <w:r>
              <w:rPr>
                <w:b/>
              </w:rPr>
              <w:t>Brique</w:t>
            </w:r>
          </w:p>
        </w:tc>
        <w:tc>
          <w:tcPr>
            <w:tcW w:type="dxa" w:w="6192"/>
          </w:tcPr>
          <w:p>
            <w:r>
              <w:rPr>
                <w:b/>
              </w:rPr>
              <w:t>Recommandation</w:t>
            </w:r>
          </w:p>
        </w:tc>
      </w:tr>
      <w:tr>
        <w:tc>
          <w:tcPr>
            <w:tcW w:type="dxa" w:w="2448"/>
          </w:tcPr>
          <w:p>
            <w:r>
              <w:t>Backend applicatif</w:t>
            </w:r>
          </w:p>
        </w:tc>
        <w:tc>
          <w:tcPr>
            <w:tcW w:type="dxa" w:w="6192"/>
          </w:tcPr>
          <w:p>
            <w:r>
              <w:t>Node.js 20 LTS + Fastify (ou Express). Alternative Python : FastAPI. Choisir selon la compétence interne.</w:t>
            </w:r>
          </w:p>
        </w:tc>
      </w:tr>
      <w:tr>
        <w:tc>
          <w:tcPr>
            <w:tcW w:type="dxa" w:w="2448"/>
          </w:tcPr>
          <w:p>
            <w:r>
              <w:t>Base de données</w:t>
            </w:r>
          </w:p>
        </w:tc>
        <w:tc>
          <w:tcPr>
            <w:tcW w:type="dxa" w:w="6192"/>
          </w:tcPr>
          <w:p>
            <w:r>
              <w:t>PostgreSQL 16. Tables principales : users, ads, transactions, inspections, garages, threads, messages, reviews, reports, settings.</w:t>
            </w:r>
          </w:p>
        </w:tc>
      </w:tr>
      <w:tr>
        <w:tc>
          <w:tcPr>
            <w:tcW w:type="dxa" w:w="2448"/>
          </w:tcPr>
          <w:p>
            <w:r>
              <w:t>Cache / sessions</w:t>
            </w:r>
          </w:p>
        </w:tc>
        <w:tc>
          <w:tcPr>
            <w:tcW w:type="dxa" w:w="6192"/>
          </w:tcPr>
          <w:p>
            <w:r>
              <w:t>Redis 7 (sessions, rate-limit, file de jobs)</w:t>
            </w:r>
          </w:p>
        </w:tc>
      </w:tr>
      <w:tr>
        <w:tc>
          <w:tcPr>
            <w:tcW w:type="dxa" w:w="2448"/>
          </w:tcPr>
          <w:p>
            <w:r>
              <w:t>Stockage fichiers</w:t>
            </w:r>
          </w:p>
        </w:tc>
        <w:tc>
          <w:tcPr>
            <w:tcW w:type="dxa" w:w="6192"/>
          </w:tcPr>
          <w:p>
            <w:r>
              <w:t>S3 ou équivalent (Scaleway Object Storage, OVH Object Storage). Chiffrement au repos activé.</w:t>
            </w:r>
          </w:p>
        </w:tc>
      </w:tr>
      <w:tr>
        <w:tc>
          <w:tcPr>
            <w:tcW w:type="dxa" w:w="2448"/>
          </w:tcPr>
          <w:p>
            <w:r>
              <w:t>Reverse-proxy</w:t>
            </w:r>
          </w:p>
        </w:tc>
        <w:tc>
          <w:tcPr>
            <w:tcW w:type="dxa" w:w="6192"/>
          </w:tcPr>
          <w:p>
            <w:r>
              <w:t>Nginx ou Caddy (TLS automatique avec Let's Encrypt)</w:t>
            </w:r>
          </w:p>
        </w:tc>
      </w:tr>
      <w:tr>
        <w:tc>
          <w:tcPr>
            <w:tcW w:type="dxa" w:w="2448"/>
          </w:tcPr>
          <w:p>
            <w:r>
              <w:t>Hébergement</w:t>
            </w:r>
          </w:p>
        </w:tc>
        <w:tc>
          <w:tcPr>
            <w:tcW w:type="dxa" w:w="6192"/>
          </w:tcPr>
          <w:p>
            <w:r>
              <w:t>OVH, Scaleway, ou Clever Cloud (souveraineté française pour la conformité RGPD)</w:t>
            </w:r>
          </w:p>
        </w:tc>
      </w:tr>
      <w:tr>
        <w:tc>
          <w:tcPr>
            <w:tcW w:type="dxa" w:w="2448"/>
          </w:tcPr>
          <w:p>
            <w:r>
              <w:t>CI/CD</w:t>
            </w:r>
          </w:p>
        </w:tc>
        <w:tc>
          <w:tcPr>
            <w:tcW w:type="dxa" w:w="6192"/>
          </w:tcPr>
          <w:p>
            <w:r>
              <w:t>GitHub Actions + tests automatisés + Dependabot pour l'audit de dépendances</w:t>
            </w:r>
          </w:p>
        </w:tc>
      </w:tr>
      <w:tr>
        <w:tc>
          <w:tcPr>
            <w:tcW w:type="dxa" w:w="2448"/>
          </w:tcPr>
          <w:p>
            <w:r>
              <w:t>Monitoring</w:t>
            </w:r>
          </w:p>
        </w:tc>
        <w:tc>
          <w:tcPr>
            <w:tcW w:type="dxa" w:w="6192"/>
          </w:tcPr>
          <w:p>
            <w:r>
              <w:t>Sentry (erreurs), Plausible/Matomo (analytics RGPD-friendly), logs structurés (JSON)</w:t>
            </w:r>
          </w:p>
        </w:tc>
      </w:tr>
    </w:tbl>
    <w:p>
      <w:pPr>
        <w:spacing w:after="0"/>
      </w:pPr>
      <w:r>
        <w:rPr>
          <w:b w:val="0"/>
          <w:i w:val="0"/>
        </w:rPr>
        <w:t xml:space="preserve"> </w:t>
      </w:r>
    </w:p>
    <w:p>
      <w:pPr>
        <w:keepNext/>
        <w:spacing w:before="240" w:after="120"/>
      </w:pPr>
      <w:r>
        <w:rPr>
          <w:b/>
          <w:color w:val="2A3BD0"/>
          <w:sz w:val="32"/>
        </w:rPr>
        <w:t>3.3 Modèle de données — points sensibles</w:t>
      </w:r>
    </w:p>
    <w:p>
      <w:r>
        <w:rPr>
          <w:b w:val="0"/>
          <w:i w:val="0"/>
        </w:rPr>
        <w:t>La maquette utilise déjà une structure d'objet riche pour chaque entité (annonce, transaction, inspection…). Le schéma SQL final doit refléter cette structure. Quelques points critiques :</w:t>
      </w:r>
    </w:p>
    <w:p>
      <w:pPr>
        <w:pStyle w:val="ListBullet"/>
        <w:spacing w:after="60"/>
        <w:ind w:left="283"/>
      </w:pPr>
      <w:r>
        <w:t>La table users doit séparer le hash du mot de passe (jamais le mot de passe en clair), le rôle (particulier/pro/garage/admin), l'état (email vérifié, compte actif, banni), et les informations sensibles dans une table dédiée chiffrée.</w:t>
      </w:r>
    </w:p>
    <w:p>
      <w:pPr>
        <w:pStyle w:val="ListBullet"/>
        <w:spacing w:after="60"/>
        <w:ind w:left="283"/>
      </w:pPr>
      <w:r>
        <w:t>Les documents personnels (CT, carte grise, pièce d'identité) sont stockés hors base, sur S3 chiffré, avec uniquement un identifiant et une signature en base.</w:t>
      </w:r>
    </w:p>
    <w:p>
      <w:pPr>
        <w:pStyle w:val="ListBullet"/>
        <w:spacing w:after="60"/>
        <w:ind w:left="283"/>
      </w:pPr>
      <w:r>
        <w:t>Les annonces doivent avoir un statut clair (pending, approved, rejected, sold) et un historique d'événements (modération, modifications, renouvellements).</w:t>
      </w:r>
    </w:p>
    <w:p>
      <w:pPr>
        <w:pStyle w:val="ListBullet"/>
        <w:spacing w:after="60"/>
        <w:ind w:left="283"/>
      </w:pPr>
      <w:r>
        <w:t>Les paramètres éditables (tarifs, durées) sont dans une table settings clé-valeur — la maquette a déjà ce modèle dans le localStorage.</w:t>
      </w:r>
    </w:p>
    <w:p>
      <w:r>
        <w:br w:type="page"/>
      </w:r>
    </w:p>
    <w:p>
      <w:pPr>
        <w:keepNext/>
        <w:spacing w:before="240" w:after="120"/>
      </w:pPr>
      <w:r>
        <w:rPr>
          <w:b/>
          <w:color w:val="2A3BD0"/>
          <w:sz w:val="44"/>
        </w:rPr>
        <w:t>4. Authentification et gestion des comptes</w:t>
      </w:r>
    </w:p>
    <w:p>
      <w:pPr>
        <w:keepNext/>
        <w:spacing w:before="240" w:after="120"/>
      </w:pPr>
      <w:r>
        <w:rPr>
          <w:b/>
          <w:color w:val="2A3BD0"/>
          <w:sz w:val="32"/>
        </w:rPr>
        <w:t>4.1 Hachage des mots de passe</w:t>
      </w:r>
    </w:p>
    <w:p>
      <w:r>
        <w:rPr>
          <w:b w:val="0"/>
          <w:i w:val="0"/>
        </w:rPr>
        <w:t>Aucun mot de passe ne doit jamais être stocké en clair, transmis dans les logs, ou exposé via une API. Utiliser argon2id (recommandé OWASP) ou bcrypt avec un facteur de coût d'au moins 12. Calibrer le facteur pour que le hachage prenne ≈ 250 ms sur le serveur cible.</w:t>
      </w:r>
    </w:p>
    <w:p>
      <w:r>
        <w:rPr>
          <w:b w:val="0"/>
          <w:i w:val="0"/>
        </w:rPr>
        <w:t>Bibliothèque recommandée Node : argon2. Bibliothèque recommandée Python : argon2-cffi.</w:t>
      </w:r>
    </w:p>
    <w:p>
      <w:pPr>
        <w:keepNext/>
        <w:spacing w:before="240" w:after="120"/>
      </w:pPr>
      <w:r>
        <w:rPr>
          <w:b/>
          <w:color w:val="2A3BD0"/>
          <w:sz w:val="32"/>
        </w:rPr>
        <w:t>4.2 Sessions sécurisées</w:t>
      </w:r>
    </w:p>
    <w:p>
      <w:r>
        <w:rPr>
          <w:b w:val="0"/>
          <w:i w:val="0"/>
        </w:rPr>
        <w:t>Sessions côté serveur identifiées par un cookie. Le cookie de session doit avoir :</w:t>
      </w:r>
    </w:p>
    <w:p>
      <w:pPr>
        <w:pStyle w:val="ListBullet"/>
        <w:spacing w:after="60"/>
        <w:ind w:left="283"/>
      </w:pPr>
      <w:r>
        <w:t>HttpOnly : impossible à lire en JavaScript (empêche le vol via XSS)</w:t>
      </w:r>
    </w:p>
    <w:p>
      <w:pPr>
        <w:pStyle w:val="ListBullet"/>
        <w:spacing w:after="60"/>
        <w:ind w:left="283"/>
      </w:pPr>
      <w:r>
        <w:t>Secure : transmis uniquement en HTTPS</w:t>
      </w:r>
    </w:p>
    <w:p>
      <w:pPr>
        <w:pStyle w:val="ListBullet"/>
        <w:spacing w:after="60"/>
        <w:ind w:left="283"/>
      </w:pPr>
      <w:r>
        <w:t>SameSite=Strict (ou Lax si nécessaire pour des liens externes vers le site)</w:t>
      </w:r>
    </w:p>
    <w:p>
      <w:pPr>
        <w:pStyle w:val="ListBullet"/>
        <w:spacing w:after="60"/>
        <w:ind w:left="283"/>
      </w:pPr>
      <w:r>
        <w:t>Path=/ , Max-Age limité (par exemple 7 jours pour les utilisateurs, 30 minutes pour l'admin)</w:t>
      </w:r>
    </w:p>
    <w:p>
      <w:r>
        <w:rPr>
          <w:b w:val="0"/>
          <w:i w:val="0"/>
        </w:rPr>
        <w:t>Stocker les sessions dans Redis. Pouvoir invalider toutes les sessions d'un utilisateur en cas de changement de mot de passe.</w:t>
      </w:r>
    </w:p>
    <w:p>
      <w:pPr>
        <w:keepNext/>
        <w:spacing w:before="240" w:after="120"/>
      </w:pPr>
      <w:r>
        <w:rPr>
          <w:b/>
          <w:color w:val="2A3BD0"/>
          <w:sz w:val="32"/>
        </w:rPr>
        <w:t>4.3 Vérification de l'email à l'inscription</w:t>
      </w:r>
    </w:p>
    <w:p>
      <w:r>
        <w:rPr>
          <w:b w:val="0"/>
          <w:i w:val="0"/>
        </w:rPr>
        <w:t>À l'inscription, le compte est créé avec l'état email_verifie = false. Un email contenant un lien avec un token signé (JWT court ou token aléatoire en base, expirant en 24 h) est envoyé. Tant que l'email n'est pas vérifié, le compte est limité (pas de dépôt d'annonce, pas de transaction).</w:t>
      </w:r>
    </w:p>
    <w:p>
      <w:pPr>
        <w:keepNext/>
        <w:spacing w:before="240" w:after="120"/>
      </w:pPr>
      <w:r>
        <w:rPr>
          <w:b/>
          <w:color w:val="2A3BD0"/>
          <w:sz w:val="32"/>
        </w:rPr>
        <w:t>4.4 Récupération de mot de passe</w:t>
      </w:r>
    </w:p>
    <w:p>
      <w:r>
        <w:rPr>
          <w:b w:val="0"/>
          <w:i w:val="0"/>
        </w:rPr>
        <w:t>Lien à usage unique, expiration courte (1 h), invalidation après usage. Ne jamais révéler dans la réponse si l'email existe ou non (évite l'énumération).</w:t>
      </w:r>
    </w:p>
    <w:p>
      <w:pPr>
        <w:keepNext/>
        <w:spacing w:before="240" w:after="120"/>
      </w:pPr>
      <w:r>
        <w:rPr>
          <w:b/>
          <w:color w:val="2A3BD0"/>
          <w:sz w:val="32"/>
        </w:rPr>
        <w:t>4.5 Double authentification pour l'admin</w:t>
      </w:r>
    </w:p>
    <w:p>
      <w:r>
        <w:rPr>
          <w:b w:val="0"/>
          <w:i w:val="0"/>
        </w:rPr>
        <w:t>L'admin doit obligatoirement activer une 2FA TOTP (norme RFC 6238 — Google Authenticator, Authy, etc.). La maquette simule cette UX avec un code à 6 chiffres : c'est exactement le format à conserver, mais en utilisant un vrai algorithme TOTP côté serveur. Bibliothèque Node : otplib. Bibliothèque Python : pyotp.</w:t>
      </w:r>
    </w:p>
    <w:p>
      <w:pPr>
        <w:keepNext/>
        <w:spacing w:before="240" w:after="120"/>
      </w:pPr>
      <w:r>
        <w:rPr>
          <w:b/>
          <w:color w:val="2A3BD0"/>
          <w:sz w:val="32"/>
        </w:rPr>
        <w:t>4.6 Politique de mot de passe</w:t>
      </w:r>
    </w:p>
    <w:p>
      <w:r>
        <w:rPr>
          <w:b w:val="0"/>
          <w:i w:val="0"/>
        </w:rPr>
        <w:t>La maquette impose déjà 8 caractères minimum, au moins une majuscule, au moins un chiffre. À conserver. Compléter avec une vérification contre le rejet des 10 000 mots de passe les plus courants (liste publique : Have I Been Pwned, API k-anonymity).</w:t>
      </w:r>
    </w:p>
    <w:p>
      <w:pPr>
        <w:keepNext/>
        <w:spacing w:before="240" w:after="120"/>
      </w:pPr>
      <w:r>
        <w:rPr>
          <w:b/>
          <w:color w:val="2A3BD0"/>
          <w:sz w:val="32"/>
        </w:rPr>
        <w:t>4.7 Rôles</w:t>
      </w:r>
    </w:p>
    <w:p>
      <w:r>
        <w:rPr>
          <w:b w:val="0"/>
          <w:i w:val="0"/>
        </w:rPr>
        <w:t>Quatre rôles distincts, vérifiés côté serveur à chaque requête :</w:t>
      </w:r>
    </w:p>
    <w:p>
      <w:pPr>
        <w:pStyle w:val="ListBullet"/>
        <w:spacing w:after="60"/>
        <w:ind w:left="283"/>
      </w:pPr>
      <w:r>
        <w:t>particulier — peut déposer des annonces, acheter, communiquer</w:t>
      </w:r>
    </w:p>
    <w:p>
      <w:pPr>
        <w:pStyle w:val="ListBullet"/>
        <w:spacing w:after="60"/>
        <w:ind w:left="283"/>
      </w:pPr>
      <w:r>
        <w:t>pro — comme particulier + dépose plus d'annonces selon son pack, accède aux outils pro</w:t>
      </w:r>
    </w:p>
    <w:p>
      <w:pPr>
        <w:pStyle w:val="ListBullet"/>
        <w:spacing w:after="60"/>
        <w:ind w:left="283"/>
      </w:pPr>
      <w:r>
        <w:t>garage — accès à l'espace garage (créneaux d'inspection, rapports)</w:t>
      </w:r>
    </w:p>
    <w:p>
      <w:pPr>
        <w:pStyle w:val="ListBullet"/>
        <w:spacing w:after="60"/>
        <w:ind w:left="283"/>
      </w:pPr>
      <w:r>
        <w:t>admin — accès complet à l'espace d'administration</w:t>
      </w:r>
    </w:p>
    <w:p>
      <w:r>
        <w:rPr>
          <w:b w:val="0"/>
          <w:i w:val="0"/>
        </w:rPr>
        <w:t>Un utilisateur n'a qu'un seul rôle. Le rôle est porté par la session côté serveur, jamais par le client.</w:t>
      </w:r>
    </w:p>
    <w:p>
      <w:r>
        <w:br w:type="page"/>
      </w:r>
    </w:p>
    <w:p>
      <w:pPr>
        <w:keepNext/>
        <w:spacing w:before="240" w:after="120"/>
      </w:pPr>
      <w:r>
        <w:rPr>
          <w:b/>
          <w:color w:val="2A3BD0"/>
          <w:sz w:val="44"/>
        </w:rPr>
        <w:t>5. Sécurité HTTP</w:t>
      </w:r>
    </w:p>
    <w:p>
      <w:pPr>
        <w:keepNext/>
        <w:spacing w:before="240" w:after="120"/>
      </w:pPr>
      <w:r>
        <w:rPr>
          <w:b/>
          <w:color w:val="2A3BD0"/>
          <w:sz w:val="32"/>
        </w:rPr>
        <w:t>5.1 HTTPS obligatoire</w:t>
      </w:r>
    </w:p>
    <w:p>
      <w:r>
        <w:rPr>
          <w:b w:val="0"/>
          <w:i w:val="0"/>
        </w:rPr>
        <w:t>Aucun trafic HTTP en clair. Certificat Let's Encrypt avec renouvellement automatique (Certbot, ou nativement avec Caddy). Redirection 301 HTTP → HTTPS au niveau du reverse-proxy.</w:t>
      </w:r>
    </w:p>
    <w:p>
      <w:pPr>
        <w:keepNext/>
        <w:spacing w:before="240" w:after="120"/>
      </w:pPr>
      <w:r>
        <w:rPr>
          <w:b/>
          <w:color w:val="2A3BD0"/>
          <w:sz w:val="32"/>
        </w:rPr>
        <w:t>5.2 En-têtes de sécurité</w:t>
      </w:r>
    </w:p>
    <w:p>
      <w:r>
        <w:rPr>
          <w:b w:val="0"/>
          <w:i w:val="0"/>
        </w:rPr>
        <w:t>À configurer dans Nginx ou via middleware applicatif (helmet en Node, secure_headers en Python) :</w:t>
      </w:r>
    </w:p>
    <w:tbl>
      <w:tblPr>
        <w:tblStyle w:val="LightGrid-Accent1"/>
        <w:tblW w:type="auto" w:w="0"/>
        <w:tblLook w:firstColumn="1" w:firstRow="1" w:lastColumn="0" w:lastRow="0" w:noHBand="0" w:noVBand="1" w:val="04A0"/>
      </w:tblPr>
      <w:tblGrid>
        <w:gridCol w:w="4986"/>
        <w:gridCol w:w="4986"/>
      </w:tblGrid>
      <w:tr>
        <w:tc>
          <w:tcPr>
            <w:tcW w:type="dxa" w:w="3168"/>
          </w:tcPr>
          <w:p>
            <w:r>
              <w:rPr>
                <w:b/>
              </w:rPr>
              <w:t>En-tête</w:t>
            </w:r>
          </w:p>
        </w:tc>
        <w:tc>
          <w:tcPr>
            <w:tcW w:type="dxa" w:w="5472"/>
          </w:tcPr>
          <w:p>
            <w:r>
              <w:rPr>
                <w:b/>
              </w:rPr>
              <w:t>Valeur recommandée</w:t>
            </w:r>
          </w:p>
        </w:tc>
      </w:tr>
      <w:tr>
        <w:tc>
          <w:tcPr>
            <w:tcW w:type="dxa" w:w="3168"/>
          </w:tcPr>
          <w:p>
            <w:r>
              <w:t>Strict-Transport-Security</w:t>
            </w:r>
          </w:p>
        </w:tc>
        <w:tc>
          <w:tcPr>
            <w:tcW w:type="dxa" w:w="5472"/>
          </w:tcPr>
          <w:p>
            <w:r>
              <w:t>max-age=31536000; includeSubDomains; preload</w:t>
            </w:r>
          </w:p>
        </w:tc>
      </w:tr>
      <w:tr>
        <w:tc>
          <w:tcPr>
            <w:tcW w:type="dxa" w:w="3168"/>
          </w:tcPr>
          <w:p>
            <w:r>
              <w:t>Content-Security-Policy</w:t>
            </w:r>
          </w:p>
        </w:tc>
        <w:tc>
          <w:tcPr>
            <w:tcW w:type="dxa" w:w="5472"/>
          </w:tcPr>
          <w:p>
            <w:r>
              <w:t>default-src 'self'; script-src 'self'; style-src 'self' 'unsafe-inline'; img-src 'self' data: https:; connect-src 'self' https://nominatim.openstreetmap.org https://router.project-osrm.org; frame-ancestors 'none'</w:t>
            </w:r>
          </w:p>
        </w:tc>
      </w:tr>
      <w:tr>
        <w:tc>
          <w:tcPr>
            <w:tcW w:type="dxa" w:w="3168"/>
          </w:tcPr>
          <w:p>
            <w:r>
              <w:t>X-Frame-Options</w:t>
            </w:r>
          </w:p>
        </w:tc>
        <w:tc>
          <w:tcPr>
            <w:tcW w:type="dxa" w:w="5472"/>
          </w:tcPr>
          <w:p>
            <w:r>
              <w:t>DENY</w:t>
            </w:r>
          </w:p>
        </w:tc>
      </w:tr>
      <w:tr>
        <w:tc>
          <w:tcPr>
            <w:tcW w:type="dxa" w:w="3168"/>
          </w:tcPr>
          <w:p>
            <w:r>
              <w:t>X-Content-Type-Options</w:t>
            </w:r>
          </w:p>
        </w:tc>
        <w:tc>
          <w:tcPr>
            <w:tcW w:type="dxa" w:w="5472"/>
          </w:tcPr>
          <w:p>
            <w:r>
              <w:t>nosniff</w:t>
            </w:r>
          </w:p>
        </w:tc>
      </w:tr>
      <w:tr>
        <w:tc>
          <w:tcPr>
            <w:tcW w:type="dxa" w:w="3168"/>
          </w:tcPr>
          <w:p>
            <w:r>
              <w:t>Referrer-Policy</w:t>
            </w:r>
          </w:p>
        </w:tc>
        <w:tc>
          <w:tcPr>
            <w:tcW w:type="dxa" w:w="5472"/>
          </w:tcPr>
          <w:p>
            <w:r>
              <w:t>strict-origin-when-cross-origin</w:t>
            </w:r>
          </w:p>
        </w:tc>
      </w:tr>
      <w:tr>
        <w:tc>
          <w:tcPr>
            <w:tcW w:type="dxa" w:w="3168"/>
          </w:tcPr>
          <w:p>
            <w:r>
              <w:t>Permissions-Policy</w:t>
            </w:r>
          </w:p>
        </w:tc>
        <w:tc>
          <w:tcPr>
            <w:tcW w:type="dxa" w:w="5472"/>
          </w:tcPr>
          <w:p>
            <w:r>
              <w:t>geolocation=(), microphone=(), camera=()</w:t>
            </w:r>
          </w:p>
        </w:tc>
      </w:tr>
    </w:tbl>
    <w:p>
      <w:pPr>
        <w:spacing w:after="0"/>
      </w:pPr>
      <w:r>
        <w:rPr>
          <w:b w:val="0"/>
          <w:i w:val="0"/>
        </w:rPr>
        <w:t xml:space="preserve"> </w:t>
      </w:r>
    </w:p>
    <w:p>
      <w:pPr>
        <w:keepNext/>
        <w:spacing w:before="240" w:after="120"/>
      </w:pPr>
      <w:r>
        <w:rPr>
          <w:b/>
          <w:color w:val="2A3BD0"/>
          <w:sz w:val="32"/>
        </w:rPr>
        <w:t>5.3 Protection CSRF</w:t>
      </w:r>
    </w:p>
    <w:p>
      <w:r>
        <w:rPr>
          <w:b w:val="0"/>
          <w:i w:val="0"/>
        </w:rPr>
        <w:t>Pour toutes les requêtes modifiant l'état (POST, PUT, DELETE), exiger un token CSRF lié à la session, transmis dans un en-tête personnalisé ou un champ caché. Le cookie SameSite=Strict constitue une première barrière, mais ne suffit pas seule.</w:t>
      </w:r>
    </w:p>
    <w:p>
      <w:pPr>
        <w:keepNext/>
        <w:spacing w:before="240" w:after="120"/>
      </w:pPr>
      <w:r>
        <w:rPr>
          <w:b/>
          <w:color w:val="2A3BD0"/>
          <w:sz w:val="32"/>
        </w:rPr>
        <w:t>5.4 Rate limiting</w:t>
      </w:r>
    </w:p>
    <w:p>
      <w:r>
        <w:rPr>
          <w:b w:val="0"/>
          <w:i w:val="0"/>
        </w:rPr>
        <w:t>Limiter le débit des endpoints sensibles pour bloquer les attaques par force brute, l'énumération de comptes et le scraping. Ordres de grandeur :</w:t>
      </w:r>
    </w:p>
    <w:p>
      <w:pPr>
        <w:pStyle w:val="ListBullet"/>
        <w:spacing w:after="60"/>
        <w:ind w:left="283"/>
      </w:pPr>
      <w:r>
        <w:t>Connexion : 5 tentatives / 10 minutes / IP, blocage progressif</w:t>
      </w:r>
    </w:p>
    <w:p>
      <w:pPr>
        <w:pStyle w:val="ListBullet"/>
        <w:spacing w:after="60"/>
        <w:ind w:left="283"/>
      </w:pPr>
      <w:r>
        <w:t>Inscription : 3 / heure / IP</w:t>
      </w:r>
    </w:p>
    <w:p>
      <w:pPr>
        <w:pStyle w:val="ListBullet"/>
        <w:spacing w:after="60"/>
        <w:ind w:left="283"/>
      </w:pPr>
      <w:r>
        <w:t>Récupération de mot de passe : 3 / heure / email</w:t>
      </w:r>
    </w:p>
    <w:p>
      <w:pPr>
        <w:pStyle w:val="ListBullet"/>
        <w:spacing w:after="60"/>
        <w:ind w:left="283"/>
      </w:pPr>
      <w:r>
        <w:t>API publique de listing : 60 requêtes / minute / IP</w:t>
      </w:r>
    </w:p>
    <w:p>
      <w:pPr>
        <w:pStyle w:val="ListBullet"/>
        <w:spacing w:after="60"/>
        <w:ind w:left="283"/>
      </w:pPr>
      <w:r>
        <w:t>API admin : limites séparées, alerte sur dépassement</w:t>
      </w:r>
    </w:p>
    <w:p>
      <w:pPr>
        <w:keepNext/>
        <w:spacing w:before="240" w:after="120"/>
      </w:pPr>
      <w:r>
        <w:rPr>
          <w:b/>
          <w:color w:val="2A3BD0"/>
          <w:sz w:val="32"/>
        </w:rPr>
        <w:t>5.5 Validation côté serveur</w:t>
      </w:r>
    </w:p>
    <w:p>
      <w:r>
        <w:rPr>
          <w:b w:val="0"/>
          <w:i w:val="0"/>
        </w:rPr>
        <w:t>Toute donnée entrante doit être validée côté serveur, indépendamment de la validation client. La maquette valide certains champs en JavaScript (longueur du mot de passe, format de l'email, prix minimum, coordonnées en France métropolitaine) : ces règles doivent être réimplémentées sur le serveur. Bibliothèques : Joi/Zod (Node), Pydantic (Python).</w:t>
      </w:r>
    </w:p>
    <w:p>
      <w:pPr>
        <w:keepNext/>
        <w:spacing w:before="240" w:after="120"/>
      </w:pPr>
      <w:r>
        <w:rPr>
          <w:b/>
          <w:color w:val="2A3BD0"/>
          <w:sz w:val="32"/>
        </w:rPr>
        <w:t>5.6 Échappement XSS</w:t>
      </w:r>
    </w:p>
    <w:p>
      <w:r>
        <w:rPr>
          <w:b w:val="0"/>
          <w:i w:val="0"/>
        </w:rPr>
        <w:t>La maquette dispose déjà d'une fonction escHtml() qui échappe les caractères dangereux. Côté serveur, utiliser un système de templates auto-échappant (Pug, Handlebars en mode strict, Jinja2 autoescape) ou retourner uniquement du JSON et faire le rendu côté client en pure DOM API (textContent au lieu de innerHTML).</w:t>
      </w:r>
    </w:p>
    <w:p>
      <w:pPr>
        <w:keepNext/>
        <w:spacing w:before="240" w:after="120"/>
      </w:pPr>
      <w:r>
        <w:rPr>
          <w:b/>
          <w:color w:val="2A3BD0"/>
          <w:sz w:val="32"/>
        </w:rPr>
        <w:t>5.7 Téléversement de fichiers</w:t>
      </w:r>
    </w:p>
    <w:p>
      <w:pPr>
        <w:pStyle w:val="ListBullet"/>
        <w:spacing w:after="60"/>
        <w:ind w:left="283"/>
      </w:pPr>
      <w:r>
        <w:t>Vérifier le type MIME réel (pas seulement l'extension)</w:t>
      </w:r>
    </w:p>
    <w:p>
      <w:pPr>
        <w:pStyle w:val="ListBullet"/>
        <w:spacing w:after="60"/>
        <w:ind w:left="283"/>
      </w:pPr>
      <w:r>
        <w:t>Limiter la taille (10 Mo par document, 5 Mo par photo)</w:t>
      </w:r>
    </w:p>
    <w:p>
      <w:pPr>
        <w:pStyle w:val="ListBullet"/>
        <w:spacing w:after="60"/>
        <w:ind w:left="283"/>
      </w:pPr>
      <w:r>
        <w:t>Stocker hors webroot, servir via un endpoint authentifié</w:t>
      </w:r>
    </w:p>
    <w:p>
      <w:pPr>
        <w:pStyle w:val="ListBullet"/>
        <w:spacing w:after="60"/>
        <w:ind w:left="283"/>
      </w:pPr>
      <w:r>
        <w:t>Scanner les fichiers (ClamAV)</w:t>
      </w:r>
    </w:p>
    <w:p>
      <w:pPr>
        <w:pStyle w:val="ListBullet"/>
        <w:spacing w:after="60"/>
        <w:ind w:left="283"/>
      </w:pPr>
      <w:r>
        <w:t>Pour les images, normaliser avec sharp (Node) ou Pillow (Python) — strip des métadonnées EXIF</w:t>
      </w:r>
    </w:p>
    <w:p>
      <w:r>
        <w:br w:type="page"/>
      </w:r>
    </w:p>
    <w:p>
      <w:pPr>
        <w:keepNext/>
        <w:spacing w:before="240" w:after="120"/>
      </w:pPr>
      <w:r>
        <w:rPr>
          <w:b/>
          <w:color w:val="2A3BD0"/>
          <w:sz w:val="44"/>
        </w:rPr>
        <w:t>6. Contrôle d'accès administrateur</w:t>
      </w:r>
    </w:p>
    <w:p>
      <w:r>
        <w:rPr>
          <w:b w:val="0"/>
          <w:i w:val="0"/>
        </w:rPr>
        <w:t>L'espace admin est le point le plus sensible du site : il contient l'identité des utilisateurs, les pièces d'identité, les transactions et la modération. La maquette simule un voile d'authentification en JavaScript ; en production, la protection doit être strictement serveur.</w:t>
      </w:r>
    </w:p>
    <w:p>
      <w:pPr>
        <w:keepNext/>
        <w:spacing w:before="240" w:after="120"/>
      </w:pPr>
      <w:r>
        <w:rPr>
          <w:b/>
          <w:color w:val="2A3BD0"/>
          <w:sz w:val="32"/>
        </w:rPr>
        <w:t>6.1 Route protégée par middleware</w:t>
      </w:r>
    </w:p>
    <w:p>
      <w:pPr>
        <w:pStyle w:val="ListBullet"/>
        <w:spacing w:after="60"/>
        <w:ind w:left="283"/>
      </w:pPr>
      <w:r>
        <w:t>Toute route /admin/** passe par un middleware vérifiant la session ET le rôle admin</w:t>
      </w:r>
    </w:p>
    <w:p>
      <w:pPr>
        <w:pStyle w:val="ListBullet"/>
        <w:spacing w:after="60"/>
        <w:ind w:left="283"/>
      </w:pPr>
      <w:r>
        <w:t>Le middleware retourne 403 (ou redirige vers /admin/login) si non authentifié</w:t>
      </w:r>
    </w:p>
    <w:p>
      <w:pPr>
        <w:pStyle w:val="ListBullet"/>
        <w:spacing w:after="60"/>
        <w:ind w:left="283"/>
      </w:pPr>
      <w:r>
        <w:t>Pas de fallback côté client — le HTML de l'admin n'est jamais servi à un non-admin</w:t>
      </w:r>
    </w:p>
    <w:p>
      <w:pPr>
        <w:keepNext/>
        <w:spacing w:before="240" w:after="120"/>
      </w:pPr>
      <w:r>
        <w:rPr>
          <w:b/>
          <w:color w:val="2A3BD0"/>
          <w:sz w:val="32"/>
        </w:rPr>
        <w:t>6.2 Vérification de rôle à chaque requête</w:t>
      </w:r>
    </w:p>
    <w:p>
      <w:r>
        <w:rPr>
          <w:b w:val="0"/>
          <w:i w:val="0"/>
        </w:rPr>
        <w:t>Aucune API admin ne doit faire confiance à un paramètre client pour décider du privilège. Le rôle est lu depuis la session côté serveur, à chaque requête, sans cache long.</w:t>
      </w:r>
    </w:p>
    <w:p>
      <w:pPr>
        <w:keepNext/>
        <w:spacing w:before="240" w:after="120"/>
      </w:pPr>
      <w:r>
        <w:rPr>
          <w:b/>
          <w:color w:val="2A3BD0"/>
          <w:sz w:val="32"/>
        </w:rPr>
        <w:t>6.3 Double authentification obligatoire</w:t>
      </w:r>
    </w:p>
    <w:p>
      <w:r>
        <w:rPr>
          <w:b w:val="0"/>
          <w:i w:val="0"/>
        </w:rPr>
        <w:t>Un admin ne peut pas se connecter sans avoir activé une 2FA TOTP. À la création d'un compte admin, l'activation 2FA est imposée avant tout autre action.</w:t>
      </w:r>
    </w:p>
    <w:p>
      <w:pPr>
        <w:keepNext/>
        <w:spacing w:before="240" w:after="120"/>
      </w:pPr>
      <w:r>
        <w:rPr>
          <w:b/>
          <w:color w:val="2A3BD0"/>
          <w:sz w:val="32"/>
        </w:rPr>
        <w:t>6.4 Journalisation des accès admin</w:t>
      </w:r>
    </w:p>
    <w:p>
      <w:r>
        <w:rPr>
          <w:b w:val="0"/>
          <w:i w:val="0"/>
        </w:rPr>
        <w:t>Toute action admin sensible est journalisée dans une table d'audit : qui (id admin), quoi (action), quand (timestamp), depuis où (IP), sur quoi (id de l'entité affectée). Cette table est en append-only et conservée 1 an minimum. Actions concernées :</w:t>
      </w:r>
    </w:p>
    <w:p>
      <w:pPr>
        <w:pStyle w:val="ListBullet"/>
        <w:spacing w:after="60"/>
        <w:ind w:left="283"/>
      </w:pPr>
      <w:r>
        <w:t>Connexion / déconnexion admin</w:t>
      </w:r>
    </w:p>
    <w:p>
      <w:pPr>
        <w:pStyle w:val="ListBullet"/>
        <w:spacing w:after="60"/>
        <w:ind w:left="283"/>
      </w:pPr>
      <w:r>
        <w:t>Approbation, refus, suppression d'annonces</w:t>
      </w:r>
    </w:p>
    <w:p>
      <w:pPr>
        <w:pStyle w:val="ListBullet"/>
        <w:spacing w:after="60"/>
        <w:ind w:left="283"/>
      </w:pPr>
      <w:r>
        <w:t>Consultation de documents personnels (CT, carte grise, pièce d'identité)</w:t>
      </w:r>
    </w:p>
    <w:p>
      <w:pPr>
        <w:pStyle w:val="ListBullet"/>
        <w:spacing w:after="60"/>
        <w:ind w:left="283"/>
      </w:pPr>
      <w:r>
        <w:t>Modification des paramètres (tarifs, durées, emails)</w:t>
      </w:r>
    </w:p>
    <w:p>
      <w:pPr>
        <w:pStyle w:val="ListBullet"/>
        <w:spacing w:after="60"/>
        <w:ind w:left="283"/>
      </w:pPr>
      <w:r>
        <w:t>Modification d'un compte utilisateur (suspension, suppression)</w:t>
      </w:r>
    </w:p>
    <w:p>
      <w:pPr>
        <w:pStyle w:val="ListBullet"/>
        <w:spacing w:after="60"/>
        <w:ind w:left="283"/>
      </w:pPr>
      <w:r>
        <w:t>Modification de la liste des garages partenaires</w:t>
      </w:r>
    </w:p>
    <w:p>
      <w:pPr>
        <w:keepNext/>
        <w:spacing w:before="240" w:after="120"/>
      </w:pPr>
      <w:r>
        <w:rPr>
          <w:b/>
          <w:color w:val="2A3BD0"/>
          <w:sz w:val="32"/>
        </w:rPr>
        <w:t>6.5 Accès depuis adresses IP de confiance</w:t>
      </w:r>
    </w:p>
    <w:p>
      <w:r>
        <w:rPr>
          <w:b w:val="0"/>
          <w:i w:val="0"/>
        </w:rPr>
        <w:t>À envisager pour le panneau admin : restreindre l'accès aux adresses IP du bureau ou via un VPN. Couplé à la 2FA, c'est une défense en profondeur efficace contre les fuites de mots de passe.</w:t>
      </w:r>
    </w:p>
    <w:p>
      <w:r>
        <w:br w:type="page"/>
      </w:r>
    </w:p>
    <w:p>
      <w:pPr>
        <w:keepNext/>
        <w:spacing w:before="240" w:after="120"/>
      </w:pPr>
      <w:r>
        <w:rPr>
          <w:b/>
          <w:color w:val="2A3BD0"/>
          <w:sz w:val="44"/>
        </w:rPr>
        <w:t>7. RGPD et données personnelles</w:t>
      </w:r>
    </w:p>
    <w:p>
      <w:r>
        <w:rPr>
          <w:b w:val="0"/>
          <w:i w:val="0"/>
        </w:rPr>
        <w:t>La plateforme traite des données personnelles (identité, contact, géolocalisation, documents officiels). Elle est soumise au Règlement (UE) 2016/679 et à la loi Informatique et libertés. La maquette pose les fondations (politique de confidentialité, mentions, cases de consentement) ; le backend doit honorer ces engagements.</w:t>
      </w:r>
    </w:p>
    <w:p>
      <w:pPr>
        <w:keepNext/>
        <w:spacing w:before="240" w:after="120"/>
      </w:pPr>
      <w:r>
        <w:rPr>
          <w:b/>
          <w:color w:val="2A3BD0"/>
          <w:sz w:val="32"/>
        </w:rPr>
        <w:t>7.1 Registre des activités de traitement</w:t>
      </w:r>
    </w:p>
    <w:p>
      <w:r>
        <w:rPr>
          <w:b w:val="0"/>
          <w:i w:val="0"/>
        </w:rPr>
        <w:t>Maintenir un registre interne décrivant chaque traitement : finalité, base légale, catégories de personnes, catégories de données, destinataires, transferts hors UE, durées de conservation, mesures de sécurité. C'est une obligation légale (article 30 RGPD).</w:t>
      </w:r>
    </w:p>
    <w:p>
      <w:pPr>
        <w:keepNext/>
        <w:spacing w:before="240" w:after="120"/>
      </w:pPr>
      <w:r>
        <w:rPr>
          <w:b/>
          <w:color w:val="2A3BD0"/>
          <w:sz w:val="32"/>
        </w:rPr>
        <w:t>7.2 Bases légales</w:t>
      </w:r>
    </w:p>
    <w:p>
      <w:r>
        <w:rPr>
          <w:b w:val="0"/>
          <w:i w:val="0"/>
        </w:rPr>
        <w:t>Identifier explicitement pour chaque traitement la base légale parmi : consentement, exécution d'un contrat, obligation légale, intérêt légitime. Exemples :</w:t>
      </w:r>
    </w:p>
    <w:p>
      <w:pPr>
        <w:pStyle w:val="ListBullet"/>
        <w:spacing w:after="60"/>
        <w:ind w:left="283"/>
      </w:pPr>
      <w:r>
        <w:t>Création de compte et dépôt d'annonce : exécution du contrat</w:t>
      </w:r>
    </w:p>
    <w:p>
      <w:pPr>
        <w:pStyle w:val="ListBullet"/>
        <w:spacing w:after="60"/>
        <w:ind w:left="283"/>
      </w:pPr>
      <w:r>
        <w:t>Newsletter et emails marketing : consentement (opt-in distinct)</w:t>
      </w:r>
    </w:p>
    <w:p>
      <w:pPr>
        <w:pStyle w:val="ListBullet"/>
        <w:spacing w:after="60"/>
        <w:ind w:left="283"/>
      </w:pPr>
      <w:r>
        <w:t>Conservation des transactions à des fins comptables : obligation légale (Code de commerce, 10 ans)</w:t>
      </w:r>
    </w:p>
    <w:p>
      <w:pPr>
        <w:pStyle w:val="ListBullet"/>
        <w:spacing w:after="60"/>
        <w:ind w:left="283"/>
      </w:pPr>
      <w:r>
        <w:t>Lutte contre la fraude : intérêt légitime (à documenter)</w:t>
      </w:r>
    </w:p>
    <w:p>
      <w:pPr>
        <w:keepNext/>
        <w:spacing w:before="240" w:after="120"/>
      </w:pPr>
      <w:r>
        <w:rPr>
          <w:b/>
          <w:color w:val="2A3BD0"/>
          <w:sz w:val="32"/>
        </w:rPr>
        <w:t>7.3 Consentement</w:t>
      </w:r>
    </w:p>
    <w:p>
      <w:pPr>
        <w:pStyle w:val="ListBullet"/>
        <w:spacing w:after="60"/>
        <w:ind w:left="283"/>
      </w:pPr>
      <w:r>
        <w:t>Recueilli au moment de l'inscription, tracé en base avec horodatage et version des CGU/Politique acceptées</w:t>
      </w:r>
    </w:p>
    <w:p>
      <w:pPr>
        <w:pStyle w:val="ListBullet"/>
        <w:spacing w:after="60"/>
        <w:ind w:left="283"/>
      </w:pPr>
      <w:r>
        <w:t>Granularité : un consentement par finalité distincte (compte, marketing, cookies analytiques, cookies tiers)</w:t>
      </w:r>
    </w:p>
    <w:p>
      <w:pPr>
        <w:pStyle w:val="ListBullet"/>
        <w:spacing w:after="60"/>
        <w:ind w:left="283"/>
      </w:pPr>
      <w:r>
        <w:t>Possibilité de retrait à tout moment depuis l'espace personnel</w:t>
      </w:r>
    </w:p>
    <w:p>
      <w:pPr>
        <w:pStyle w:val="ListBullet"/>
        <w:spacing w:after="60"/>
        <w:ind w:left="283"/>
      </w:pPr>
      <w:r>
        <w:t>La maquette a déjà corrigé le « duplicate consent » qui ré-demandait l'acceptation des CGU à chaque dépôt — à conserver</w:t>
      </w:r>
    </w:p>
    <w:p>
      <w:pPr>
        <w:keepNext/>
        <w:spacing w:before="240" w:after="120"/>
      </w:pPr>
      <w:r>
        <w:rPr>
          <w:b/>
          <w:color w:val="2A3BD0"/>
          <w:sz w:val="32"/>
        </w:rPr>
        <w:t>7.4 Droits des personnes concernées</w:t>
      </w:r>
    </w:p>
    <w:p>
      <w:r>
        <w:rPr>
          <w:b w:val="0"/>
          <w:i w:val="0"/>
        </w:rPr>
        <w:t>Implémenter un point d'entrée pour chaque droit, avec délai de réponse maximal d'un mois :</w:t>
      </w:r>
    </w:p>
    <w:p>
      <w:pPr>
        <w:pStyle w:val="ListBullet"/>
        <w:spacing w:after="60"/>
        <w:ind w:left="283"/>
      </w:pPr>
      <w:r>
        <w:t>Accès : export des données du compte au format machine-lisible (JSON)</w:t>
      </w:r>
    </w:p>
    <w:p>
      <w:pPr>
        <w:pStyle w:val="ListBullet"/>
        <w:spacing w:after="60"/>
        <w:ind w:left="283"/>
      </w:pPr>
      <w:r>
        <w:t>Rectification : déjà géré côté UX par l'édition du compte</w:t>
      </w:r>
    </w:p>
    <w:p>
      <w:pPr>
        <w:pStyle w:val="ListBullet"/>
        <w:spacing w:after="60"/>
        <w:ind w:left="283"/>
      </w:pPr>
      <w:r>
        <w:t>Effacement (« droit à l'oubli ») : suppression du compte et de ses données, avec anonymisation des annonces vendues conservées pour les obligations comptables</w:t>
      </w:r>
    </w:p>
    <w:p>
      <w:pPr>
        <w:pStyle w:val="ListBullet"/>
        <w:spacing w:after="60"/>
        <w:ind w:left="283"/>
      </w:pPr>
      <w:r>
        <w:t>Portabilité : export structuré</w:t>
      </w:r>
    </w:p>
    <w:p>
      <w:pPr>
        <w:pStyle w:val="ListBullet"/>
        <w:spacing w:after="60"/>
        <w:ind w:left="283"/>
      </w:pPr>
      <w:r>
        <w:t>Opposition : possibilité de s'opposer à un traitement fondé sur l'intérêt légitime</w:t>
      </w:r>
    </w:p>
    <w:p>
      <w:pPr>
        <w:pStyle w:val="ListBullet"/>
        <w:spacing w:after="60"/>
        <w:ind w:left="283"/>
      </w:pPr>
      <w:r>
        <w:t>Limitation : geler le traitement le temps d'examiner une contestation</w:t>
      </w:r>
    </w:p>
    <w:p>
      <w:pPr>
        <w:keepNext/>
        <w:spacing w:before="240" w:after="120"/>
      </w:pPr>
      <w:r>
        <w:rPr>
          <w:b/>
          <w:color w:val="2A3BD0"/>
          <w:sz w:val="32"/>
        </w:rPr>
        <w:t>7.5 Durées de conservation</w:t>
      </w:r>
    </w:p>
    <w:tbl>
      <w:tblPr>
        <w:tblStyle w:val="LightGrid-Accent1"/>
        <w:tblW w:type="auto" w:w="0"/>
        <w:tblLook w:firstColumn="1" w:firstRow="1" w:lastColumn="0" w:lastRow="0" w:noHBand="0" w:noVBand="1" w:val="04A0"/>
      </w:tblPr>
      <w:tblGrid>
        <w:gridCol w:w="4986"/>
        <w:gridCol w:w="4986"/>
      </w:tblGrid>
      <w:tr>
        <w:tc>
          <w:tcPr>
            <w:tcW w:type="dxa" w:w="4320"/>
          </w:tcPr>
          <w:p>
            <w:r>
              <w:rPr>
                <w:b/>
              </w:rPr>
              <w:t>Donnée</w:t>
            </w:r>
          </w:p>
        </w:tc>
        <w:tc>
          <w:tcPr>
            <w:tcW w:type="dxa" w:w="4320"/>
          </w:tcPr>
          <w:p>
            <w:r>
              <w:rPr>
                <w:b/>
              </w:rPr>
              <w:t>Durée</w:t>
            </w:r>
          </w:p>
        </w:tc>
      </w:tr>
      <w:tr>
        <w:tc>
          <w:tcPr>
            <w:tcW w:type="dxa" w:w="4320"/>
          </w:tcPr>
          <w:p>
            <w:r>
              <w:t>Compte actif</w:t>
            </w:r>
          </w:p>
        </w:tc>
        <w:tc>
          <w:tcPr>
            <w:tcW w:type="dxa" w:w="4320"/>
          </w:tcPr>
          <w:p>
            <w:r>
              <w:t>Tant que le compte est utilisé + 3 ans après dernière connexion</w:t>
            </w:r>
          </w:p>
        </w:tc>
      </w:tr>
      <w:tr>
        <w:tc>
          <w:tcPr>
            <w:tcW w:type="dxa" w:w="4320"/>
          </w:tcPr>
          <w:p>
            <w:r>
              <w:t>Annonces (créées et publiées)</w:t>
            </w:r>
          </w:p>
        </w:tc>
        <w:tc>
          <w:tcPr>
            <w:tcW w:type="dxa" w:w="4320"/>
          </w:tcPr>
          <w:p>
            <w:r>
              <w:t>Durée d'affichage (3 / 6 / 12 mois) + 1 an d'archivage</w:t>
            </w:r>
          </w:p>
        </w:tc>
      </w:tr>
      <w:tr>
        <w:tc>
          <w:tcPr>
            <w:tcW w:type="dxa" w:w="4320"/>
          </w:tcPr>
          <w:p>
            <w:r>
              <w:t>Transactions et factures</w:t>
            </w:r>
          </w:p>
        </w:tc>
        <w:tc>
          <w:tcPr>
            <w:tcW w:type="dxa" w:w="4320"/>
          </w:tcPr>
          <w:p>
            <w:r>
              <w:t>10 ans (obligation comptable, Code de commerce)</w:t>
            </w:r>
          </w:p>
        </w:tc>
      </w:tr>
      <w:tr>
        <w:tc>
          <w:tcPr>
            <w:tcW w:type="dxa" w:w="4320"/>
          </w:tcPr>
          <w:p>
            <w:r>
              <w:t>Documents personnels (CT, CNI, carte grise)</w:t>
            </w:r>
          </w:p>
        </w:tc>
        <w:tc>
          <w:tcPr>
            <w:tcW w:type="dxa" w:w="4320"/>
          </w:tcPr>
          <w:p>
            <w:r>
              <w:t>Effacés 30 jours après finalisation de la transaction</w:t>
            </w:r>
          </w:p>
        </w:tc>
      </w:tr>
      <w:tr>
        <w:tc>
          <w:tcPr>
            <w:tcW w:type="dxa" w:w="4320"/>
          </w:tcPr>
          <w:p>
            <w:r>
              <w:t>Logs d'accès admin</w:t>
            </w:r>
          </w:p>
        </w:tc>
        <w:tc>
          <w:tcPr>
            <w:tcW w:type="dxa" w:w="4320"/>
          </w:tcPr>
          <w:p>
            <w:r>
              <w:t>1 an</w:t>
            </w:r>
          </w:p>
        </w:tc>
      </w:tr>
      <w:tr>
        <w:tc>
          <w:tcPr>
            <w:tcW w:type="dxa" w:w="4320"/>
          </w:tcPr>
          <w:p>
            <w:r>
              <w:t>Logs d'authentification</w:t>
            </w:r>
          </w:p>
        </w:tc>
        <w:tc>
          <w:tcPr>
            <w:tcW w:type="dxa" w:w="4320"/>
          </w:tcPr>
          <w:p>
            <w:r>
              <w:t>1 an</w:t>
            </w:r>
          </w:p>
        </w:tc>
      </w:tr>
      <w:tr>
        <w:tc>
          <w:tcPr>
            <w:tcW w:type="dxa" w:w="4320"/>
          </w:tcPr>
          <w:p>
            <w:r>
              <w:t>Messages de messagerie</w:t>
            </w:r>
          </w:p>
        </w:tc>
        <w:tc>
          <w:tcPr>
            <w:tcW w:type="dxa" w:w="4320"/>
          </w:tcPr>
          <w:p>
            <w:r>
              <w:t>Durée de la transaction + 2 ans</w:t>
            </w:r>
          </w:p>
        </w:tc>
      </w:tr>
      <w:tr>
        <w:tc>
          <w:tcPr>
            <w:tcW w:type="dxa" w:w="4320"/>
          </w:tcPr>
          <w:p>
            <w:r>
              <w:t>Cookies analytiques</w:t>
            </w:r>
          </w:p>
        </w:tc>
        <w:tc>
          <w:tcPr>
            <w:tcW w:type="dxa" w:w="4320"/>
          </w:tcPr>
          <w:p>
            <w:r>
              <w:t>13 mois maximum</w:t>
            </w:r>
          </w:p>
        </w:tc>
      </w:tr>
    </w:tbl>
    <w:p>
      <w:pPr>
        <w:spacing w:after="0"/>
      </w:pPr>
      <w:r>
        <w:rPr>
          <w:b w:val="0"/>
          <w:i w:val="0"/>
        </w:rPr>
        <w:t xml:space="preserve"> </w:t>
      </w:r>
    </w:p>
    <w:p>
      <w:pPr>
        <w:keepNext/>
        <w:spacing w:before="240" w:after="120"/>
      </w:pPr>
      <w:r>
        <w:rPr>
          <w:b/>
          <w:color w:val="2A3BD0"/>
          <w:sz w:val="32"/>
        </w:rPr>
        <w:t>7.6 Chiffrement au repos</w:t>
      </w:r>
    </w:p>
    <w:p>
      <w:r>
        <w:rPr>
          <w:b w:val="0"/>
          <w:i w:val="0"/>
        </w:rPr>
        <w:t>Pour les documents personnels (CT, CNI, carte grise) et les colonnes sensibles de la BDD (numéros de téléphone, adresses), activer un chiffrement au repos. Deux niveaux :</w:t>
      </w:r>
    </w:p>
    <w:p>
      <w:pPr>
        <w:pStyle w:val="ListBullet"/>
        <w:spacing w:after="60"/>
        <w:ind w:left="283"/>
      </w:pPr>
      <w:r>
        <w:t>Chiffrement du disque (LUKS sur le serveur, ou chiffrement natif du stockage cloud)</w:t>
      </w:r>
    </w:p>
    <w:p>
      <w:pPr>
        <w:pStyle w:val="ListBullet"/>
        <w:spacing w:after="60"/>
        <w:ind w:left="283"/>
      </w:pPr>
      <w:r>
        <w:t>Chiffrement applicatif au niveau des colonnes ou des fichiers, avec clés gérées par un KMS (AWS KMS, OVH KMS, ou Vault auto-hébergé)</w:t>
      </w:r>
    </w:p>
    <w:p>
      <w:pPr>
        <w:keepNext/>
        <w:spacing w:before="240" w:after="120"/>
      </w:pPr>
      <w:r>
        <w:rPr>
          <w:b/>
          <w:color w:val="2A3BD0"/>
          <w:sz w:val="32"/>
        </w:rPr>
        <w:t>7.7 Délégué à la protection des données (DPO)</w:t>
      </w:r>
    </w:p>
    <w:p>
      <w:r>
        <w:rPr>
          <w:b w:val="0"/>
          <w:i w:val="0"/>
        </w:rPr>
        <w:t>La nomination d'un DPO n'est pas obligatoire pour une plateforme de cette taille, mais le devient si elle traite des données à grande échelle ou des données sensibles. Plus de 250 employés est un autre seuil. À évaluer.</w:t>
      </w:r>
    </w:p>
    <w:p>
      <w:pPr>
        <w:keepNext/>
        <w:spacing w:before="240" w:after="120"/>
      </w:pPr>
      <w:r>
        <w:rPr>
          <w:b/>
          <w:color w:val="2A3BD0"/>
          <w:sz w:val="32"/>
        </w:rPr>
        <w:t>7.8 Sous-traitants</w:t>
      </w:r>
    </w:p>
    <w:p>
      <w:r>
        <w:rPr>
          <w:b w:val="0"/>
          <w:i w:val="0"/>
        </w:rPr>
        <w:t>Chaque prestataire ayant accès aux données (hébergeur, Stripe, fournisseur d'email) doit faire l'objet d'un contrat de sous-traitance RGPD (article 28). Vérifier que tous sont en UE ou couverts par les clauses contractuelles types.</w:t>
      </w:r>
    </w:p>
    <w:p>
      <w:r>
        <w:br w:type="page"/>
      </w:r>
    </w:p>
    <w:p>
      <w:pPr>
        <w:keepNext/>
        <w:spacing w:before="240" w:after="120"/>
      </w:pPr>
      <w:r>
        <w:rPr>
          <w:b/>
          <w:color w:val="2A3BD0"/>
          <w:sz w:val="44"/>
        </w:rPr>
        <w:t>8. Documents personnels et lutte contre la fraude</w:t>
      </w:r>
    </w:p>
    <w:p>
      <w:r>
        <w:rPr>
          <w:b w:val="0"/>
          <w:i w:val="0"/>
        </w:rPr>
        <w:t>Trois documents sont collectés lors de l'activation de la vente en ligne sécurisée pour un véhicule : Contrôle Technique de moins de 6 mois, pièce d'identité du vendeur, carte grise. Ces documents sont la donnée la plus sensible du système.</w:t>
      </w:r>
    </w:p>
    <w:p>
      <w:pPr>
        <w:keepNext/>
        <w:spacing w:before="240" w:after="120"/>
      </w:pPr>
      <w:r>
        <w:rPr>
          <w:b/>
          <w:color w:val="2A3BD0"/>
          <w:sz w:val="26"/>
        </w:rPr>
        <w:t>Règles à appliquer</w:t>
      </w:r>
    </w:p>
    <w:p>
      <w:pPr>
        <w:pStyle w:val="ListBullet"/>
        <w:spacing w:after="60"/>
        <w:ind w:left="283"/>
      </w:pPr>
      <w:r>
        <w:t>Stockage hors webroot, dans un bucket S3 dédié avec chiffrement activé</w:t>
      </w:r>
    </w:p>
    <w:p>
      <w:pPr>
        <w:pStyle w:val="ListBullet"/>
        <w:spacing w:after="60"/>
        <w:ind w:left="283"/>
      </w:pPr>
      <w:r>
        <w:t>Accès uniquement via un endpoint authentifié + autorisé (rôle admin)</w:t>
      </w:r>
    </w:p>
    <w:p>
      <w:pPr>
        <w:pStyle w:val="ListBullet"/>
        <w:spacing w:after="60"/>
        <w:ind w:left="283"/>
      </w:pPr>
      <w:r>
        <w:t>URL pré-signées de courte durée (15 minutes) pour la consultation, pas d'URL publique</w:t>
      </w:r>
    </w:p>
    <w:p>
      <w:pPr>
        <w:pStyle w:val="ListBullet"/>
        <w:spacing w:after="60"/>
        <w:ind w:left="283"/>
      </w:pPr>
      <w:r>
        <w:t>Journal d'accès systématique (qui a regardé quoi, quand) — voir 6.4</w:t>
      </w:r>
    </w:p>
    <w:p>
      <w:pPr>
        <w:pStyle w:val="ListBullet"/>
        <w:spacing w:after="60"/>
        <w:ind w:left="283"/>
      </w:pPr>
      <w:r>
        <w:t>Effacement automatique 30 jours après la finalisation de la transaction</w:t>
      </w:r>
    </w:p>
    <w:p>
      <w:pPr>
        <w:pStyle w:val="ListBullet"/>
        <w:spacing w:after="60"/>
        <w:ind w:left="283"/>
      </w:pPr>
      <w:r>
        <w:t>Strip des métadonnées EXIF des photos avant stockage</w:t>
      </w:r>
    </w:p>
    <w:p>
      <w:pPr>
        <w:pStyle w:val="ListBullet"/>
        <w:spacing w:after="60"/>
        <w:ind w:left="283"/>
      </w:pPr>
      <w:r>
        <w:t>Validation du type MIME et taille au téléversement (10 Mo max)</w:t>
      </w:r>
    </w:p>
    <w:p>
      <w:pPr>
        <w:pStyle w:val="ListBullet"/>
        <w:spacing w:after="60"/>
        <w:ind w:left="283"/>
      </w:pPr>
      <w:r>
        <w:t>Antivirus à l'upload (ClamAV) pour bloquer les PDF/images vérolés</w:t>
      </w:r>
    </w:p>
    <w:p>
      <w:pPr>
        <w:pStyle w:val="ListBullet"/>
        <w:spacing w:after="60"/>
        <w:ind w:left="283"/>
      </w:pPr>
      <w:r>
        <w:t>Ne jamais transmettre ces documents à l'acheteur — uniquement consultables par l'admin</w:t>
      </w:r>
    </w:p>
    <w:p>
      <w:pPr>
        <w:spacing w:after="0"/>
      </w:pPr>
      <w:r>
        <w:rPr>
          <w:b w:val="0"/>
          <w:i w:val="0"/>
        </w:rPr>
        <w:t xml:space="preserve"> </w:t>
      </w:r>
    </w:p>
    <w:p>
      <w:pPr>
        <w:spacing w:after="160"/>
        <w:ind w:left="283"/>
      </w:pPr>
      <w:r>
        <w:rPr>
          <w:i/>
          <w:color w:val="555555"/>
        </w:rPr>
        <w:t>Ces documents engagent la responsabilité civile et pénale de la plateforme si une fuite a lieu. Investir dans leur protection est non négociable.</w:t>
      </w:r>
    </w:p>
    <w:p>
      <w:pPr>
        <w:keepNext/>
        <w:spacing w:before="240" w:after="120"/>
      </w:pPr>
      <w:r>
        <w:rPr>
          <w:b/>
          <w:color w:val="2A3BD0"/>
          <w:sz w:val="44"/>
        </w:rPr>
        <w:t>9. Paiement et dépôt fiduciaire</w:t>
      </w:r>
    </w:p>
    <w:p>
      <w:r>
        <w:rPr>
          <w:b w:val="0"/>
          <w:i w:val="0"/>
        </w:rPr>
        <w:t>La maquette simule une modale Stripe avec des cartes de test. En production, l'intégration réelle se fait via Stripe Connect, Mangopay ou Lemonway — la maquette présente déjà les trois comme options. Le choix dépend de la zone, des coûts et du parcours souhaité.</w:t>
      </w:r>
    </w:p>
    <w:p>
      <w:pPr>
        <w:keepNext/>
        <w:spacing w:before="240" w:after="120"/>
      </w:pPr>
      <w:r>
        <w:rPr>
          <w:b/>
          <w:color w:val="2A3BD0"/>
          <w:sz w:val="32"/>
        </w:rPr>
        <w:t>9.1 Modèle technique</w:t>
      </w:r>
    </w:p>
    <w:p>
      <w:r>
        <w:rPr>
          <w:b w:val="0"/>
          <w:i w:val="0"/>
        </w:rPr>
        <w:t>Le flux « vente sécurisée entre particuliers » correspond exactement à ce que Stripe Connect appelle « Custom Connect avec hold » : l'acheteur paie, l'argent est bloqué chez Stripe (ni acheteur, ni vendeur, ni plateforme ne le détient), la plateforme prélève sa commission, puis libère le solde au vendeur après confirmation de réception. Mangopay propose un parcours équivalent avec des comptes de paiement.</w:t>
      </w:r>
    </w:p>
    <w:p>
      <w:pPr>
        <w:keepNext/>
        <w:spacing w:before="240" w:after="120"/>
      </w:pPr>
      <w:r>
        <w:rPr>
          <w:b/>
          <w:color w:val="2A3BD0"/>
          <w:sz w:val="32"/>
        </w:rPr>
        <w:t>9.2 Conformité PCI-DSS</w:t>
      </w:r>
    </w:p>
    <w:p>
      <w:r>
        <w:rPr>
          <w:b w:val="0"/>
          <w:i w:val="0"/>
        </w:rPr>
        <w:t>Aucun numéro de carte ne doit transiter par les serveurs de la plateforme. Utiliser Stripe Elements (ou équivalent Mangopay), qui hébergent le formulaire de carte dans une iframe. La plateforme ne reçoit qu'un token (PaymentMethod). Cela ramène la conformité PCI-DSS au niveau SAQ-A (le plus léger).</w:t>
      </w:r>
    </w:p>
    <w:p>
      <w:pPr>
        <w:keepNext/>
        <w:spacing w:before="240" w:after="120"/>
      </w:pPr>
      <w:r>
        <w:rPr>
          <w:b/>
          <w:color w:val="2A3BD0"/>
          <w:sz w:val="32"/>
        </w:rPr>
        <w:t>9.3 Webhooks signés</w:t>
      </w:r>
    </w:p>
    <w:p>
      <w:r>
        <w:rPr>
          <w:b w:val="0"/>
          <w:i w:val="0"/>
        </w:rPr>
        <w:t>Toutes les notifications Stripe doivent être reçues via webhooks signés (en-tête Stripe-Signature). Le serveur vérifie la signature avant de mettre à jour l'état de la transaction. Ne jamais se fier à un retour côté navigateur pour considérer une commande comme payée.</w:t>
      </w:r>
    </w:p>
    <w:p>
      <w:pPr>
        <w:keepNext/>
        <w:spacing w:before="240" w:after="120"/>
      </w:pPr>
      <w:r>
        <w:rPr>
          <w:b/>
          <w:color w:val="2A3BD0"/>
          <w:sz w:val="32"/>
        </w:rPr>
        <w:t>9.4 Réconciliation comptable</w:t>
      </w:r>
    </w:p>
    <w:p>
      <w:r>
        <w:rPr>
          <w:b w:val="0"/>
          <w:i w:val="0"/>
        </w:rPr>
        <w:t>Synchroniser quotidiennement les transactions Stripe avec la table interne des transactions pour identifier les écarts (rares, mais possibles en cas de chargeback ou de remboursement partiel). La maquette dispose déjà d'un journal comptable des recettes, à réutiliser.</w:t>
      </w:r>
    </w:p>
    <w:p>
      <w:pPr>
        <w:keepNext/>
        <w:spacing w:before="240" w:after="120"/>
      </w:pPr>
      <w:r>
        <w:rPr>
          <w:b/>
          <w:color w:val="2A3BD0"/>
          <w:sz w:val="32"/>
        </w:rPr>
        <w:t>9.5 Remboursements et litiges</w:t>
      </w:r>
    </w:p>
    <w:p>
      <w:pPr>
        <w:pStyle w:val="ListBullet"/>
        <w:spacing w:after="60"/>
        <w:ind w:left="283"/>
      </w:pPr>
      <w:r>
        <w:t>Procédure documentée pour traiter les chargebacks (notifications Stripe → admin → décision)</w:t>
      </w:r>
    </w:p>
    <w:p>
      <w:pPr>
        <w:pStyle w:val="ListBullet"/>
        <w:spacing w:after="60"/>
        <w:ind w:left="283"/>
      </w:pPr>
      <w:r>
        <w:t>Médiation de la consommation accessible (mention déjà dans les CGU, art. L. 612-1)</w:t>
      </w:r>
    </w:p>
    <w:p>
      <w:pPr>
        <w:pStyle w:val="ListBullet"/>
        <w:spacing w:after="60"/>
        <w:ind w:left="283"/>
      </w:pPr>
      <w:r>
        <w:t>Conservation des preuves pendant 13 mois minimum (durée des contestations bancaires)</w:t>
      </w:r>
    </w:p>
    <w:p>
      <w:r>
        <w:br w:type="page"/>
      </w:r>
    </w:p>
    <w:p>
      <w:pPr>
        <w:keepNext/>
        <w:spacing w:before="240" w:after="120"/>
      </w:pPr>
      <w:r>
        <w:rPr>
          <w:b/>
          <w:color w:val="2A3BD0"/>
          <w:sz w:val="44"/>
        </w:rPr>
        <w:t>10. Monitoring, sauvegardes, dépendances</w:t>
      </w:r>
    </w:p>
    <w:p>
      <w:pPr>
        <w:keepNext/>
        <w:spacing w:before="240" w:after="120"/>
      </w:pPr>
      <w:r>
        <w:rPr>
          <w:b/>
          <w:color w:val="2A3BD0"/>
          <w:sz w:val="32"/>
        </w:rPr>
        <w:t>10.1 Logs structurés</w:t>
      </w:r>
    </w:p>
    <w:p>
      <w:r>
        <w:rPr>
          <w:b w:val="0"/>
          <w:i w:val="0"/>
        </w:rPr>
        <w:t>Tous les logs en JSON, avec un identifiant de corrélation par requête. Inclure : timestamp, niveau, utilisateur (si connu), route, latence, code HTTP, message. Bibliothèques : pino (Node), structlog (Python).</w:t>
      </w:r>
    </w:p>
    <w:p>
      <w:r>
        <w:rPr>
          <w:b w:val="0"/>
          <w:i w:val="0"/>
        </w:rPr>
        <w:t>Logs séparés : application, accès HTTP, sécurité (auth, échecs, blocages), accès admin (audit log, voir 6.4).</w:t>
      </w:r>
    </w:p>
    <w:p>
      <w:pPr>
        <w:keepNext/>
        <w:spacing w:before="240" w:after="120"/>
      </w:pPr>
      <w:r>
        <w:rPr>
          <w:b/>
          <w:color w:val="2A3BD0"/>
          <w:sz w:val="32"/>
        </w:rPr>
        <w:t>10.2 Surveillance des erreurs</w:t>
      </w:r>
    </w:p>
    <w:p>
      <w:r>
        <w:rPr>
          <w:b w:val="0"/>
          <w:i w:val="0"/>
        </w:rPr>
        <w:t>Sentry ou équivalent pour capturer les exceptions, avec alerting (email/Slack) sur erreur nouvelle ou récurrence. Filtrer les données sensibles (mots de passe, numéros de carte) avant envoi.</w:t>
      </w:r>
    </w:p>
    <w:p>
      <w:pPr>
        <w:keepNext/>
        <w:spacing w:before="240" w:after="120"/>
      </w:pPr>
      <w:r>
        <w:rPr>
          <w:b/>
          <w:color w:val="2A3BD0"/>
          <w:sz w:val="32"/>
        </w:rPr>
        <w:t>10.3 Métriques d'usage</w:t>
      </w:r>
    </w:p>
    <w:p>
      <w:r>
        <w:rPr>
          <w:b w:val="0"/>
          <w:i w:val="0"/>
        </w:rPr>
        <w:t>Plausible ou Matomo auto-hébergé (RGPD-friendly, pas de bandeau cookies requis) plutôt que Google Analytics. La maquette ne contient aucun tracker — c'est une bonne base à conserver.</w:t>
      </w:r>
    </w:p>
    <w:p>
      <w:pPr>
        <w:keepNext/>
        <w:spacing w:before="240" w:after="120"/>
      </w:pPr>
      <w:r>
        <w:rPr>
          <w:b/>
          <w:color w:val="2A3BD0"/>
          <w:sz w:val="32"/>
        </w:rPr>
        <w:t>10.4 Audit des dépendances</w:t>
      </w:r>
    </w:p>
    <w:p>
      <w:pPr>
        <w:pStyle w:val="ListBullet"/>
        <w:spacing w:after="60"/>
        <w:ind w:left="283"/>
      </w:pPr>
      <w:r>
        <w:t>npm audit ou pip-audit dans la CI, échec du build sur vulnérabilité élevée</w:t>
      </w:r>
    </w:p>
    <w:p>
      <w:pPr>
        <w:pStyle w:val="ListBullet"/>
        <w:spacing w:after="60"/>
        <w:ind w:left="283"/>
      </w:pPr>
      <w:r>
        <w:t>Dependabot ou Renovate pour les mises à jour automatiques</w:t>
      </w:r>
    </w:p>
    <w:p>
      <w:pPr>
        <w:pStyle w:val="ListBullet"/>
        <w:spacing w:after="60"/>
        <w:ind w:left="283"/>
      </w:pPr>
      <w:r>
        <w:t>Audit annuel manuel sur les bibliothèques critiques (auth, crypto, paiement)</w:t>
      </w:r>
    </w:p>
    <w:p>
      <w:pPr>
        <w:keepNext/>
        <w:spacing w:before="240" w:after="120"/>
      </w:pPr>
      <w:r>
        <w:rPr>
          <w:b/>
          <w:color w:val="2A3BD0"/>
          <w:sz w:val="32"/>
        </w:rPr>
        <w:t>10.5 Sauvegardes</w:t>
      </w:r>
    </w:p>
    <w:p>
      <w:pPr>
        <w:pStyle w:val="ListBullet"/>
        <w:spacing w:after="60"/>
        <w:ind w:left="283"/>
      </w:pPr>
      <w:r>
        <w:t>BDD : snapshot quotidien chiffré, conservation 30 jours, snapshot mensuel conservé 1 an</w:t>
      </w:r>
    </w:p>
    <w:p>
      <w:pPr>
        <w:pStyle w:val="ListBullet"/>
        <w:spacing w:after="60"/>
        <w:ind w:left="283"/>
      </w:pPr>
      <w:r>
        <w:t>Fichiers (S3) : versioning activé + réplication inter-régions</w:t>
      </w:r>
    </w:p>
    <w:p>
      <w:pPr>
        <w:pStyle w:val="ListBullet"/>
        <w:spacing w:after="60"/>
        <w:ind w:left="283"/>
      </w:pPr>
      <w:r>
        <w:t>Test de restauration trimestriel — une sauvegarde non testée n'existe pas</w:t>
      </w:r>
    </w:p>
    <w:p>
      <w:pPr>
        <w:pStyle w:val="ListBullet"/>
        <w:spacing w:after="60"/>
        <w:ind w:left="283"/>
      </w:pPr>
      <w:r>
        <w:t>Plan de reprise d'activité documenté (RPO &lt; 24 h, RTO &lt; 4 h)</w:t>
      </w:r>
    </w:p>
    <w:p>
      <w:r>
        <w:br w:type="page"/>
      </w:r>
    </w:p>
    <w:p>
      <w:pPr>
        <w:keepNext/>
        <w:spacing w:before="240" w:after="120"/>
      </w:pPr>
      <w:r>
        <w:rPr>
          <w:b/>
          <w:color w:val="2A3BD0"/>
          <w:sz w:val="44"/>
        </w:rPr>
        <w:t>11. Phases recommandées</w:t>
      </w:r>
    </w:p>
    <w:p>
      <w:r>
        <w:rPr>
          <w:b w:val="0"/>
          <w:i w:val="0"/>
        </w:rPr>
        <w:t>L'ensemble représente plusieurs mois de développement. Pour limiter le risque, découper en phases livrables et testables indépendamment.</w:t>
      </w:r>
    </w:p>
    <w:p>
      <w:pPr>
        <w:keepNext/>
        <w:spacing w:before="240" w:after="120"/>
      </w:pPr>
      <w:r>
        <w:rPr>
          <w:b/>
          <w:color w:val="2A3BD0"/>
          <w:sz w:val="32"/>
        </w:rPr>
        <w:t>Phase 1 — MVP sécurité (4 à 6 semaines)</w:t>
      </w:r>
    </w:p>
    <w:p>
      <w:r>
        <w:rPr>
          <w:b w:val="0"/>
          <w:i w:val="0"/>
        </w:rPr>
        <w:t>Objectif : remplacer le localStorage par un backend authentifié, sans encore brancher le paiement.</w:t>
      </w:r>
    </w:p>
    <w:p>
      <w:pPr>
        <w:pStyle w:val="ListBullet"/>
        <w:spacing w:after="60"/>
        <w:ind w:left="283"/>
      </w:pPr>
      <w:r>
        <w:t>API REST de base (auth, comptes, annonces, listings)</w:t>
      </w:r>
    </w:p>
    <w:p>
      <w:pPr>
        <w:pStyle w:val="ListBullet"/>
        <w:spacing w:after="60"/>
        <w:ind w:left="283"/>
      </w:pPr>
      <w:r>
        <w:t>BDD PostgreSQL + migrations</w:t>
      </w:r>
    </w:p>
    <w:p>
      <w:pPr>
        <w:pStyle w:val="ListBullet"/>
        <w:spacing w:after="60"/>
        <w:ind w:left="283"/>
      </w:pPr>
      <w:r>
        <w:t>Inscription avec vérification d'email</w:t>
      </w:r>
    </w:p>
    <w:p>
      <w:pPr>
        <w:pStyle w:val="ListBullet"/>
        <w:spacing w:after="60"/>
        <w:ind w:left="283"/>
      </w:pPr>
      <w:r>
        <w:t>Hachage argon2id, sessions Redis, cookies sécurisés</w:t>
      </w:r>
    </w:p>
    <w:p>
      <w:pPr>
        <w:pStyle w:val="ListBullet"/>
        <w:spacing w:after="60"/>
        <w:ind w:left="283"/>
      </w:pPr>
      <w:r>
        <w:t>HTTPS, en-têtes de sécurité, validation côté serveur</w:t>
      </w:r>
    </w:p>
    <w:p>
      <w:pPr>
        <w:pStyle w:val="ListBullet"/>
        <w:spacing w:after="60"/>
        <w:ind w:left="283"/>
      </w:pPr>
      <w:r>
        <w:t>Admin protégé par rôle + 2FA TOTP</w:t>
      </w:r>
    </w:p>
    <w:p>
      <w:pPr>
        <w:pStyle w:val="ListBullet"/>
        <w:spacing w:after="60"/>
        <w:ind w:left="283"/>
      </w:pPr>
      <w:r>
        <w:t>Migration des écrans existants vers les appels API</w:t>
      </w:r>
    </w:p>
    <w:p>
      <w:pPr>
        <w:keepNext/>
        <w:spacing w:before="240" w:after="120"/>
      </w:pPr>
      <w:r>
        <w:rPr>
          <w:b/>
          <w:color w:val="2A3BD0"/>
          <w:sz w:val="32"/>
        </w:rPr>
        <w:t>Phase 2 — RGPD et conformité (3 à 4 semaines)</w:t>
      </w:r>
    </w:p>
    <w:p>
      <w:pPr>
        <w:pStyle w:val="ListBullet"/>
        <w:spacing w:after="60"/>
        <w:ind w:left="283"/>
      </w:pPr>
      <w:r>
        <w:t>Registre des traitements</w:t>
      </w:r>
    </w:p>
    <w:p>
      <w:pPr>
        <w:pStyle w:val="ListBullet"/>
        <w:spacing w:after="60"/>
        <w:ind w:left="283"/>
      </w:pPr>
      <w:r>
        <w:t>Endpoints des droits (accès, effacement, portabilité)</w:t>
      </w:r>
    </w:p>
    <w:p>
      <w:pPr>
        <w:pStyle w:val="ListBullet"/>
        <w:spacing w:after="60"/>
        <w:ind w:left="283"/>
      </w:pPr>
      <w:r>
        <w:t>Tracé des consentements en base</w:t>
      </w:r>
    </w:p>
    <w:p>
      <w:pPr>
        <w:pStyle w:val="ListBullet"/>
        <w:spacing w:after="60"/>
        <w:ind w:left="283"/>
      </w:pPr>
      <w:r>
        <w:t>Politique de confidentialité conforme</w:t>
      </w:r>
    </w:p>
    <w:p>
      <w:pPr>
        <w:pStyle w:val="ListBullet"/>
        <w:spacing w:after="60"/>
        <w:ind w:left="283"/>
      </w:pPr>
      <w:r>
        <w:t>Cookies analytiques RGPD-compatibles</w:t>
      </w:r>
    </w:p>
    <w:p>
      <w:pPr>
        <w:pStyle w:val="ListBullet"/>
        <w:spacing w:after="60"/>
        <w:ind w:left="283"/>
      </w:pPr>
      <w:r>
        <w:t>Chiffrement au repos des documents personnels</w:t>
      </w:r>
    </w:p>
    <w:p>
      <w:pPr>
        <w:keepNext/>
        <w:spacing w:before="240" w:after="120"/>
      </w:pPr>
      <w:r>
        <w:rPr>
          <w:b/>
          <w:color w:val="2A3BD0"/>
          <w:sz w:val="32"/>
        </w:rPr>
        <w:t>Phase 3 — Paiement réel (4 à 6 semaines)</w:t>
      </w:r>
    </w:p>
    <w:p>
      <w:pPr>
        <w:pStyle w:val="ListBullet"/>
        <w:spacing w:after="60"/>
        <w:ind w:left="283"/>
      </w:pPr>
      <w:r>
        <w:t>Onboarding Stripe Connect (KYC vendeurs)</w:t>
      </w:r>
    </w:p>
    <w:p>
      <w:pPr>
        <w:pStyle w:val="ListBullet"/>
        <w:spacing w:after="60"/>
        <w:ind w:left="283"/>
      </w:pPr>
      <w:r>
        <w:t>Intégration Stripe Elements côté front</w:t>
      </w:r>
    </w:p>
    <w:p>
      <w:pPr>
        <w:pStyle w:val="ListBullet"/>
        <w:spacing w:after="60"/>
        <w:ind w:left="283"/>
      </w:pPr>
      <w:r>
        <w:t>Webhooks signés et idempotents</w:t>
      </w:r>
    </w:p>
    <w:p>
      <w:pPr>
        <w:pStyle w:val="ListBullet"/>
        <w:spacing w:after="60"/>
        <w:ind w:left="283"/>
      </w:pPr>
      <w:r>
        <w:t>Réconciliation comptable quotidienne</w:t>
      </w:r>
    </w:p>
    <w:p>
      <w:pPr>
        <w:pStyle w:val="ListBullet"/>
        <w:spacing w:after="60"/>
        <w:ind w:left="283"/>
      </w:pPr>
      <w:r>
        <w:t>Procédure de remboursement et chargeback</w:t>
      </w:r>
    </w:p>
    <w:p>
      <w:pPr>
        <w:keepNext/>
        <w:spacing w:before="240" w:after="120"/>
      </w:pPr>
      <w:r>
        <w:rPr>
          <w:b/>
          <w:color w:val="2A3BD0"/>
          <w:sz w:val="32"/>
        </w:rPr>
        <w:t>Phase 4 — Durcissement (2 à 3 semaines)</w:t>
      </w:r>
    </w:p>
    <w:p>
      <w:pPr>
        <w:pStyle w:val="ListBullet"/>
        <w:spacing w:after="60"/>
        <w:ind w:left="283"/>
      </w:pPr>
      <w:r>
        <w:t>Rate limiting fin</w:t>
      </w:r>
    </w:p>
    <w:p>
      <w:pPr>
        <w:pStyle w:val="ListBullet"/>
        <w:spacing w:after="60"/>
        <w:ind w:left="283"/>
      </w:pPr>
      <w:r>
        <w:t>CSP stricte (sans 'unsafe-inline')</w:t>
      </w:r>
    </w:p>
    <w:p>
      <w:pPr>
        <w:pStyle w:val="ListBullet"/>
        <w:spacing w:after="60"/>
        <w:ind w:left="283"/>
      </w:pPr>
      <w:r>
        <w:t>Antivirus à l'upload (ClamAV)</w:t>
      </w:r>
    </w:p>
    <w:p>
      <w:pPr>
        <w:pStyle w:val="ListBullet"/>
        <w:spacing w:after="60"/>
        <w:ind w:left="283"/>
      </w:pPr>
      <w:r>
        <w:t>Test d'intrusion externe (penetration test)</w:t>
      </w:r>
    </w:p>
    <w:p>
      <w:pPr>
        <w:pStyle w:val="ListBullet"/>
        <w:spacing w:after="60"/>
        <w:ind w:left="283"/>
      </w:pPr>
      <w:r>
        <w:t>Audit RGPD par un avocat</w:t>
      </w:r>
    </w:p>
    <w:p>
      <w:pPr>
        <w:keepNext/>
        <w:spacing w:before="240" w:after="120"/>
      </w:pPr>
      <w:r>
        <w:rPr>
          <w:b/>
          <w:color w:val="2A3BD0"/>
          <w:sz w:val="32"/>
        </w:rPr>
        <w:t>Phase 5 — Production et exploitation (continu)</w:t>
      </w:r>
    </w:p>
    <w:p>
      <w:pPr>
        <w:pStyle w:val="ListBullet"/>
        <w:spacing w:after="60"/>
        <w:ind w:left="283"/>
      </w:pPr>
      <w:r>
        <w:t>Monitoring 24/7 (Sentry + alerting)</w:t>
      </w:r>
    </w:p>
    <w:p>
      <w:pPr>
        <w:pStyle w:val="ListBullet"/>
        <w:spacing w:after="60"/>
        <w:ind w:left="283"/>
      </w:pPr>
      <w:r>
        <w:t>Sauvegardes testées trimestriellement</w:t>
      </w:r>
    </w:p>
    <w:p>
      <w:pPr>
        <w:pStyle w:val="ListBullet"/>
        <w:spacing w:after="60"/>
        <w:ind w:left="283"/>
      </w:pPr>
      <w:r>
        <w:t>Audit de dépendances mensuel</w:t>
      </w:r>
    </w:p>
    <w:p>
      <w:pPr>
        <w:pStyle w:val="ListBullet"/>
        <w:spacing w:after="60"/>
        <w:ind w:left="283"/>
      </w:pPr>
      <w:r>
        <w:t>Revue de sécurité annuelle</w:t>
      </w:r>
    </w:p>
    <w:p>
      <w:r>
        <w:br w:type="page"/>
      </w:r>
    </w:p>
    <w:p>
      <w:pPr>
        <w:keepNext/>
        <w:spacing w:before="240" w:after="120"/>
      </w:pPr>
      <w:r>
        <w:rPr>
          <w:b/>
          <w:color w:val="2A3BD0"/>
          <w:sz w:val="44"/>
        </w:rPr>
        <w:t>12. Points de vigilance et risques</w:t>
      </w:r>
    </w:p>
    <w:p>
      <w:pPr>
        <w:keepNext/>
        <w:spacing w:before="240" w:after="120"/>
      </w:pPr>
      <w:r>
        <w:rPr>
          <w:b/>
          <w:color w:val="2A3BD0"/>
          <w:sz w:val="26"/>
        </w:rPr>
        <w:t>Sécurité</w:t>
      </w:r>
    </w:p>
    <w:p>
      <w:pPr>
        <w:pStyle w:val="ListBullet"/>
        <w:spacing w:after="60"/>
        <w:ind w:left="283"/>
      </w:pPr>
      <w:r>
        <w:t>Ne jamais journaliser de mots de passe, tokens, numéros de cartes — filtrer en amont</w:t>
      </w:r>
    </w:p>
    <w:p>
      <w:pPr>
        <w:pStyle w:val="ListBullet"/>
        <w:spacing w:after="60"/>
        <w:ind w:left="283"/>
      </w:pPr>
      <w:r>
        <w:t>Ne jamais désactiver la 2FA admin, même temporairement</w:t>
      </w:r>
    </w:p>
    <w:p>
      <w:pPr>
        <w:pStyle w:val="ListBullet"/>
        <w:spacing w:after="60"/>
        <w:ind w:left="283"/>
      </w:pPr>
      <w:r>
        <w:t>Ne jamais faire confiance à un paramètre client pour vérifier un privilège</w:t>
      </w:r>
    </w:p>
    <w:p>
      <w:pPr>
        <w:pStyle w:val="ListBullet"/>
        <w:spacing w:after="60"/>
        <w:ind w:left="283"/>
      </w:pPr>
      <w:r>
        <w:t>Toujours vérifier les webhooks Stripe avant d'agir</w:t>
      </w:r>
    </w:p>
    <w:p>
      <w:pPr>
        <w:keepNext/>
        <w:spacing w:before="240" w:after="120"/>
      </w:pPr>
      <w:r>
        <w:rPr>
          <w:b/>
          <w:color w:val="2A3BD0"/>
          <w:sz w:val="26"/>
        </w:rPr>
        <w:t>RGPD</w:t>
      </w:r>
    </w:p>
    <w:p>
      <w:pPr>
        <w:pStyle w:val="ListBullet"/>
        <w:spacing w:after="60"/>
        <w:ind w:left="283"/>
      </w:pPr>
      <w:r>
        <w:t>Erreur fréquente : conserver les documents personnels indéfiniment. Mettre en place un effacement automatique</w:t>
      </w:r>
    </w:p>
    <w:p>
      <w:pPr>
        <w:pStyle w:val="ListBullet"/>
        <w:spacing w:after="60"/>
        <w:ind w:left="283"/>
      </w:pPr>
      <w:r>
        <w:t>Erreur fréquente : envoyer des emails marketing sans opt-in distinct. Bien séparer du consentement aux CGU</w:t>
      </w:r>
    </w:p>
    <w:p>
      <w:pPr>
        <w:pStyle w:val="ListBullet"/>
        <w:spacing w:after="60"/>
        <w:ind w:left="283"/>
      </w:pPr>
      <w:r>
        <w:t>Vérifier que tous les sous-traitants sont en UE ou sous clauses contractuelles types</w:t>
      </w:r>
    </w:p>
    <w:p>
      <w:pPr>
        <w:keepNext/>
        <w:spacing w:before="240" w:after="120"/>
      </w:pPr>
      <w:r>
        <w:rPr>
          <w:b/>
          <w:color w:val="2A3BD0"/>
          <w:sz w:val="26"/>
        </w:rPr>
        <w:t>Exploitation</w:t>
      </w:r>
    </w:p>
    <w:p>
      <w:pPr>
        <w:pStyle w:val="ListBullet"/>
        <w:spacing w:after="60"/>
        <w:ind w:left="283"/>
      </w:pPr>
      <w:r>
        <w:t>Une sauvegarde jamais testée est une absence de sauvegarde</w:t>
      </w:r>
    </w:p>
    <w:p>
      <w:pPr>
        <w:pStyle w:val="ListBullet"/>
        <w:spacing w:after="60"/>
        <w:ind w:left="283"/>
      </w:pPr>
      <w:r>
        <w:t>Le « ça a toujours marché » n'est pas un test de sécurité — exiger un pentest externe avant le lancement public</w:t>
      </w:r>
    </w:p>
    <w:p>
      <w:pPr>
        <w:pStyle w:val="ListBullet"/>
        <w:spacing w:after="60"/>
        <w:ind w:left="283"/>
      </w:pPr>
      <w:r>
        <w:t>Documenter le plan d'incident (qui contacte qui, dans quel ordre, sous quel délai)</w:t>
      </w:r>
    </w:p>
    <w:p>
      <w:r>
        <w:br w:type="page"/>
      </w:r>
    </w:p>
    <w:p>
      <w:pPr>
        <w:keepNext/>
        <w:spacing w:before="240" w:after="120"/>
      </w:pPr>
      <w:r>
        <w:rPr>
          <w:b/>
          <w:color w:val="2A3BD0"/>
          <w:sz w:val="44"/>
        </w:rPr>
        <w:t>13. Références</w:t>
      </w:r>
    </w:p>
    <w:p>
      <w:pPr>
        <w:keepNext/>
        <w:spacing w:before="240" w:after="120"/>
      </w:pPr>
      <w:r>
        <w:rPr>
          <w:b/>
          <w:color w:val="2A3BD0"/>
          <w:sz w:val="26"/>
        </w:rPr>
        <w:t>Sécurité</w:t>
      </w:r>
    </w:p>
    <w:p>
      <w:pPr>
        <w:pStyle w:val="ListBullet"/>
        <w:spacing w:after="60"/>
        <w:ind w:left="283"/>
      </w:pPr>
      <w:r>
        <w:t>OWASP Top 10 (2021) — top des vulnérabilités web courantes</w:t>
      </w:r>
    </w:p>
    <w:p>
      <w:pPr>
        <w:pStyle w:val="ListBullet"/>
        <w:spacing w:after="60"/>
        <w:ind w:left="283"/>
      </w:pPr>
      <w:r>
        <w:t>OWASP ASVS — niveau de vérification de la sécurité applicative</w:t>
      </w:r>
    </w:p>
    <w:p>
      <w:pPr>
        <w:pStyle w:val="ListBullet"/>
        <w:spacing w:after="60"/>
        <w:ind w:left="283"/>
      </w:pPr>
      <w:r>
        <w:t>OWASP Cheat Sheets — fiches pratiques (authentification, sessions, XSS, CSRF…)</w:t>
      </w:r>
    </w:p>
    <w:p>
      <w:pPr>
        <w:pStyle w:val="ListBullet"/>
        <w:spacing w:after="60"/>
        <w:ind w:left="283"/>
      </w:pPr>
      <w:r>
        <w:t>ANSSI — guides d'hygiène informatique et de durcissement</w:t>
      </w:r>
    </w:p>
    <w:p>
      <w:pPr>
        <w:keepNext/>
        <w:spacing w:before="240" w:after="120"/>
      </w:pPr>
      <w:r>
        <w:rPr>
          <w:b/>
          <w:color w:val="2A3BD0"/>
          <w:sz w:val="26"/>
        </w:rPr>
        <w:t>RGPD</w:t>
      </w:r>
    </w:p>
    <w:p>
      <w:pPr>
        <w:pStyle w:val="ListBullet"/>
        <w:spacing w:after="60"/>
        <w:ind w:left="283"/>
      </w:pPr>
      <w:r>
        <w:t>CNIL — guides du développeur et fiches pratiques</w:t>
      </w:r>
    </w:p>
    <w:p>
      <w:pPr>
        <w:pStyle w:val="ListBullet"/>
        <w:spacing w:after="60"/>
        <w:ind w:left="283"/>
      </w:pPr>
      <w:r>
        <w:t>Règlement (UE) 2016/679 (RGPD)</w:t>
      </w:r>
    </w:p>
    <w:p>
      <w:pPr>
        <w:pStyle w:val="ListBullet"/>
        <w:spacing w:after="60"/>
        <w:ind w:left="283"/>
      </w:pPr>
      <w:r>
        <w:t>Loi n° 78-17 modifiée — Informatique et libertés</w:t>
      </w:r>
    </w:p>
    <w:p>
      <w:pPr>
        <w:keepNext/>
        <w:spacing w:before="240" w:after="120"/>
      </w:pPr>
      <w:r>
        <w:rPr>
          <w:b/>
          <w:color w:val="2A3BD0"/>
          <w:sz w:val="26"/>
        </w:rPr>
        <w:t>Droit français applicable au site</w:t>
      </w:r>
    </w:p>
    <w:p>
      <w:pPr>
        <w:pStyle w:val="ListBullet"/>
        <w:spacing w:after="60"/>
        <w:ind w:left="283"/>
      </w:pPr>
      <w:r>
        <w:t>Loi n° 2004-575 pour la confiance dans l'économie numérique (LCEN)</w:t>
      </w:r>
    </w:p>
    <w:p>
      <w:pPr>
        <w:pStyle w:val="ListBullet"/>
        <w:spacing w:after="60"/>
        <w:ind w:left="283"/>
      </w:pPr>
      <w:r>
        <w:t>Articles 1641 et suivants du Code civil — garantie des vices cachés</w:t>
      </w:r>
    </w:p>
    <w:p>
      <w:pPr>
        <w:pStyle w:val="ListBullet"/>
        <w:spacing w:after="60"/>
        <w:ind w:left="283"/>
      </w:pPr>
      <w:r>
        <w:t>Articles L. 217-3 et suivants du Code de la consommation — garantie de conformité</w:t>
      </w:r>
    </w:p>
    <w:p>
      <w:pPr>
        <w:pStyle w:val="ListBullet"/>
        <w:spacing w:after="60"/>
        <w:ind w:left="283"/>
      </w:pPr>
      <w:r>
        <w:t>Articles L. 221-18 et suivants — droit de rétractation</w:t>
      </w:r>
    </w:p>
    <w:p>
      <w:pPr>
        <w:pStyle w:val="ListBullet"/>
        <w:spacing w:after="60"/>
        <w:ind w:left="283"/>
      </w:pPr>
      <w:r>
        <w:t>Article L. 612-1 — médiation de la consommation</w:t>
      </w:r>
    </w:p>
    <w:p>
      <w:pPr>
        <w:keepNext/>
        <w:spacing w:before="240" w:after="120"/>
      </w:pPr>
      <w:r>
        <w:rPr>
          <w:b/>
          <w:color w:val="2A3BD0"/>
          <w:sz w:val="26"/>
        </w:rPr>
        <w:t>Paiement</w:t>
      </w:r>
    </w:p>
    <w:p>
      <w:pPr>
        <w:pStyle w:val="ListBullet"/>
        <w:spacing w:after="60"/>
        <w:ind w:left="283"/>
      </w:pPr>
      <w:r>
        <w:t>PCI-DSS — Self-Assessment Questionnaire A (SAQ-A) pour intégrations Stripe Elements</w:t>
      </w:r>
    </w:p>
    <w:p>
      <w:pPr>
        <w:pStyle w:val="ListBullet"/>
        <w:spacing w:after="60"/>
        <w:ind w:left="283"/>
      </w:pPr>
      <w:r>
        <w:t>Documentation Stripe Connect — Custom et Express</w:t>
      </w:r>
    </w:p>
    <w:p>
      <w:pPr>
        <w:spacing w:after="400"/>
      </w:pPr>
      <w:r>
        <w:rPr>
          <w:b w:val="0"/>
          <w:i w:val="0"/>
        </w:rPr>
        <w:t xml:space="preserve"> </w:t>
      </w:r>
    </w:p>
    <w:p>
      <w:pPr>
        <w:jc w:val="center"/>
      </w:pPr>
      <w:r>
        <w:rPr>
          <w:i/>
          <w:color w:val="888888"/>
          <w:sz w:val="20"/>
        </w:rPr>
        <w:t>— Fin du document —</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