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88"/>
        <w:gridCol w:w="1682"/>
        <w:gridCol w:w="1685"/>
        <w:gridCol w:w="1683"/>
        <w:gridCol w:w="1684"/>
      </w:tblGrid>
      <w:tr w14:paraId="5807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shd w:val="clear" w:color="auto" w:fill="F8CCAB" w:themeFill="accent2" w:themeFillTint="66"/>
            <w:vAlign w:val="top"/>
          </w:tcPr>
          <w:p w14:paraId="7ED04B0C"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bookmarkStart w:id="0" w:name="_GoBack"/>
            <w:bookmarkEnd w:id="0"/>
          </w:p>
          <w:p w14:paraId="12D47E4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模型名称</w:t>
            </w:r>
          </w:p>
        </w:tc>
        <w:tc>
          <w:tcPr>
            <w:tcW w:w="1682" w:type="dxa"/>
            <w:shd w:val="clear" w:color="auto" w:fill="F8CCAB" w:themeFill="accent2" w:themeFillTint="66"/>
            <w:vAlign w:val="top"/>
          </w:tcPr>
          <w:p w14:paraId="2BD0F911">
            <w:pPr>
              <w:rPr>
                <w:vertAlign w:val="baseline"/>
              </w:rPr>
            </w:pPr>
          </w:p>
          <w:p w14:paraId="29101CFB">
            <w:pPr>
              <w:bidi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指导思想</w:t>
            </w:r>
          </w:p>
        </w:tc>
        <w:tc>
          <w:tcPr>
            <w:tcW w:w="1685" w:type="dxa"/>
            <w:shd w:val="clear" w:color="auto" w:fill="F8CCAB" w:themeFill="accent2" w:themeFillTint="66"/>
            <w:vAlign w:val="top"/>
          </w:tcPr>
          <w:p w14:paraId="2A102472">
            <w:pPr>
              <w:rPr>
                <w:vertAlign w:val="baseline"/>
              </w:rPr>
            </w:pPr>
          </w:p>
          <w:p w14:paraId="4304D1E5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特征点</w:t>
            </w:r>
          </w:p>
        </w:tc>
        <w:tc>
          <w:tcPr>
            <w:tcW w:w="1683" w:type="dxa"/>
            <w:shd w:val="clear" w:color="auto" w:fill="F8CCAB" w:themeFill="accent2" w:themeFillTint="66"/>
            <w:vAlign w:val="top"/>
          </w:tcPr>
          <w:p w14:paraId="59858807">
            <w:pPr>
              <w:rPr>
                <w:vertAlign w:val="baseline"/>
              </w:rPr>
            </w:pPr>
          </w:p>
          <w:p w14:paraId="411F7E43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应用领域</w:t>
            </w:r>
          </w:p>
        </w:tc>
        <w:tc>
          <w:tcPr>
            <w:tcW w:w="1684" w:type="dxa"/>
            <w:shd w:val="clear" w:color="auto" w:fill="F8CCAB" w:themeFill="accent2" w:themeFillTint="66"/>
            <w:vAlign w:val="top"/>
          </w:tcPr>
          <w:p w14:paraId="598CBA07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34FC0CEE">
            <w:pPr>
              <w:bidi w:val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模型重量级</w:t>
            </w:r>
          </w:p>
        </w:tc>
      </w:tr>
      <w:tr w14:paraId="4D5D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vAlign w:val="top"/>
          </w:tcPr>
          <w:p w14:paraId="2985AE87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瀑布模型（Waterfall Model）</w:t>
            </w:r>
          </w:p>
        </w:tc>
        <w:tc>
          <w:tcPr>
            <w:tcW w:w="1682" w:type="dxa"/>
            <w:vAlign w:val="top"/>
          </w:tcPr>
          <w:p w14:paraId="1FED32C8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软件开发分为顺序的阶段，从需求分析到设计、实现、测试、部署和维护，逐步推进，每个阶段完成后进入下一个阶段。</w:t>
            </w:r>
          </w:p>
        </w:tc>
        <w:tc>
          <w:tcPr>
            <w:tcW w:w="1685" w:type="dxa"/>
            <w:vAlign w:val="top"/>
          </w:tcPr>
          <w:p w14:paraId="5CF65D76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严格的顺序流程，每个阶段依赖于上一个阶段的完成。</w:t>
            </w:r>
          </w:p>
          <w:p w14:paraId="7433612C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文档驱动，所有需求、设计和测试等都需要详细文档。</w:t>
            </w:r>
          </w:p>
        </w:tc>
        <w:tc>
          <w:tcPr>
            <w:tcW w:w="1683" w:type="dxa"/>
            <w:vAlign w:val="top"/>
          </w:tcPr>
          <w:p w14:paraId="700ACDDD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适用于需求明确、不频繁变化的项目，如政府和军用系统、嵌入式系统等。</w:t>
            </w:r>
          </w:p>
        </w:tc>
        <w:tc>
          <w:tcPr>
            <w:tcW w:w="1684" w:type="dxa"/>
            <w:vAlign w:val="top"/>
          </w:tcPr>
          <w:p w14:paraId="2CD290D4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重量级模型，适合需求稳定且对文档和流程控制要求高的项目。</w:t>
            </w:r>
          </w:p>
        </w:tc>
      </w:tr>
      <w:tr w14:paraId="6723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shd w:val="clear" w:color="auto" w:fill="FBE6D6" w:themeFill="accent2" w:themeFillTint="32"/>
            <w:vAlign w:val="top"/>
          </w:tcPr>
          <w:p w14:paraId="52FA7840">
            <w:pPr>
              <w:rPr>
                <w:vertAlign w:val="baseline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增量模型（Incremental Model）</w:t>
            </w:r>
          </w:p>
        </w:tc>
        <w:tc>
          <w:tcPr>
            <w:tcW w:w="1682" w:type="dxa"/>
            <w:shd w:val="clear" w:color="auto" w:fill="FBE6D6" w:themeFill="accent2" w:themeFillTint="32"/>
            <w:vAlign w:val="top"/>
          </w:tcPr>
          <w:p w14:paraId="71F889BA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逐步构建软件，每次增加新的功能模块，分阶段交付部分功能。</w:t>
            </w:r>
          </w:p>
        </w:tc>
        <w:tc>
          <w:tcPr>
            <w:tcW w:w="1685" w:type="dxa"/>
            <w:shd w:val="clear" w:color="auto" w:fill="FBE6D6" w:themeFill="accent2" w:themeFillTint="32"/>
            <w:vAlign w:val="top"/>
          </w:tcPr>
          <w:p w14:paraId="1CE218C7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迭代式开发，每次迭代增加一个增量（功能模块）。</w:t>
            </w:r>
          </w:p>
          <w:p w14:paraId="22E0B562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提供早期交付，允许用户在开发过程中使用软件的部分功能。</w:t>
            </w:r>
          </w:p>
        </w:tc>
        <w:tc>
          <w:tcPr>
            <w:tcW w:w="1683" w:type="dxa"/>
            <w:shd w:val="clear" w:color="auto" w:fill="FBE6D6" w:themeFill="accent2" w:themeFillTint="32"/>
            <w:vAlign w:val="top"/>
          </w:tcPr>
          <w:p w14:paraId="5E553149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适用于需求渐进明确且希望早期交付部分功能的项目，如企业信息系统、移动应用开发等。</w:t>
            </w:r>
          </w:p>
        </w:tc>
        <w:tc>
          <w:tcPr>
            <w:tcW w:w="1684" w:type="dxa"/>
            <w:shd w:val="clear" w:color="auto" w:fill="FBE6D6" w:themeFill="accent2" w:themeFillTint="32"/>
            <w:vAlign w:val="top"/>
          </w:tcPr>
          <w:p w14:paraId="641C8505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中量级模型，适合灵活度较高且对早期交付有需求的项目。</w:t>
            </w:r>
          </w:p>
        </w:tc>
      </w:tr>
      <w:tr w14:paraId="663D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vAlign w:val="top"/>
          </w:tcPr>
          <w:p w14:paraId="0E72842B">
            <w:pPr>
              <w:rPr>
                <w:rStyle w:val="5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螺旋模型（Spiral Model）</w:t>
            </w:r>
          </w:p>
        </w:tc>
        <w:tc>
          <w:tcPr>
            <w:tcW w:w="1682" w:type="dxa"/>
            <w:vAlign w:val="top"/>
          </w:tcPr>
          <w:p w14:paraId="41FDC78A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结合迭代和风险管理，围绕风险评估和控制开展软件开发，通过多次迭代逐步完成项目。</w:t>
            </w:r>
          </w:p>
        </w:tc>
        <w:tc>
          <w:tcPr>
            <w:tcW w:w="1685" w:type="dxa"/>
            <w:vAlign w:val="top"/>
          </w:tcPr>
          <w:p w14:paraId="5FEC4AE2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每次迭代都包含需求分析、设计、实现和测试等阶段，同时注重风险分析和规避。</w:t>
            </w:r>
          </w:p>
          <w:p w14:paraId="0BB0019D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适用于大型复杂项目，每次迭代结束后可调整规划。</w:t>
            </w:r>
          </w:p>
        </w:tc>
        <w:tc>
          <w:tcPr>
            <w:tcW w:w="1683" w:type="dxa"/>
            <w:vAlign w:val="top"/>
          </w:tcPr>
          <w:p w14:paraId="74682084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适合风险较高、需求不确定的大型项目，如银行系统、航空控制系统等。</w:t>
            </w:r>
          </w:p>
        </w:tc>
        <w:tc>
          <w:tcPr>
            <w:tcW w:w="1684" w:type="dxa"/>
            <w:vAlign w:val="top"/>
          </w:tcPr>
          <w:p w14:paraId="194CDCFB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重量级模型，适合需要高风险管理的大型项目。</w:t>
            </w:r>
          </w:p>
        </w:tc>
      </w:tr>
      <w:tr w14:paraId="4782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shd w:val="clear" w:color="auto" w:fill="FBE6D6" w:themeFill="accent2" w:themeFillTint="32"/>
            <w:vAlign w:val="top"/>
          </w:tcPr>
          <w:p w14:paraId="5665B3F3">
            <w:pPr>
              <w:rPr>
                <w:rStyle w:val="5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Scrum</w:t>
            </w:r>
          </w:p>
        </w:tc>
        <w:tc>
          <w:tcPr>
            <w:tcW w:w="1682" w:type="dxa"/>
            <w:shd w:val="clear" w:color="auto" w:fill="FBE6D6" w:themeFill="accent2" w:themeFillTint="32"/>
            <w:vAlign w:val="top"/>
          </w:tcPr>
          <w:p w14:paraId="359335CC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一种敏捷开发框架，强调团队协作、快速迭代、反馈循环和适应性调整，以短周期（通常2-4周的冲刺）来逐步开发软件。</w:t>
            </w:r>
          </w:p>
        </w:tc>
        <w:tc>
          <w:tcPr>
            <w:tcW w:w="1685" w:type="dxa"/>
            <w:shd w:val="clear" w:color="auto" w:fill="FBE6D6" w:themeFill="accent2" w:themeFillTint="32"/>
            <w:vAlign w:val="top"/>
          </w:tcPr>
          <w:p w14:paraId="1BDE9C4F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以冲刺为单位的迭代，每个冲刺都以可交付产品增量为目标。</w:t>
            </w:r>
          </w:p>
          <w:p w14:paraId="3ACE83A6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强调团队角色的划分，如产品负责人、Scrum Master和开发团队，频繁的沟通和快速反馈。</w:t>
            </w:r>
          </w:p>
        </w:tc>
        <w:tc>
          <w:tcPr>
            <w:tcW w:w="1683" w:type="dxa"/>
            <w:shd w:val="clear" w:color="auto" w:fill="FBE6D6" w:themeFill="accent2" w:themeFillTint="32"/>
            <w:vAlign w:val="top"/>
          </w:tcPr>
          <w:p w14:paraId="2A5CD99F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适合快速变化的项目，如移动应用开发、互联网产品等，特别是在快速交付和持续改进中。</w:t>
            </w:r>
          </w:p>
        </w:tc>
        <w:tc>
          <w:tcPr>
            <w:tcW w:w="1684" w:type="dxa"/>
            <w:shd w:val="clear" w:color="auto" w:fill="FBE6D6" w:themeFill="accent2" w:themeFillTint="32"/>
            <w:vAlign w:val="top"/>
          </w:tcPr>
          <w:p w14:paraId="7DA3B28C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轻量级模型，灵活性高，适合小型至中型团队的快速开发项目。</w:t>
            </w:r>
          </w:p>
        </w:tc>
      </w:tr>
      <w:tr w14:paraId="52AF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vAlign w:val="top"/>
          </w:tcPr>
          <w:p w14:paraId="4A7C14F7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极限编程（Extreme Programming</w:t>
            </w:r>
            <w:r>
              <w:rPr>
                <w:rStyle w:val="5"/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682" w:type="dxa"/>
            <w:vAlign w:val="top"/>
          </w:tcPr>
          <w:p w14:paraId="0B38170E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极端化敏捷实践，通过频繁发布、简单设计和持续反馈，快速应对需求变化。强调客户参与和代码质量。</w:t>
            </w:r>
          </w:p>
        </w:tc>
        <w:tc>
          <w:tcPr>
            <w:tcW w:w="1685" w:type="dxa"/>
            <w:vAlign w:val="top"/>
          </w:tcPr>
          <w:p w14:paraId="426509FD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短周期的开发迭代，持续集成、测试驱动开发（TDD）、重构和结对编程。</w:t>
            </w:r>
          </w:p>
          <w:p w14:paraId="01807699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强调响应需求变化，代码质量和客户满意度。</w:t>
            </w:r>
          </w:p>
        </w:tc>
        <w:tc>
          <w:tcPr>
            <w:tcW w:w="1683" w:type="dxa"/>
            <w:vAlign w:val="top"/>
          </w:tcPr>
          <w:p w14:paraId="1170ADAB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适用于快速交付和质量要求高的项目，如金融系统、复杂的企业软件开发。</w:t>
            </w:r>
          </w:p>
        </w:tc>
        <w:tc>
          <w:tcPr>
            <w:tcW w:w="1684" w:type="dxa"/>
            <w:vAlign w:val="top"/>
          </w:tcPr>
          <w:p w14:paraId="2729C25F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轻量级模型，适合快速变化且对代码质量要求高的项目。</w:t>
            </w:r>
          </w:p>
        </w:tc>
      </w:tr>
      <w:tr w14:paraId="2651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788" w:type="dxa"/>
            <w:shd w:val="clear" w:color="auto" w:fill="FBE6D6" w:themeFill="accent2" w:themeFillTint="32"/>
            <w:vAlign w:val="top"/>
          </w:tcPr>
          <w:p w14:paraId="5A77EECB">
            <w:pPr>
              <w:rPr>
                <w:vertAlign w:val="baseline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V模型（V-Model）</w:t>
            </w:r>
          </w:p>
        </w:tc>
        <w:tc>
          <w:tcPr>
            <w:tcW w:w="1682" w:type="dxa"/>
            <w:shd w:val="clear" w:color="auto" w:fill="FBE6D6" w:themeFill="accent2" w:themeFillTint="32"/>
            <w:vAlign w:val="top"/>
          </w:tcPr>
          <w:p w14:paraId="66E081B2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以V字形结构进行软件开发，开发阶段和测试阶段紧密对应，确保每个开发阶段都有对应的验证步骤。</w:t>
            </w:r>
          </w:p>
        </w:tc>
        <w:tc>
          <w:tcPr>
            <w:tcW w:w="1685" w:type="dxa"/>
            <w:shd w:val="clear" w:color="auto" w:fill="FBE6D6" w:themeFill="accent2" w:themeFillTint="32"/>
            <w:vAlign w:val="top"/>
          </w:tcPr>
          <w:p w14:paraId="0F418538">
            <w:pPr>
              <w:keepNext w:val="0"/>
              <w:keepLines w:val="0"/>
              <w:widowControl/>
              <w:suppressLineNumbers w:val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每个开发阶段都有对应的测试阶段，强调验证与确认，确保每个功能模块经过严格测试。</w:t>
            </w:r>
          </w:p>
          <w:p w14:paraId="2F7218D0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t>更加结构化且重视测试环节，减少缺陷风险。</w:t>
            </w:r>
          </w:p>
        </w:tc>
        <w:tc>
          <w:tcPr>
            <w:tcW w:w="1683" w:type="dxa"/>
            <w:shd w:val="clear" w:color="auto" w:fill="FBE6D6" w:themeFill="accent2" w:themeFillTint="32"/>
            <w:vAlign w:val="top"/>
          </w:tcPr>
          <w:p w14:paraId="3DC531BD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适合对质量要求高的项目，如医疗设备、航空航天系统。</w:t>
            </w:r>
          </w:p>
        </w:tc>
        <w:tc>
          <w:tcPr>
            <w:tcW w:w="1684" w:type="dxa"/>
            <w:shd w:val="clear" w:color="auto" w:fill="FBE6D6" w:themeFill="accent2" w:themeFillTint="32"/>
            <w:vAlign w:val="top"/>
          </w:tcPr>
          <w:p w14:paraId="6DB24368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重量级模型，适合对质量控制和验证要求高的项目。</w:t>
            </w:r>
          </w:p>
        </w:tc>
      </w:tr>
    </w:tbl>
    <w:p w14:paraId="2A7BA2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4NzlmYmEzOTBkZDkxMTZiYWQwODVlZTAzZTlkODAifQ=="/>
  </w:docVars>
  <w:rsids>
    <w:rsidRoot w:val="00000000"/>
    <w:rsid w:val="47D66AE9"/>
    <w:rsid w:val="6283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2024-10-07T07:48:28Z</dcterms:created>
  <dc:creator>boring</dc:creator>
  <cp:lastModifiedBy>付宝莹</cp:lastModifiedBy>
  <dcterms:modified xsi:type="dcterms:W3CDTF">2024-10-07T08:53:15Z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789EE516B70741FCBF6F03E699EE9BC3_12</vt:lpwstr>
  </property>
</Properties>
</file>