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sz w:val="32"/>
        </w:rPr>
        <w:t>单细胞级数字孪生筛选早产预防用药：模拟排序中叶酸代谢物与阿司匹林+兰索拉唑居前</w:t>
      </w:r>
    </w:p>
    <w:p>
      <w:r>
        <w:rPr>
          <w:rFonts w:ascii="宋体" w:hAnsi="宋体" w:eastAsia="Songti SC"/>
          <w:b w:val="0"/>
        </w:rPr>
        <w:t>10月21日，Stanford大学团队在Science Advances发表研究，提出单细胞级数字孪生框架SIMCO（Simulated Immunome Modeling of Clinical Outcomes），模拟九种候选药物对免疫系统与分娩时间的影响，为自发性早产（sPTL）的预防策略做计算筛选。</w:t>
      </w:r>
    </w:p>
    <w:p>
      <w:r>
        <w:rPr>
          <w:rFonts w:ascii="宋体" w:hAnsi="宋体" w:eastAsia="Songti SC"/>
          <w:b/>
          <w:sz w:val="26"/>
        </w:rPr>
        <w:t>早产为什么需要"模拟用药"</w:t>
      </w:r>
    </w:p>
    <w:p>
      <w:r>
        <w:rPr>
          <w:rFonts w:ascii="宋体" w:hAnsi="宋体" w:eastAsia="Songti SC"/>
          <w:b w:val="0"/>
        </w:rPr>
        <w:t>早产（不满37周分娩）是全球5岁以下儿童死亡的首要原因，约每10次妊娠就有1次以早产结束，其中60%到70%为自发性早产。现有预防手段（低剂量阿司匹林、孕酮）在临床试验中效果温和且不一致，而在孕妇身上做新药试验面临伦理与经费的双重限制。免疫适应失调被认为是sPTL的重要驱动，但已有数字孪生模型缺乏单细胞分辨率，难以捕捉细胞类型特异的机制与脱靶效应。</w:t>
      </w:r>
    </w:p>
    <w:p>
      <w:r>
        <w:rPr>
          <w:rFonts w:ascii="宋体" w:hAnsi="宋体" w:eastAsia="Songti SC"/>
          <w:b/>
          <w:sz w:val="26"/>
        </w:rPr>
        <w:t>三步搭起一个"免疫数字孪生"</w:t>
      </w:r>
    </w:p>
    <w:p>
      <w:r>
        <w:rPr>
          <w:rFonts w:ascii="宋体" w:hAnsi="宋体" w:eastAsia="Songti SC"/>
          <w:b w:val="0"/>
        </w:rPr>
        <w:t>SIMCO分三步：先用最优传输模型CellOT在高维单细胞扰动数据上学习"药物+刺激"如何改变各细胞类型的蛋白表达；再把学到的单细胞行为投影到一个只有基线样本、但带临床结局的独立队列，为每名患者生成"用药"与"不用药"两个版本的数字孪生；最后用稀疏机器学习算法Stabl建模结局"距自然分娩的时间"，两个孪生的预测差即该药物的模拟效应。框架全貌见论文Figur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954271"/>
            <wp:docPr id="1" name="Picture 1" descr="框架全貌见论文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框架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（来源：Science Advances 12, eaed2741，Figure 1）</w:t>
      </w:r>
    </w:p>
    <w:p>
      <w:r>
        <w:rPr>
          <w:rFonts w:ascii="宋体" w:hAnsi="宋体" w:eastAsia="Songti SC"/>
          <w:b w:val="0"/>
        </w:rPr>
        <w:t>训练数据是团队新建的质谱流式扰动图谱：8名非孕与11名孕20-27周的女性，96孔外显全血免疫分析，9种候选药（8种单药加1个组合）——氯噻酮、马普替林、二甲双胍、兰索拉唑、普伐他汀、利福布汀、水杨酸（SA，阿司匹林活性代谢物）、SA+兰索拉唑（SALPZ）与5-甲基四氢叶酸（THF，叶酸活性代谢物），全部为FDA妊娠A/B类口服药，由已发表的计算药物重定位管线预选，实验浓度按口服标准剂量后的血浆水平设定（各药剂量与浓度见论文Table 2）。图谱总计2.18亿个白细胞、80个扰动场景。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528578"/>
            <wp:docPr id="2" name="Picture 2" descr="各药剂量与浓度见论文Tabl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2_候选药物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2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（来源：Science Advances 12, eaed2741，Table 2）</w:t>
      </w:r>
    </w:p>
    <w:p>
      <w:r>
        <w:rPr>
          <w:rFonts w:ascii="宋体" w:hAnsi="宋体" w:eastAsia="Songti SC"/>
          <w:b/>
          <w:sz w:val="26"/>
        </w:rPr>
        <w:t>模拟先过验证关，再上独立队列</w:t>
      </w:r>
    </w:p>
    <w:p>
      <w:r>
        <w:rPr>
          <w:rFonts w:ascii="宋体" w:hAnsi="宋体" w:eastAsia="Songti SC"/>
          <w:b w:val="0"/>
        </w:rPr>
        <w:t>在扰动图谱内的四折交叉验证中，SIMCO对单细胞响应的模拟在MAE、R2与MMD三项指标上均优于两个基线，模拟误差与患者间真实变异的相关达Spearman R=0.93（验证设计见论文Figure 4）。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4059061"/>
            <wp:docPr id="3" name="Picture 3" descr="验证设计见论文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4_模拟验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5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（来源：Science Advances 12, eaed2741，Figure 4）</w:t>
      </w:r>
    </w:p>
    <w:p>
      <w:r>
        <w:rPr>
          <w:rFonts w:ascii="宋体" w:hAnsi="宋体" w:eastAsia="Songti SC"/>
          <w:b w:val="0"/>
        </w:rPr>
        <w:t>随后SIMCO被用于独立纵向队列：Stelzer等人采集的177份血样、63名孕妇，覆盖孕末期120天，含5名sPTL患者的14份样本。基于未用药数字孪生，SIMCO预测距分娩时间为Pearson R=0.64、RMSE 24.1天（足月样本24.0天，早产样本25.4天）；区分早产与足月样本的AUROC为0.75（95%CI 0.59-0.88）。加入CellOT模拟的刺激响应特征后，R从0.34提高到0.61。</w:t>
      </w:r>
    </w:p>
    <w:p>
      <w:r>
        <w:rPr>
          <w:rFonts w:ascii="宋体" w:hAnsi="宋体" w:eastAsia="Songti SC"/>
          <w:b/>
          <w:sz w:val="26"/>
        </w:rPr>
        <w:t>模拟排序：THF、马普替林、SALPZ居前</w:t>
      </w:r>
    </w:p>
    <w:p>
      <w:r>
        <w:rPr>
          <w:rFonts w:ascii="宋体" w:hAnsi="宋体" w:eastAsia="Songti SC"/>
          <w:b w:val="0"/>
        </w:rPr>
        <w:t>在"药物能把分娩时间推迟多久"的模拟中，THF的代理效应最大：平均延长24.7天（IQR 11.4-45.9），其次马普替林18.8天（IQR 8.6-27.5）、SALPZ 17.3天（IQR 3.5-33.8）。按患者看，THF、SALPZ、马普替林分别让90.5%、87.3%、82.5%的孕妇在模拟中延长孕周，单用SA只有46%（各药效应与机制见论文Figure 5）。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6714475"/>
            <wp:docPr id="4" name="Picture 4" descr="各药效应与机制见论文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5_药物效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（来源：Science Advances 12, eaed2741，Figure 5）</w:t>
      </w:r>
    </w:p>
    <w:p>
      <w:r>
        <w:rPr>
          <w:rFonts w:ascii="宋体" w:hAnsi="宋体" w:eastAsia="Songti SC"/>
          <w:b w:val="0"/>
        </w:rPr>
        <w:t>机制上，论文归纳：THF与SALPZ主要通过抑制初始CD4+ T细胞的pSTAT3信号（JAK/STAT通路）与增强粒细胞pS6响应（mTOR通路）延迟分娩相关的免疫演变，两者对模型前10个关键特征中的7个产生期望方向的调节。作者同时指出，马普替林虽排第二，但作为已停用抗抑郁药、副作用多，作为预防策略吸引力低；SALPZ则因阿司匹林单药已有轻度降低sPTL的试验证据，被视为值得临床评估的组合。</w:t>
      </w:r>
    </w:p>
    <w:p>
      <w:r>
        <w:rPr>
          <w:rFonts w:ascii="宋体" w:hAnsi="宋体" w:eastAsia="Songti SC"/>
          <w:b/>
          <w:sz w:val="26"/>
        </w:rPr>
        <w:t>这些数字是模拟，边界在哪里</w:t>
      </w:r>
    </w:p>
    <w:p>
      <w:r>
        <w:rPr>
          <w:rFonts w:ascii="宋体" w:hAnsi="宋体" w:eastAsia="Songti SC"/>
          <w:b w:val="0"/>
        </w:rPr>
        <w:t>论文反复明确：药物效应全部来自in silico模拟，不是临床试验结果。其他限制包括：训练图谱只有19人、集中于孕中期一个窗口、只取外周血；独立队列中早产患者仅5人，限制了对早产特异免疫适应的建模；实验只测2小时内的急性磷酸化信号；药物按单次给药模拟，重复用药的累积效应只能近似。作者将SIMCO定位为概念验证，用于早期化合物优先级排序与机制假设生成，转化为预防策略还需跨孕周大队列、动物实验与前瞻性临床验证。</w:t>
      </w:r>
    </w:p>
    <w:p>
      <w:r>
        <w:rPr>
          <w:rFonts w:ascii="宋体" w:hAnsi="宋体" w:eastAsia="Songti SC"/>
          <w:b w:val="0"/>
        </w:rPr>
        <w:t>论文：Single-cell-level digital twins for preterm birth prevention strategies, Science Advances 12, eaed2741（2026年10月21日在线），Einhaus、Neidlinger、Fondeur等共同第一作者，通讯作者Brice Gaudilliere、Nima Aghaeepour（Stanford大学）。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