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Songti SC"/>
          <w:b/>
          <w:i w:val="0"/>
          <w:sz w:val="32"/>
        </w:rPr>
        <w:t>1型糖尿病数字孪生评价的一个反直觉结果：预测最准的模型，治疗排序接近随机</w:t>
      </w:r>
    </w:p>
    <w:p>
      <w:pPr>
        <w:jc w:val="center"/>
      </w:pPr>
      <w:r>
        <w:rPr>
          <w:rFonts w:ascii="宋体" w:hAnsi="宋体" w:eastAsia="Songti SC"/>
          <w:b w:val="0"/>
          <w:i w:val="0"/>
          <w:sz w:val="24"/>
        </w:rPr>
        <w:t>—— 把评价标准从"轨迹算得准"换成"方案排得对"之后</w:t>
      </w:r>
    </w:p>
    <w:p>
      <w:r>
        <w:rPr>
          <w:rFonts w:ascii="宋体" w:hAnsi="宋体" w:eastAsia="Songti SC"/>
          <w:b w:val="0"/>
          <w:i w:val="0"/>
        </w:rPr>
        <w:t>做数字孪生和虚拟试验的团队，最终要回答的往往是同一个问题：对这位患者，哪种治疗方案更好。而目前衡量这类孪生好坏的主流指标，是预测血糖轨迹与真实轨迹的误差（比如RMSE）。轨迹本身不是目的——轨迹会被换算成低血糖风险、高血糖暴露这类统计量，用来给候选方案排序。轨迹算得准，不等于最后排出来的顺序对。</w:t>
      </w:r>
    </w:p>
    <w:p>
      <w:r>
        <w:rPr>
          <w:rFonts w:ascii="宋体" w:hAnsi="宋体" w:eastAsia="Songti SC"/>
          <w:b w:val="0"/>
          <w:i w:val="0"/>
        </w:rPr>
        <w:t>10月22日，Emory大学团队（Victor Li、Shengpu Tang等）在arXiv发布预印本《Evaluating Type-1 Diabetes Digital Twins by Decision Quality》，用FDA接受的UVA/Padova模拟器构造30名虚拟1型糖尿病患者、每人21种基础-餐时胰岛素方案，直接以"治疗排序质量"为标准评价六种孪生方法，得到一个刺眼的结果：血糖轨迹预测最准的黑箱模型，给方案排序时接近随机；预测精度最差的"平均患者"基线，排序却排在第二。[1]</w:t>
      </w:r>
    </w:p>
    <w:p>
      <w:r>
        <w:rPr>
          <w:rFonts w:ascii="宋体" w:hAnsi="宋体" w:eastAsia="Songti SC"/>
          <w:b w:val="0"/>
          <w:i w:val="0"/>
        </w:rPr>
        <w:t>这篇论文值得细读，因为它把三个问题拆开了：</w:t>
      </w:r>
      <w:r>
        <w:rPr>
          <w:rFonts w:ascii="宋体" w:hAnsi="宋体" w:eastAsia="Songti SC"/>
          <w:b/>
          <w:i w:val="0"/>
        </w:rPr>
        <w:t>预测精度与决策质量为什么会脱钩？</w:t>
      </w:r>
      <w:r>
        <w:rPr>
          <w:rFonts w:ascii="宋体" w:hAnsi="宋体" w:eastAsia="Songti SC"/>
          <w:b w:val="0"/>
          <w:i w:val="0"/>
        </w:rPr>
        <w:t xml:space="preserve"> </w:t>
      </w:r>
      <w:r>
        <w:rPr>
          <w:rFonts w:ascii="宋体" w:hAnsi="宋体" w:eastAsia="Songti SC"/>
          <w:b/>
          <w:i w:val="0"/>
        </w:rPr>
        <w:t>多大的算力投入才换得来正确的排序？</w:t>
      </w:r>
      <w:r>
        <w:rPr>
          <w:rFonts w:ascii="宋体" w:hAnsi="宋体" w:eastAsia="Songti SC"/>
          <w:b w:val="0"/>
          <w:i w:val="0"/>
        </w:rPr>
        <w:t xml:space="preserve"> </w:t>
      </w:r>
      <w:r>
        <w:rPr>
          <w:rFonts w:ascii="宋体" w:hAnsi="宋体" w:eastAsia="Songti SC"/>
          <w:b/>
          <w:i w:val="0"/>
        </w:rPr>
        <w:t>这给数字孪生的评价标准提了什么醒？</w:t>
      </w:r>
    </w:p>
    <w:p>
      <w:pPr>
        <w:jc w:val="center"/>
      </w:pPr>
      <w:r>
        <w:rPr>
          <w:rFonts w:ascii="宋体" w:hAnsi="宋体" w:eastAsia="Songti SC"/>
        </w:rPr>
        <w:drawing>
          <wp:inline xmlns:a="http://schemas.openxmlformats.org/drawingml/2006/main" xmlns:pic="http://schemas.openxmlformats.org/drawingml/2006/picture">
            <wp:extent cx="5577840" cy="1821238"/>
            <wp:docPr id="1" name="Picture 1" descr="论文Figure 1，两个指标下的临界差异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原图_Figure1_决策质量对比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821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i w:val="0"/>
          <w:sz w:val="18"/>
        </w:rPr>
        <w:t>（来源：arXiv:2610.30577v1，Figure 1）</w:t>
      </w:r>
    </w:p>
    <w:p>
      <w:r>
        <w:rPr>
          <w:rFonts w:ascii="宋体" w:hAnsi="宋体" w:eastAsia="Songti SC"/>
          <w:b/>
          <w:i w:val="0"/>
          <w:sz w:val="26"/>
        </w:rPr>
        <w:t>把评价标准换成"治疗排序对不对"，六种方法的高下立刻重排。</w:t>
      </w:r>
    </w:p>
    <w:p>
      <w:r>
        <w:rPr>
          <w:rFonts w:ascii="宋体" w:hAnsi="宋体" w:eastAsia="Songti SC"/>
          <w:b w:val="0"/>
          <w:i w:val="0"/>
        </w:rPr>
        <w:t>作者比较了六种方法：ReplayBG式的贝叶斯辨识（MCMC）、仿真推断SBI（掩码自回归流的神经后验估计）、无迹卡尔曼滤波UKF、岭回归的线性响应模型、两层64单元的多层感知机神经网络，以及一个完全不使用个体数据、只用人群先验的"平均患者"基线Prior。每名患者在一个方案的观测数据上拟合孪生，预测其余20个方案的血糖轨迹，每条轨迹经一个血糖风险核（正常血糖区间接近零、向低血糖和高血糖不对称增长）打分；决策质量就是孪生排出的方案顺序与模拟器真实顺序的Spearman秩相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Songti SC"/>
                <w:b/>
                <w:i w:val="0"/>
                <w:sz w:val="20"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Songti SC"/>
                <w:b/>
                <w:i w:val="0"/>
                <w:sz w:val="20"/>
              </w:rPr>
              <w:t>轨迹预测RMSE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Songti SC"/>
                <w:b/>
                <w:i w:val="0"/>
                <w:sz w:val="20"/>
              </w:rPr>
              <w:t>治疗排序Spearman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Songti SC"/>
                <w:b/>
                <w:i w:val="0"/>
                <w:sz w:val="20"/>
              </w:rPr>
              <w:t>每例成本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平均患者基线Prior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63.6 mg/dL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0.766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约175秒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黑箱神经网络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32.9 mg/dL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0.049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约2.4秒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仿真推断SBI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未报告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0.728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未报告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MCMC贝叶斯辨识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未报告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未报告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约8小时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线性响应模型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未报告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未报告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约0.1秒</w:t>
            </w:r>
          </w:p>
        </w:tc>
      </w:tr>
    </w:tbl>
    <w:p>
      <w:r>
        <w:rPr>
          <w:rFonts w:ascii="宋体" w:hAnsi="宋体" w:eastAsia="Songti SC"/>
          <w:b w:val="0"/>
          <w:i/>
          <w:sz w:val="18"/>
        </w:rPr>
        <w:t>数据来源：原文正文与Table 6报告值；"未报告"指本次可见材料未给出该数值。</w:t>
      </w:r>
    </w:p>
    <w:p>
      <w:r>
        <w:rPr>
          <w:rFonts w:ascii="宋体" w:hAnsi="宋体" w:eastAsia="Songti SC"/>
          <w:b w:val="0"/>
          <w:i w:val="0"/>
        </w:rPr>
        <w:t>结果是预测精度和决策质量分道扬镳：神经网络的轨迹预测几乎比基线准一倍，排序的0.049却与随机打乱20个方案没有差别；SBI的0.728与平均患者基线在统计上无法区分（p=0.39）。论文用Friedman检验加多重校正的逐对Wilcoxon检验确认，这些分离在30名患者上成立；Figure 1的临界差异图直观展示了两个指标下方法排名的翻转。[1]</w:t>
      </w:r>
    </w:p>
    <w:p>
      <w:r>
        <w:rPr>
          <w:rFonts w:ascii="宋体" w:hAnsi="宋体" w:eastAsia="Songti SC"/>
          <w:b/>
          <w:i w:val="0"/>
          <w:sz w:val="26"/>
        </w:rPr>
        <w:t>排序只吃"相对高低"，不吃"逐点吻合"。</w:t>
      </w:r>
    </w:p>
    <w:p>
      <w:r>
        <w:rPr>
          <w:rFonts w:ascii="宋体" w:hAnsi="宋体" w:eastAsia="Songti SC"/>
          <w:b w:val="0"/>
          <w:i w:val="0"/>
        </w:rPr>
        <w:t>论文的解释思路并不复杂：风险核把整条轨迹压缩成一个标量分数，排序只取决于分数的相对高低，而不要求轨迹逐点吻合。一个只用人群先验的模型，虽然画不准这位患者的血糖曲线，但只要捕捉到"剂量加大、风险结构如何移动"的总体方向，排序就可能大体正确；反过来，对轨迹细节拟合得很好的黑箱模型，可能在各方案的分数差异上产生系统性偏差，把不该排前面的方案排到前面。</w:t>
      </w:r>
    </w:p>
    <w:p>
      <w:r>
        <w:rPr>
          <w:rFonts w:ascii="宋体" w:hAnsi="宋体" w:eastAsia="Songti SC"/>
          <w:b w:val="0"/>
          <w:i w:val="0"/>
        </w:rPr>
        <w:t>计算成本把这个结论变得更实际：MCMC约8小时，平均患者基线约175秒，神经网络约2.4秒，线性响应模型只要约0.1秒。如果精度与决策质量脱钩，那么"花大力气拟合高精度轨迹"的做法，在以辅助治疗选择为目标的场景里就未必是正确的投入方向。</w:t>
      </w:r>
    </w:p>
    <w:p>
      <w:r>
        <w:rPr>
          <w:rFonts w:ascii="宋体" w:hAnsi="宋体" w:eastAsia="Songti SC"/>
          <w:b/>
          <w:i w:val="0"/>
          <w:sz w:val="26"/>
        </w:rPr>
        <w:t>全部证据来自一个模拟器，这是一篇预印本。</w:t>
      </w:r>
    </w:p>
    <w:p>
      <w:r>
        <w:rPr>
          <w:rFonts w:ascii="宋体" w:hAnsi="宋体" w:eastAsia="Songti SC"/>
          <w:b w:val="0"/>
          <w:i w:val="0"/>
        </w:rPr>
        <w:t>几点限制论文自己也写得很清楚：全部证据来自UVA/Padova这一个模拟器的回顾性仿真，没有真实患者数据或前瞻性验证；30名虚拟患者的规模有限；风险核的形状、24小时预测窗口这些设计选择会影响结论的强度，作者也提醒不知道换一个风险核后背离还剩多少。论文随附了代码可以复现，但尚未经同行评审。[1]</w:t>
      </w:r>
    </w:p>
    <w:p>
      <w:r>
        <w:rPr>
          <w:rFonts w:ascii="宋体" w:hAnsi="宋体" w:eastAsia="Songti SC"/>
          <w:b w:val="0"/>
          <w:i w:val="0"/>
        </w:rPr>
        <w:t>对做数字孪生和虚拟试验的团队，这篇论文的价值不在提出了新模型，而在给评价标准提了个醒：如果你的孪生最终要回答的是"哪个方案更好"，就应该直接评价它排序排得对不对——这个性质不会因为轨迹预测精度的提高而自动到来。</w:t>
      </w:r>
    </w:p>
    <w:p>
      <w:r>
        <w:rPr>
          <w:rFonts w:ascii="宋体" w:hAnsi="宋体" w:eastAsia="Songti SC"/>
          <w:b/>
          <w:i w:val="0"/>
          <w:sz w:val="26"/>
        </w:rPr>
        <w:t>参考文献</w:t>
      </w:r>
    </w:p>
    <w:p>
      <w:r>
        <w:rPr>
          <w:rFonts w:ascii="宋体" w:hAnsi="宋体" w:eastAsia="Songti SC"/>
          <w:b w:val="0"/>
          <w:i w:val="0"/>
          <w:sz w:val="20"/>
        </w:rPr>
        <w:t xml:space="preserve">[1] Li V, Tucker O, Hughes MS, Prioleau T, Tang S. Evaluating Type-1 Diabetes Digital Twins by Decision Quality. </w:t>
      </w:r>
      <w:r>
        <w:rPr>
          <w:rFonts w:ascii="宋体" w:hAnsi="宋体" w:eastAsia="Songti SC"/>
          <w:b w:val="0"/>
          <w:i/>
          <w:sz w:val="20"/>
        </w:rPr>
        <w:t>arXiv预印本</w:t>
      </w:r>
      <w:r>
        <w:rPr>
          <w:rFonts w:ascii="宋体" w:hAnsi="宋体" w:eastAsia="Songti SC"/>
          <w:b w:val="0"/>
          <w:i w:val="0"/>
          <w:sz w:val="20"/>
        </w:rPr>
        <w:t xml:space="preserve"> arXiv:2610.30577v1，2026年10月22日提交（Emory University计算机系与医学院），随附复现代码。</w:t>
      </w:r>
    </w:p>
    <w:p>
      <w:r>
        <w:rPr>
          <w:rFonts w:ascii="宋体" w:hAnsi="宋体" w:eastAsia="Songti SC"/>
          <w:b w:val="0"/>
          <w:i/>
          <w:sz w:val="20"/>
        </w:rPr>
        <w:t>本文为文献解读。研究结果与临床启示分别表述，文中讨论不构成临床试验设计或患者管理的操作建议。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