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sz w:val="32"/>
          <w:szCs w:val="32"/>
        </w:rPr>
      </w:pPr>
      <w:r>
        <w:rPr>
          <w:rFonts w:hint="eastAsia"/>
          <w:sz w:val="32"/>
          <w:szCs w:val="32"/>
        </w:rPr>
        <w:t>项目名称：易果生鲜</w:t>
      </w:r>
    </w:p>
    <w:p>
      <w:pPr>
        <w:spacing w:line="220" w:lineRule="atLeast"/>
        <w:rPr>
          <w:sz w:val="32"/>
          <w:szCs w:val="32"/>
        </w:rPr>
      </w:pPr>
    </w:p>
    <w:p>
      <w:pPr>
        <w:spacing w:line="220" w:lineRule="atLeast"/>
        <w:rPr>
          <w:sz w:val="32"/>
          <w:szCs w:val="32"/>
        </w:rPr>
      </w:pPr>
    </w:p>
    <w:p>
      <w:pPr>
        <w:pStyle w:val="5"/>
        <w:numPr>
          <w:ilvl w:val="0"/>
          <w:numId w:val="1"/>
        </w:numPr>
        <w:spacing w:line="220" w:lineRule="atLeas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首页index.html</w:t>
      </w:r>
    </w:p>
    <w:p>
      <w:pPr>
        <w:spacing w:line="220" w:lineRule="atLeast"/>
      </w:pPr>
      <w:r>
        <w:rPr>
          <w:rFonts w:hint="eastAsia"/>
          <w:sz w:val="28"/>
          <w:szCs w:val="28"/>
        </w:rPr>
        <w:t>1.</w:t>
      </w:r>
      <w:r>
        <w:t xml:space="preserve"> </w:t>
      </w:r>
      <w:r>
        <w:rPr>
          <w:rFonts w:hint="eastAsia"/>
          <w:sz w:val="24"/>
          <w:szCs w:val="24"/>
        </w:rPr>
        <w:t>head部分</w:t>
      </w:r>
    </w:p>
    <w:p>
      <w:pPr>
        <w:spacing w:line="220" w:lineRule="atLeast"/>
        <w:rPr>
          <w:sz w:val="28"/>
          <w:szCs w:val="28"/>
        </w:rPr>
      </w:pPr>
      <w:r>
        <w:drawing>
          <wp:inline distT="0" distB="0" distL="0" distR="0">
            <wp:extent cx="4972050" cy="30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(1)点击登录，链接到登录界面；</w:t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(2)点击注册，链接到注册界面；</w:t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(3)鼠标划入我的易果和手机易果，显示下拉菜单及二维码，右侧三角有旋转效果（css3实现）。</w:t>
      </w:r>
    </w:p>
    <w:p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2.header部分</w:t>
      </w:r>
    </w:p>
    <w:p>
      <w:pPr>
        <w:spacing w:line="220" w:lineRule="atLeast"/>
        <w:rPr>
          <w:sz w:val="28"/>
          <w:szCs w:val="28"/>
        </w:rPr>
      </w:pPr>
      <w:r>
        <w:drawing>
          <wp:inline distT="0" distB="0" distL="0" distR="0">
            <wp:extent cx="5274310" cy="273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(1)</w:t>
      </w:r>
      <w:r>
        <w:t xml:space="preserve"> </w:t>
      </w:r>
      <w:r>
        <w:drawing>
          <wp:inline distT="0" distB="0" distL="0" distR="0">
            <wp:extent cx="1647825" cy="676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点击易果生鲜logo图可以跳转到首页</w:t>
      </w:r>
    </w:p>
    <w:p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(2)</w:t>
      </w:r>
      <w:r>
        <w:t xml:space="preserve"> </w:t>
      </w:r>
      <w:r>
        <w:drawing>
          <wp:inline distT="0" distB="0" distL="0" distR="0">
            <wp:extent cx="1800225" cy="600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右侧购物车可以实时查看购物车内商品数量及价格，点击后链接到购物车界面（此时购物车内商品为空）。</w:t>
      </w:r>
    </w:p>
    <w:p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3.banner部分</w:t>
      </w:r>
    </w:p>
    <w:p>
      <w:pPr>
        <w:spacing w:line="220" w:lineRule="atLeast"/>
        <w:rPr>
          <w:sz w:val="28"/>
          <w:szCs w:val="28"/>
        </w:rPr>
      </w:pPr>
      <w:r>
        <w:drawing>
          <wp:inline distT="0" distB="0" distL="0" distR="0">
            <wp:extent cx="5274310" cy="21342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(1)轮播图通过jQuery和css3实现;</w:t>
      </w:r>
    </w:p>
    <w:p>
      <w:pPr>
        <w:spacing w:line="220" w:lineRule="atLeast"/>
        <w:ind w:firstLine="720"/>
      </w:pPr>
      <w:r>
        <w:rPr>
          <w:rFonts w:hint="eastAsia"/>
          <w:sz w:val="28"/>
          <w:szCs w:val="28"/>
        </w:rPr>
        <w:t>(2)</w:t>
      </w:r>
      <w:r>
        <w:t xml:space="preserve"> </w:t>
      </w:r>
      <w:r>
        <w:rPr>
          <w:color w:val="FF0000"/>
          <w:highlight w:val="yellow"/>
        </w:rPr>
        <w:drawing>
          <wp:inline distT="0" distB="0" distL="0" distR="0">
            <wp:extent cx="4791075" cy="4800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左侧菜单导航，鼠标划入显示商品子菜单，菜单内所有数据通过goodsList.json获取，点击“全部商品分类”，可以收起展开菜单导航。</w:t>
      </w:r>
    </w:p>
    <w:p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4.main部分</w:t>
      </w:r>
    </w:p>
    <w:p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(1)五层商品，每层商品鼠标划入有向右移动的效果；</w:t>
      </w:r>
    </w:p>
    <w:p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(2)</w:t>
      </w:r>
      <w:r>
        <w:t xml:space="preserve"> </w:t>
      </w:r>
      <w:r>
        <w:drawing>
          <wp:inline distT="0" distB="0" distL="0" distR="0">
            <wp:extent cx="1838325" cy="409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点击链接到商品列表界面</w:t>
      </w:r>
    </w:p>
    <w:p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5.侧边栏部分</w:t>
      </w:r>
    </w:p>
    <w:p>
      <w:pPr>
        <w:spacing w:line="220" w:lineRule="atLeast"/>
        <w:ind w:firstLine="720"/>
      </w:pPr>
      <w:r>
        <w:rPr>
          <w:rFonts w:hint="eastAsia"/>
          <w:sz w:val="28"/>
          <w:szCs w:val="28"/>
        </w:rPr>
        <w:t>(1)</w:t>
      </w:r>
      <w:r>
        <w:t xml:space="preserve"> </w:t>
      </w:r>
      <w:r>
        <w:drawing>
          <wp:inline distT="0" distB="0" distL="0" distR="0">
            <wp:extent cx="323850" cy="20669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鼠标向下滑到一定距离，左侧出现楼梯链接，点击后，界面显示点击部分的楼层；</w:t>
      </w:r>
    </w:p>
    <w:p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(2)当鼠标滑过一个可视区高度时，右下角出现“top”图标</w:t>
      </w:r>
      <w:r>
        <w:drawing>
          <wp:inline distT="0" distB="0" distL="0" distR="0">
            <wp:extent cx="600075" cy="1143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，点击后返回顶部；</w:t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(3)</w:t>
      </w:r>
    </w:p>
    <w:p>
      <w:pPr>
        <w:spacing w:line="220" w:lineRule="atLeast"/>
        <w:rPr>
          <w:sz w:val="28"/>
          <w:szCs w:val="28"/>
        </w:rPr>
      </w:pPr>
      <w:r>
        <w:drawing>
          <wp:inline distT="0" distB="0" distL="0" distR="0">
            <wp:extent cx="5274310" cy="1930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屏幕上方出现吸顶menu栏，可以实时查看购物车内商品数量和价格。</w:t>
      </w:r>
    </w:p>
    <w:p>
      <w:pPr>
        <w:pStyle w:val="5"/>
        <w:numPr>
          <w:ilvl w:val="0"/>
          <w:numId w:val="1"/>
        </w:numPr>
        <w:spacing w:line="220" w:lineRule="atLeas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注册register.html</w:t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(1)</w:t>
      </w:r>
    </w:p>
    <w:p>
      <w:pPr>
        <w:spacing w:line="220" w:lineRule="atLeast"/>
        <w:rPr>
          <w:sz w:val="28"/>
          <w:szCs w:val="28"/>
        </w:rPr>
      </w:pPr>
      <w:r>
        <w:drawing>
          <wp:inline distT="0" distB="0" distL="0" distR="0">
            <wp:extent cx="4352925" cy="609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点击“手机注册”和“邮箱注册”，显示不同注册方式的界面</w:t>
      </w:r>
    </w:p>
    <w:p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  <w:sz w:val="28"/>
          <w:szCs w:val="28"/>
        </w:rPr>
        <w:t>(2)以“手机注册”方式为例：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4352925" cy="39909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①点击 “换一张”，即可更换验证码图片；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②手机号不能为空且格式为中国大陆11位手机号码；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③正确输入手机号后点击获取验证码，60秒内输入；超时重新获取（此处验证码随便输入6位数字即可）；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④密码不能为空并且格式正确，验证密码要求两次密码一致；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⑤可以通过tab键切换到下一个输入框；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以上信息输入错误会根据错误情况提示不同信息。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4917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(3)在填完个人信息并且没有提示错误的情况下点击“立即注册”按钮即可完成注册，界面自动跳转到登录界面。</w:t>
      </w:r>
    </w:p>
    <w:p>
      <w:pPr>
        <w:rPr>
          <w:sz w:val="28"/>
          <w:szCs w:val="28"/>
        </w:rPr>
      </w:pPr>
      <w:bookmarkStart w:id="0" w:name="_GoBack"/>
      <w:r>
        <w:drawing>
          <wp:inline distT="0" distB="0" distL="0" distR="0">
            <wp:extent cx="4305300" cy="142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numPr>
          <w:ilvl w:val="0"/>
          <w:numId w:val="1"/>
        </w:numPr>
        <w:spacing w:line="220" w:lineRule="atLeas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登录login.html</w:t>
      </w:r>
    </w:p>
    <w:p>
      <w:pPr>
        <w:spacing w:line="220" w:lineRule="atLeast"/>
        <w:rPr>
          <w:b/>
          <w:sz w:val="28"/>
          <w:szCs w:val="28"/>
        </w:rPr>
      </w:pPr>
      <w:r>
        <w:drawing>
          <wp:inline distT="0" distB="0" distL="0" distR="0">
            <wp:extent cx="3048000" cy="30384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(1)输入刚才注册的手机号码和密码，匹配一致即可登录成功，界面跳转到首页；不一致则提示错误；</w:t>
      </w:r>
    </w:p>
    <w:p>
      <w:pPr>
        <w:spacing w:line="220" w:lineRule="atLeast"/>
        <w:ind w:left="720"/>
        <w:rPr>
          <w:sz w:val="28"/>
          <w:szCs w:val="28"/>
        </w:rPr>
      </w:pPr>
      <w:r>
        <w:drawing>
          <wp:inline distT="0" distB="0" distL="0" distR="0">
            <wp:extent cx="4229100" cy="13906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(2)点击图形验证码换一张即可更换验证码图片，未输入验证码会提示信息。</w:t>
      </w:r>
    </w:p>
    <w:p>
      <w:pPr>
        <w:spacing w:line="220" w:lineRule="atLeast"/>
        <w:ind w:left="720"/>
        <w:rPr>
          <w:sz w:val="28"/>
          <w:szCs w:val="28"/>
        </w:rPr>
      </w:pPr>
      <w:r>
        <w:drawing>
          <wp:inline distT="0" distB="0" distL="0" distR="0">
            <wp:extent cx="3228975" cy="26003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line="220" w:lineRule="atLeas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商品列表products.html</w:t>
      </w:r>
    </w:p>
    <w:p>
      <w:pPr>
        <w:spacing w:line="220" w:lineRule="atLeast"/>
        <w:ind w:firstLine="7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(1)</w:t>
      </w:r>
      <w:r>
        <w:drawing>
          <wp:inline distT="0" distB="0" distL="0" distR="0">
            <wp:extent cx="1762125" cy="771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点击首页菜单里的“进口水果”，可跳转到商品列表页面；</w:t>
      </w:r>
    </w:p>
    <w:p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(2)商品列表页通过products.json获取数据。</w:t>
      </w:r>
    </w:p>
    <w:p>
      <w:r>
        <w:rPr>
          <w:rFonts w:hint="eastAsia"/>
        </w:rPr>
        <w:tab/>
      </w:r>
      <w:r>
        <w:rPr>
          <w:rFonts w:hint="eastAsia"/>
          <w:sz w:val="28"/>
          <w:szCs w:val="28"/>
        </w:rPr>
        <w:t>(3)</w:t>
      </w:r>
      <w:r>
        <w:t xml:space="preserve"> </w:t>
      </w:r>
      <w:r>
        <w:drawing>
          <wp:inline distT="0" distB="0" distL="0" distR="0">
            <wp:extent cx="2743200" cy="3409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鼠标划入商品列表，显示“加入购物车”按钮，点击加入购物车，就可将此商品加入购物车；屏幕上方以及header中的购物车内的数量和价格随即发生变化</w:t>
      </w:r>
      <w:r>
        <w:drawing>
          <wp:inline distT="0" distB="0" distL="0" distR="0">
            <wp:extent cx="1676400" cy="438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。</w:t>
      </w:r>
    </w:p>
    <w:p>
      <w:pPr>
        <w:pStyle w:val="5"/>
        <w:numPr>
          <w:ilvl w:val="0"/>
          <w:numId w:val="1"/>
        </w:numPr>
        <w:spacing w:line="220" w:lineRule="atLeas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商品详情blueberry.html</w:t>
      </w:r>
    </w:p>
    <w:p>
      <w:pPr>
        <w:spacing w:line="220" w:lineRule="atLeast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(1)</w:t>
      </w:r>
      <w:r>
        <w:t xml:space="preserve"> </w:t>
      </w:r>
      <w:r>
        <w:drawing>
          <wp:inline distT="0" distB="0" distL="0" distR="0">
            <wp:extent cx="2905125" cy="3352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点击商品列表中的第四个商品（加拿大蓝莓4盒）即可链接到商品详情列表；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(2)</w:t>
      </w:r>
      <w:r>
        <w:t xml:space="preserve"> </w:t>
      </w:r>
      <w:r>
        <w:drawing>
          <wp:inline distT="0" distB="0" distL="0" distR="0">
            <wp:extent cx="3267075" cy="1162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鼠标划入左侧大图片下方的三个小图片时，可以在大图中切换展示此图片；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(3)鼠标划入大图片即为放大镜效果，三个小图片均可放大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4791075" cy="27355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4375" cy="27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(4)右侧可以调整数量和规格，加入购物车</w:t>
      </w:r>
      <w:r>
        <w:drawing>
          <wp:inline distT="0" distB="0" distL="0" distR="0">
            <wp:extent cx="3543300" cy="1752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(5)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0" distR="0">
            <wp:extent cx="5274310" cy="16103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“当季热卖”中商品通过blueberry.json获取数据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(6)下滑至商品详情，有吸顶效果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7258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line="220" w:lineRule="atLeas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购物车shopcart.html</w:t>
      </w:r>
    </w:p>
    <w:p>
      <w:pPr>
        <w:pStyle w:val="5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</w:p>
    <w:p>
      <w:pPr>
        <w:spacing w:line="220" w:lineRule="atLeast"/>
        <w:rPr>
          <w:sz w:val="28"/>
          <w:szCs w:val="28"/>
        </w:rPr>
      </w:pPr>
      <w:r>
        <w:drawing>
          <wp:inline distT="0" distB="0" distL="0" distR="0">
            <wp:extent cx="5753100" cy="634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0918" cy="6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点击 header中的购物车进入购物车界面</w:t>
      </w:r>
    </w:p>
    <w:p>
      <w:pPr>
        <w:pStyle w:val="5"/>
        <w:numPr>
          <w:ilvl w:val="0"/>
          <w:numId w:val="2"/>
        </w:numPr>
        <w:spacing w:line="220" w:lineRule="atLeas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可以进行商品增删改查以及总价格的计算</w:t>
      </w:r>
    </w:p>
    <w:p>
      <w:pPr>
        <w:spacing w:line="220" w:lineRule="atLeast"/>
        <w:rPr>
          <w:sz w:val="28"/>
          <w:szCs w:val="28"/>
        </w:rPr>
      </w:pPr>
      <w:r>
        <w:drawing>
          <wp:inline distT="0" distB="0" distL="0" distR="0">
            <wp:extent cx="5274310" cy="1949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331B7"/>
    <w:multiLevelType w:val="multilevel"/>
    <w:tmpl w:val="1ED331B7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7B1D1F"/>
    <w:multiLevelType w:val="multilevel"/>
    <w:tmpl w:val="2C7B1D1F"/>
    <w:lvl w:ilvl="0" w:tentative="0">
      <w:start w:val="1"/>
      <w:numFmt w:val="decimal"/>
      <w:lvlText w:val="(%1)"/>
      <w:lvlJc w:val="left"/>
      <w:pPr>
        <w:ind w:left="1440" w:hanging="720"/>
      </w:pPr>
      <w:rPr>
        <w:rFonts w:hint="default"/>
        <w:sz w:val="32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5143A"/>
    <w:rsid w:val="00072201"/>
    <w:rsid w:val="00083519"/>
    <w:rsid w:val="000C43A1"/>
    <w:rsid w:val="000C653B"/>
    <w:rsid w:val="00107924"/>
    <w:rsid w:val="00170F12"/>
    <w:rsid w:val="00173678"/>
    <w:rsid w:val="001A121D"/>
    <w:rsid w:val="001C7195"/>
    <w:rsid w:val="001D3D74"/>
    <w:rsid w:val="00270D73"/>
    <w:rsid w:val="00273E22"/>
    <w:rsid w:val="002746EA"/>
    <w:rsid w:val="002C2778"/>
    <w:rsid w:val="00323B43"/>
    <w:rsid w:val="00340290"/>
    <w:rsid w:val="00372884"/>
    <w:rsid w:val="003A1ADC"/>
    <w:rsid w:val="003D37D8"/>
    <w:rsid w:val="003E39A4"/>
    <w:rsid w:val="003F1FAF"/>
    <w:rsid w:val="004047A6"/>
    <w:rsid w:val="00426133"/>
    <w:rsid w:val="00430D24"/>
    <w:rsid w:val="004358AB"/>
    <w:rsid w:val="00467A2A"/>
    <w:rsid w:val="00476643"/>
    <w:rsid w:val="004A71F6"/>
    <w:rsid w:val="004C67D3"/>
    <w:rsid w:val="00544267"/>
    <w:rsid w:val="00544D09"/>
    <w:rsid w:val="005534CA"/>
    <w:rsid w:val="005E7396"/>
    <w:rsid w:val="0060439D"/>
    <w:rsid w:val="006320C4"/>
    <w:rsid w:val="00655AA5"/>
    <w:rsid w:val="00691F82"/>
    <w:rsid w:val="006C3704"/>
    <w:rsid w:val="00786120"/>
    <w:rsid w:val="007D68C8"/>
    <w:rsid w:val="008945A2"/>
    <w:rsid w:val="008B7726"/>
    <w:rsid w:val="008E0942"/>
    <w:rsid w:val="0093241E"/>
    <w:rsid w:val="009B4768"/>
    <w:rsid w:val="009C0E71"/>
    <w:rsid w:val="00AB3AE7"/>
    <w:rsid w:val="00AE0C60"/>
    <w:rsid w:val="00B43B39"/>
    <w:rsid w:val="00B721B3"/>
    <w:rsid w:val="00B7796C"/>
    <w:rsid w:val="00BB3B71"/>
    <w:rsid w:val="00BB72A4"/>
    <w:rsid w:val="00BF6905"/>
    <w:rsid w:val="00C91413"/>
    <w:rsid w:val="00C9561B"/>
    <w:rsid w:val="00CA7982"/>
    <w:rsid w:val="00CE23D0"/>
    <w:rsid w:val="00D02F2D"/>
    <w:rsid w:val="00D31D50"/>
    <w:rsid w:val="00D417B7"/>
    <w:rsid w:val="00D5398E"/>
    <w:rsid w:val="00D814FD"/>
    <w:rsid w:val="00D84BCC"/>
    <w:rsid w:val="00DB4074"/>
    <w:rsid w:val="00DD5A46"/>
    <w:rsid w:val="00E868A3"/>
    <w:rsid w:val="00E97E88"/>
    <w:rsid w:val="00ED6270"/>
    <w:rsid w:val="00F15A21"/>
    <w:rsid w:val="00F67BD0"/>
    <w:rsid w:val="00F75C46"/>
    <w:rsid w:val="00F94B74"/>
    <w:rsid w:val="19E33D2F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nhideWhenUsed/>
    <w:qFormat/>
    <w:uiPriority w:val="99"/>
    <w:pPr>
      <w:spacing w:after="0"/>
    </w:pPr>
    <w:rPr>
      <w:sz w:val="18"/>
      <w:szCs w:val="18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批注框文本 Char"/>
    <w:basedOn w:val="3"/>
    <w:link w:val="2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C2A66B-5921-4E71-8018-769CBD3CDFB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204</Words>
  <Characters>1163</Characters>
  <Lines>9</Lines>
  <Paragraphs>2</Paragraphs>
  <TotalTime>0</TotalTime>
  <ScaleCrop>false</ScaleCrop>
  <LinksUpToDate>false</LinksUpToDate>
  <CharactersWithSpaces>1365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2017-03-29T10:21:01Z</dcterms:modified>
  <cp:revision>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