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V5.13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结构变更（本版）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  <w:r>
        <w:rPr>
          <w:rFonts w:ascii="Microsoft YaHei" w:hAnsi="Microsoft YaHei" w:eastAsia="Microsoft YaHei"/>
          <w:b/>
          <w:color w:val="262626"/>
          <w:sz w:val="21"/>
        </w:rPr>
        <w:t>内容层体检发现的其他问题待修</w:t>
      </w:r>
      <w:r>
        <w:rPr>
          <w:rFonts w:ascii="Microsoft YaHei" w:hAnsi="Microsoft YaHei" w:eastAsia="Microsoft YaHei"/>
          <w:color w:val="262626"/>
          <w:sz w:val="21"/>
        </w:rPr>
        <w:t>：①10 个"纯亏"选项漏标收益（E06.C/E07.C/E09.A/E10.B/E32.C 等）②H（健康）维度仅占 14%，"累"的体验与 H 触底机制站不住 ③雷达六维失衡（原则底线机会 39 次 vs 主动担当 9 次，"主动担当"柱几乎不动）④20 个选项缺大五标记、22 个缺能力映射（含 E17.B/C、E18.C、E19.C 等漏标）。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